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59.png" ContentType="image/png"/>
  <Override PartName="/word/media/rId30.png" ContentType="image/png"/>
  <Override PartName="/word/media/rId43.png" ContentType="image/png"/>
  <Override PartName="/word/media/rId50.png" ContentType="image/png"/>
  <Override PartName="/word/media/rId59.png" ContentType="image/png"/>
  <Override PartName="/word/media/rId71.png" ContentType="image/png"/>
  <Override PartName="/word/media/rId87.png" ContentType="image/png"/>
  <Override PartName="/word/media/rId99.png" ContentType="image/png"/>
  <Override PartName="/word/media/rId10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Cs/>
          <w:b/>
        </w:rPr>
        <w:t xml:space="preserve">Status da revisão:</w:t>
      </w:r>
      <w:r>
        <w:t xml:space="preserve"> </w:t>
      </w:r>
      <w:r>
        <w:t xml:space="preserve">Rascunho de tradução assistida por máquina. Requer revisão humana de terminologia, significado, links, formatação e atualidade técnica antes de ser marcado como edição final.</w:t>
      </w:r>
    </w:p>
    <w:p>
      <w:pPr>
        <w:pStyle w:val="FirstParagraph"/>
      </w:pPr>
      <w:r>
        <w:t xml:space="preserve">** RESPOSTA INCIDENTE</w:t>
      </w:r>
    </w:p>
    <w:p>
      <w:pPr>
        <w:pStyle w:val="BodyText"/>
      </w:pPr>
      <w:r>
        <w:t xml:space="preserve">** CONTINUIDADE DAS EMPRESAS &amp; RECUPERAÇÃO DE DESEMPENHO</w:t>
      </w:r>
    </w:p>
    <w:p>
      <w:pPr>
        <w:pStyle w:val="BodyText"/>
      </w:pPr>
      <w:r>
        <w:t xml:space="preserve">Prático Gerente e Manual de Analista Júnior</w:t>
      </w:r>
    </w:p>
    <w:p>
      <w:pPr>
        <w:pStyle w:val="BodyText"/>
      </w:pPr>
      <w:r>
        <w:t xml:space="preserve">O que este manual faz: Mostra como se preparar para a interrupção, detectar e gerenciar incidentes cibernéticos, continuar serviços críticos, restaurar a tecnologia com segurança, testar evidências, usar ferramentas de código aberto e construir habilidades de analista prontas para o trabalho. □</w:t>
      </w:r>
      <w:r>
        <w:t xml:space="preserve"> </w:t>
      </w:r>
      <w:r>
        <w:t xml:space="preserve">□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–</w:t>
      </w:r>
    </w:p>
    <w:p>
      <w:pPr>
        <w:pStyle w:val="BodyText"/>
      </w:pPr>
      <w:r>
        <w:t xml:space="preserve">** Alberto (Al) Leiva**</w:t>
      </w:r>
    </w:p>
    <w:p>
      <w:pPr>
        <w:pStyle w:val="BodyText"/>
      </w:pPr>
      <w:r>
        <w:t xml:space="preserve">Primeira edição • Julho de 2026</w:t>
      </w:r>
    </w:p>
    <w:p>
      <w:pPr>
        <w:pStyle w:val="BodyText"/>
      </w:pPr>
      <w:r>
        <w:t xml:space="preserve">Prefácio</w:t>
      </w:r>
    </w:p>
    <w:p>
      <w:pPr>
        <w:pStyle w:val="BodyText"/>
      </w:pPr>
      <w:r>
        <w:t xml:space="preserve">Incidentes e interrupções não seguem um script conveniente. Um ataque cibernético pode se tornar uma crise legal, de segurança, cliente, financeira, operacional e de reputação. Boa resiliência conecta resposta incidente, continuidade de negócios, recuperação de desastres, liderança em crises, comunicações, fornecedores e melhoria contínua.</w:t>
      </w:r>
    </w:p>
    <w:p>
      <w:pPr>
        <w:pStyle w:val="BodyText"/>
      </w:pPr>
      <w:r>
        <w:t xml:space="preserve">Este manual usa linguagem simples e produtos de trabalho realistas. Não é um conselho jurídico ou uma garantia. Os requisitos variam de acordo com a organização, setor, contrato, país, regulador, tecnologia e evento. Durante uma emergência real, siga a autoridade aprovada, preserve a segurança e as evidências, e envolva profissionais qualificados legais, de privacidade, recursos humanos, comunicações, seguros, aplicação da lei e técnicos, conforme apropriado.</w:t>
      </w:r>
    </w:p>
    <w:p>
      <w:pPr>
        <w:pStyle w:val="BodyText"/>
      </w:pPr>
      <w:r>
        <w:t xml:space="preserve">Nota de informação actual:** As orientações oficiais foram verificadas em 14 de julho de 2026. A fundação de resposta a incidentes é NIST SP 800-61 Rev. 3, finalizada em 3 de abril de 2025. O conteúdo de continuidade também usa NIST SP 800-34 Rev. 1 Atualização 1 e ISO 22301:2019 com Emenda 1:2024.</w:t>
      </w:r>
      <w:r>
        <w:t xml:space="preserve"> </w:t>
      </w:r>
      <w:r>
        <w:t xml:space="preserve">□————————————————————————————————————————————————————————————————————————————————————–</w:t>
      </w:r>
    </w:p>
    <w:bookmarkStart w:id="20" w:name="como-usar-este-manual"/>
    <w:p>
      <w:pPr>
        <w:pStyle w:val="Heading2"/>
      </w:pPr>
      <w:r>
        <w:t xml:space="preserve">Como usar este manual</w:t>
      </w:r>
    </w:p>
    <w:p>
      <w:pPr>
        <w:numPr>
          <w:ilvl w:val="0"/>
          <w:numId w:val="1001"/>
        </w:numPr>
      </w:pPr>
      <w:r>
        <w:t xml:space="preserve">Gerentes: comece com Capítulos 1–5, 7, 9–13, 19–25 e 27.</w:t>
      </w:r>
    </w:p>
    <w:p>
      <w:pPr>
        <w:numPr>
          <w:ilvl w:val="0"/>
          <w:numId w:val="1001"/>
        </w:numPr>
      </w:pPr>
      <w:r>
        <w:t xml:space="preserve">Analistas júnior: estudem em ordem e completem os Capítulos 26–29 com dados sintéticos e laboratórios autorizados.</w:t>
      </w:r>
    </w:p>
    <w:p>
      <w:pPr>
        <w:numPr>
          <w:ilvl w:val="0"/>
          <w:numId w:val="1001"/>
        </w:numPr>
      </w:pPr>
      <w:r>
        <w:t xml:space="preserve">Respondedores técnicos: foco nos capítulos 5–18, 21–24 e 26.</w:t>
      </w:r>
    </w:p>
    <w:p>
      <w:pPr>
        <w:numPr>
          <w:ilvl w:val="0"/>
          <w:numId w:val="1001"/>
        </w:numPr>
      </w:pPr>
      <w:r>
        <w:t xml:space="preserve">Equipes de continuidade e recuperação: foco nos capítulos 3, 11 e 19–24.</w:t>
      </w:r>
    </w:p>
    <w:p>
      <w:pPr>
        <w:numPr>
          <w:ilvl w:val="0"/>
          <w:numId w:val="1001"/>
        </w:numPr>
      </w:pPr>
      <w:r>
        <w:t xml:space="preserve">Alfaiate cada plano, limiar, contato, exigência e exercício para a organização.</w:t>
      </w:r>
    </w:p>
    <w:p>
      <w:pPr>
        <w:pStyle w:val="FirstParagraph"/>
      </w:pPr>
      <w:r>
        <w:t xml:space="preserve">Sumário</w:t>
      </w:r>
    </w:p>
    <w:p>
      <w:pPr>
        <w:pStyle w:val="BodyText"/>
      </w:pPr>
      <w:r>
        <w:t xml:space="preserve">Este documento contém um índice nativo do Word. O guia do capítulo na página seguinte é uma referência rápida permanente.</w:t>
      </w:r>
    </w:p>
    <w:p>
      <w:pPr>
        <w:pStyle w:val="BodyText"/>
      </w:pPr>
      <w:hyperlink w:anchor="preface">
        <w:r>
          <w:rPr>
            <w:rStyle w:val="Hyperlink"/>
          </w:rPr>
          <w:t xml:space="preserve">Prefácio [2](#preface)</w:t>
        </w:r>
      </w:hyperlink>
    </w:p>
    <w:p>
      <w:pPr>
        <w:pStyle w:val="BodyText"/>
      </w:pPr>
      <w:hyperlink w:anchor="how-to-use-this-manual">
        <w:r>
          <w:rPr>
            <w:rStyle w:val="Hyperlink"/>
          </w:rPr>
          <w:t xml:space="preserve">Como usar este manual [2](#how-to-use-this-manual)</w:t>
        </w:r>
      </w:hyperlink>
    </w:p>
    <w:p>
      <w:pPr>
        <w:pStyle w:val="BodyText"/>
      </w:pPr>
      <w:hyperlink w:anchor="table-of-contents">
        <w:r>
          <w:rPr>
            <w:rStyle w:val="Hyperlink"/>
          </w:rPr>
          <w:t xml:space="preserve">Quadro de conteúdos [3](#table-of-contents)</w:t>
        </w:r>
      </w:hyperlink>
    </w:p>
    <w:p>
      <w:pPr>
        <w:pStyle w:val="BodyText"/>
      </w:pPr>
      <w:hyperlink w:anchor="chapter-guide">
        <w:r>
          <w:rPr>
            <w:rStyle w:val="Hyperlink"/>
          </w:rPr>
          <w:t xml:space="preserve">Guia do Capítulo [7](#chapter-guide)</w:t>
        </w:r>
      </w:hyperlink>
    </w:p>
    <w:p>
      <w:pPr>
        <w:pStyle w:val="BodyText"/>
      </w:pPr>
      <w:r>
        <w:t xml:space="preserve">[1 [1] [#ir-business-continuity-and-disaster-recovery-foundations](#ir-business-continuity-and-disaster-recovery-foundations]</w:t>
      </w:r>
    </w:p>
    <w:p>
      <w:pPr>
        <w:pStyle w:val="BodyText"/>
      </w:pPr>
      <w:hyperlink w:anchor="governance-policy-and-roles">
        <w:r>
          <w:rPr>
            <w:rStyle w:val="Hyperlink"/>
          </w:rPr>
          <w:t xml:space="preserve">2. Governação, Política e Funções [9](#governance-policy-and-roles)</w:t>
        </w:r>
      </w:hyperlink>
    </w:p>
    <w:p>
      <w:pPr>
        <w:pStyle w:val="BodyText"/>
      </w:pPr>
      <w:hyperlink w:anchor="governance-essentials">
        <w:r>
          <w:rPr>
            <w:rStyle w:val="Hyperlink"/>
          </w:rPr>
          <w:t xml:space="preserve">2.1 Princípios essenciais da governação [9](#governance-essentials)</w:t>
        </w:r>
      </w:hyperlink>
    </w:p>
    <w:p>
      <w:pPr>
        <w:pStyle w:val="BodyText"/>
      </w:pPr>
      <w:hyperlink w:anchor="X358447e4eb98936da06fbbb0314ca732ee24efc">
        <w:r>
          <w:rPr>
            <w:rStyle w:val="Hyperlink"/>
          </w:rPr>
          <w:t xml:space="preserve">3. Avaliação dos riscos e análise do impacto das empresas [10](#risk-assessment-and-business-impact-analysis)</w:t>
        </w:r>
      </w:hyperlink>
    </w:p>
    <w:p>
      <w:pPr>
        <w:pStyle w:val="BodyText"/>
      </w:pPr>
      <w:hyperlink w:anchor="bia-method">
        <w:r>
          <w:rPr>
            <w:rStyle w:val="Hyperlink"/>
          </w:rPr>
          <w:t xml:space="preserve">3,1 método BIA [10](#bia-method)</w:t>
        </w:r>
      </w:hyperlink>
    </w:p>
    <w:p>
      <w:pPr>
        <w:pStyle w:val="BodyText"/>
      </w:pPr>
      <w:hyperlink w:anchor="current-nist-incident-response-model">
        <w:r>
          <w:rPr>
            <w:rStyle w:val="Hyperlink"/>
          </w:rPr>
          <w:t xml:space="preserve">4. Modelo atual de resposta ao incidente de NIST [12](#current-nist-incident-response-model)</w:t>
        </w:r>
      </w:hyperlink>
    </w:p>
    <w:p>
      <w:pPr>
        <w:pStyle w:val="BodyText"/>
      </w:pPr>
      <w:hyperlink w:anchor="practical-operating-sequence">
        <w:r>
          <w:rPr>
            <w:rStyle w:val="Hyperlink"/>
          </w:rPr>
          <w:t xml:space="preserve">4.1 Sequência de funcionamento prática [12](#practical-operating-sequence)</w:t>
        </w:r>
      </w:hyperlink>
    </w:p>
    <w:p>
      <w:pPr>
        <w:pStyle w:val="BodyText"/>
      </w:pPr>
      <w:hyperlink w:anchor="preparation-and-readiness">
        <w:r>
          <w:rPr>
            <w:rStyle w:val="Hyperlink"/>
          </w:rPr>
          <w:t xml:space="preserve">5. Preparação e preparação [13](#preparation-and-readiness)</w:t>
        </w:r>
      </w:hyperlink>
    </w:p>
    <w:p>
      <w:pPr>
        <w:pStyle w:val="BodyText"/>
      </w:pPr>
      <w:hyperlink w:anchor="readiness-checklist">
        <w:r>
          <w:rPr>
            <w:rStyle w:val="Hyperlink"/>
          </w:rPr>
          <w:t xml:space="preserve">5.1 Lista de verificação da disponibilidade [13](#readiness-checklist)</w:t>
        </w:r>
      </w:hyperlink>
    </w:p>
    <w:p>
      <w:pPr>
        <w:pStyle w:val="BodyText"/>
      </w:pPr>
      <w:hyperlink w:anchor="playbook-design">
        <w:r>
          <w:rPr>
            <w:rStyle w:val="Hyperlink"/>
          </w:rPr>
          <w:t xml:space="preserve">5.2 Desenho de livro de reprodução [13](#playbook-design)</w:t>
        </w:r>
      </w:hyperlink>
    </w:p>
    <w:p>
      <w:pPr>
        <w:pStyle w:val="BodyText"/>
      </w:pPr>
      <w:hyperlink w:anchor="detection-and-event-validation">
        <w:r>
          <w:rPr>
            <w:rStyle w:val="Hyperlink"/>
          </w:rPr>
          <w:t xml:space="preserve">6. Validação da detecção e do evento [14](#detection-and-event-validation)</w:t>
        </w:r>
      </w:hyperlink>
    </w:p>
    <w:p>
      <w:pPr>
        <w:pStyle w:val="BodyText"/>
      </w:pPr>
      <w:hyperlink w:anchor="signal-sources">
        <w:r>
          <w:rPr>
            <w:rStyle w:val="Hyperlink"/>
          </w:rPr>
          <w:t xml:space="preserve">6.1 Fontes de sinal [14](#signal-sources)</w:t>
        </w:r>
      </w:hyperlink>
    </w:p>
    <w:p>
      <w:pPr>
        <w:pStyle w:val="BodyText"/>
      </w:pPr>
      <w:hyperlink w:anchor="validation-questions">
        <w:r>
          <w:rPr>
            <w:rStyle w:val="Hyperlink"/>
          </w:rPr>
          <w:t xml:space="preserve">6.2 Questões de validação [14](#validation-questions)</w:t>
        </w:r>
      </w:hyperlink>
    </w:p>
    <w:p>
      <w:pPr>
        <w:pStyle w:val="BodyText"/>
      </w:pPr>
      <w:hyperlink w:anchor="triage-severity-and-escalation">
        <w:r>
          <w:rPr>
            <w:rStyle w:val="Hyperlink"/>
          </w:rPr>
          <w:t xml:space="preserve">7. Triagem, Severidade e Escalação [15](#triage-severity-and-escalation)</w:t>
        </w:r>
      </w:hyperlink>
    </w:p>
    <w:p>
      <w:pPr>
        <w:pStyle w:val="BodyText"/>
      </w:pPr>
      <w:hyperlink w:anchor="triage-output">
        <w:r>
          <w:rPr>
            <w:rStyle w:val="Hyperlink"/>
          </w:rPr>
          <w:t xml:space="preserve">7,1 Saída de triagem [15](#triage-output)</w:t>
        </w:r>
      </w:hyperlink>
    </w:p>
    <w:p>
      <w:pPr>
        <w:pStyle w:val="BodyText"/>
      </w:pPr>
      <w:hyperlink w:anchor="investigation-and-scoping">
        <w:r>
          <w:rPr>
            <w:rStyle w:val="Hyperlink"/>
          </w:rPr>
          <w:t xml:space="preserve">8. Investigação e Escova [16](#investigation-and-scoping)</w:t>
        </w:r>
      </w:hyperlink>
    </w:p>
    <w:p>
      <w:pPr>
        <w:pStyle w:val="BodyText"/>
      </w:pPr>
      <w:hyperlink w:anchor="investigation-method">
        <w:r>
          <w:rPr>
            <w:rStyle w:val="Hyperlink"/>
          </w:rPr>
          <w:t xml:space="preserve">8,1 Método de investigação [16](#investigation-method)</w:t>
        </w:r>
      </w:hyperlink>
    </w:p>
    <w:p>
      <w:pPr>
        <w:pStyle w:val="BodyText"/>
      </w:pPr>
      <w:hyperlink w:anchor="containment-strategy">
        <w:r>
          <w:rPr>
            <w:rStyle w:val="Hyperlink"/>
          </w:rPr>
          <w:t xml:space="preserve">9. Estratégia de contenção [17](#containment-strategy)</w:t>
        </w:r>
      </w:hyperlink>
    </w:p>
    <w:p>
      <w:pPr>
        <w:pStyle w:val="BodyText"/>
      </w:pPr>
      <w:hyperlink w:anchor="options">
        <w:r>
          <w:rPr>
            <w:rStyle w:val="Hyperlink"/>
          </w:rPr>
          <w:t xml:space="preserve">9,1 Opções [17](#options)</w:t>
        </w:r>
      </w:hyperlink>
    </w:p>
    <w:p>
      <w:pPr>
        <w:pStyle w:val="BodyText"/>
      </w:pPr>
      <w:hyperlink w:anchor="decision-record">
        <w:r>
          <w:rPr>
            <w:rStyle w:val="Hyperlink"/>
          </w:rPr>
          <w:t xml:space="preserve">9.2 Registo da decisão [17](#decision-record)</w:t>
        </w:r>
      </w:hyperlink>
    </w:p>
    <w:p>
      <w:pPr>
        <w:pStyle w:val="BodyText"/>
      </w:pPr>
      <w:hyperlink w:anchor="eradication-and-remediation">
        <w:r>
          <w:rPr>
            <w:rStyle w:val="Hyperlink"/>
          </w:rPr>
          <w:t xml:space="preserve">10. Erradicação e reparação [18](#eradication-and-remediation)</w:t>
        </w:r>
      </w:hyperlink>
    </w:p>
    <w:p>
      <w:pPr>
        <w:pStyle w:val="BodyText"/>
      </w:pPr>
      <w:hyperlink w:anchor="eradication-work">
        <w:r>
          <w:rPr>
            <w:rStyle w:val="Hyperlink"/>
          </w:rPr>
          <w:t xml:space="preserve">10.1 Trabalho de erradicação [18](#eradication-work)</w:t>
        </w:r>
      </w:hyperlink>
    </w:p>
    <w:p>
      <w:pPr>
        <w:pStyle w:val="BodyText"/>
      </w:pPr>
      <w:hyperlink w:anchor="recovery-and-return-to-service">
        <w:r>
          <w:rPr>
            <w:rStyle w:val="Hyperlink"/>
          </w:rPr>
          <w:t xml:space="preserve">11. Recuperação e regresso ao serviço [19](#recovery-and-return-to-service)</w:t>
        </w:r>
      </w:hyperlink>
    </w:p>
    <w:p>
      <w:pPr>
        <w:pStyle w:val="BodyText"/>
      </w:pPr>
      <w:hyperlink w:anchor="recovery-gates">
        <w:r>
          <w:rPr>
            <w:rStyle w:val="Hyperlink"/>
          </w:rPr>
          <w:t xml:space="preserve">11.1 Portas de recuperação [19](#recovery-gates)</w:t>
        </w:r>
      </w:hyperlink>
    </w:p>
    <w:p>
      <w:pPr>
        <w:pStyle w:val="BodyText"/>
      </w:pPr>
      <w:hyperlink w:anchor="recovery-evidence">
        <w:r>
          <w:rPr>
            <w:rStyle w:val="Hyperlink"/>
          </w:rPr>
          <w:t xml:space="preserve">11.2 Provas de recuperação [19](#recovery-evidence)</w:t>
        </w:r>
      </w:hyperlink>
    </w:p>
    <w:p>
      <w:pPr>
        <w:pStyle w:val="BodyText"/>
      </w:pPr>
      <w:hyperlink w:anchor="lessons-learned-and-improvement">
        <w:r>
          <w:rPr>
            <w:rStyle w:val="Hyperlink"/>
          </w:rPr>
          <w:t xml:space="preserve">12. Lições aprendidas e melhoria [20](#lessons-learned-and-improvement)</w:t>
        </w:r>
      </w:hyperlink>
    </w:p>
    <w:p>
      <w:pPr>
        <w:pStyle w:val="BodyText"/>
      </w:pPr>
      <w:hyperlink w:anchor="after-action-process">
        <w:r>
          <w:rPr>
            <w:rStyle w:val="Hyperlink"/>
          </w:rPr>
          <w:t xml:space="preserve">12.1 Processo pós-ação [20](#after-action-process)</w:t>
        </w:r>
      </w:hyperlink>
    </w:p>
    <w:p>
      <w:pPr>
        <w:pStyle w:val="BodyText"/>
      </w:pPr>
      <w:hyperlink w:anchor="X2742951c71a91fc11c5de431a1ebe6e515fe97d">
        <w:r>
          <w:rPr>
            <w:rStyle w:val="Hyperlink"/>
          </w:rPr>
          <w:t xml:space="preserve">13. Coordenação da Comunicação, Jurídica e Regulatória [21](#communication-legal-and-regulatory-coordination)</w:t>
        </w:r>
      </w:hyperlink>
    </w:p>
    <w:p>
      <w:pPr>
        <w:pStyle w:val="BodyText"/>
      </w:pPr>
      <w:hyperlink w:anchor="operating-rules">
        <w:r>
          <w:rPr>
            <w:rStyle w:val="Hyperlink"/>
          </w:rPr>
          <w:t xml:space="preserve">13.1 Regras de funcionamento [21](#operating-rules)</w:t>
        </w:r>
      </w:hyperlink>
    </w:p>
    <w:p>
      <w:pPr>
        <w:pStyle w:val="BodyText"/>
      </w:pPr>
      <w:hyperlink w:anchor="digital-evidence-and-forensic-readiness">
        <w:r>
          <w:rPr>
            <w:rStyle w:val="Hyperlink"/>
          </w:rPr>
          <w:t xml:space="preserve">14. Provas digitais e preparação forense [22](#digital-evidence-and-forensic-readiness)</w:t>
        </w:r>
      </w:hyperlink>
    </w:p>
    <w:p>
      <w:pPr>
        <w:pStyle w:val="BodyText"/>
      </w:pPr>
      <w:hyperlink w:anchor="evidence-record">
        <w:r>
          <w:rPr>
            <w:rStyle w:val="Hyperlink"/>
          </w:rPr>
          <w:t xml:space="preserve">14.1 Registo de provas [22](#evidence-record)</w:t>
        </w:r>
      </w:hyperlink>
    </w:p>
    <w:p>
      <w:pPr>
        <w:pStyle w:val="BodyText"/>
      </w:pPr>
      <w:hyperlink w:anchor="ransomware-and-destructive-attacks">
        <w:r>
          <w:rPr>
            <w:rStyle w:val="Hyperlink"/>
          </w:rPr>
          <w:t xml:space="preserve">15. Resgates e ataques destrutivos [23](#ransomware-and-destructive-attacks)</w:t>
        </w:r>
      </w:hyperlink>
    </w:p>
    <w:p>
      <w:pPr>
        <w:pStyle w:val="BodyText"/>
      </w:pPr>
      <w:hyperlink w:anchor="immediate-priorities">
        <w:r>
          <w:rPr>
            <w:rStyle w:val="Hyperlink"/>
          </w:rPr>
          <w:t xml:space="preserve">15.1 Prioridades imediatas [23](#immediate-priorities)</w:t>
        </w:r>
      </w:hyperlink>
    </w:p>
    <w:p>
      <w:pPr>
        <w:pStyle w:val="BodyText"/>
      </w:pPr>
      <w:hyperlink w:anchor="payment-decision">
        <w:r>
          <w:rPr>
            <w:rStyle w:val="Hyperlink"/>
          </w:rPr>
          <w:t xml:space="preserve">15.2 Decisão de pagamento [23](#payment-decision)</w:t>
        </w:r>
      </w:hyperlink>
    </w:p>
    <w:p>
      <w:pPr>
        <w:pStyle w:val="BodyText"/>
      </w:pPr>
      <w:hyperlink w:anchor="cloud-and-saas-incident-response">
        <w:r>
          <w:rPr>
            <w:rStyle w:val="Hyperlink"/>
          </w:rPr>
          <w:t xml:space="preserve">16. Resposta ao incidente de nuvem e SaaS [24](#cloud-and-saas-incident-response)</w:t>
        </w:r>
      </w:hyperlink>
    </w:p>
    <w:p>
      <w:pPr>
        <w:pStyle w:val="BodyText"/>
      </w:pPr>
      <w:hyperlink w:anchor="cloud-investigation">
        <w:r>
          <w:rPr>
            <w:rStyle w:val="Hyperlink"/>
          </w:rPr>
          <w:t xml:space="preserve">16.1 Investigação em nuvem [24](#cloud-investigation)</w:t>
        </w:r>
      </w:hyperlink>
    </w:p>
    <w:p>
      <w:pPr>
        <w:pStyle w:val="BodyText"/>
      </w:pPr>
      <w:hyperlink w:anchor="cloud-containment">
        <w:r>
          <w:rPr>
            <w:rStyle w:val="Hyperlink"/>
          </w:rPr>
          <w:t xml:space="preserve">16.2 Contenção em nuvem [24](#cloud-containment)</w:t>
        </w:r>
      </w:hyperlink>
    </w:p>
    <w:p>
      <w:pPr>
        <w:pStyle w:val="BodyText"/>
      </w:pPr>
      <w:hyperlink w:anchor="identity-and-privileged-access-incidents">
        <w:r>
          <w:rPr>
            <w:rStyle w:val="Hyperlink"/>
          </w:rPr>
          <w:t xml:space="preserve">17. Incidentes de identidade e de acesso privilegiado [25](#identity-and-privileged-access-incidents)</w:t>
        </w:r>
      </w:hyperlink>
    </w:p>
    <w:p>
      <w:pPr>
        <w:pStyle w:val="BodyText"/>
      </w:pPr>
      <w:hyperlink w:anchor="scope">
        <w:r>
          <w:rPr>
            <w:rStyle w:val="Hyperlink"/>
          </w:rPr>
          <w:t xml:space="preserve">17.1 Âmbito [25](#scope)</w:t>
        </w:r>
      </w:hyperlink>
    </w:p>
    <w:p>
      <w:pPr>
        <w:pStyle w:val="BodyText"/>
      </w:pPr>
      <w:hyperlink w:anchor="safe-recovery-order">
        <w:r>
          <w:rPr>
            <w:rStyle w:val="Hyperlink"/>
          </w:rPr>
          <w:t xml:space="preserve">17.2 Ordem de recuperação segura [25](#safe-recovery-order)</w:t>
        </w:r>
      </w:hyperlink>
    </w:p>
    <w:p>
      <w:pPr>
        <w:pStyle w:val="BodyText"/>
      </w:pPr>
      <w:hyperlink w:anchor="third-party-and-supply-chain-incidents">
        <w:r>
          <w:rPr>
            <w:rStyle w:val="Hyperlink"/>
          </w:rPr>
          <w:t xml:space="preserve">18. Incidentes de terceiros e de cadeia de abastecimento [26](#third-party-and-supply-chain-incidents)</w:t>
        </w:r>
      </w:hyperlink>
    </w:p>
    <w:p>
      <w:pPr>
        <w:pStyle w:val="BodyText"/>
      </w:pPr>
      <w:hyperlink w:anchor="prepare">
        <w:r>
          <w:rPr>
            <w:rStyle w:val="Hyperlink"/>
          </w:rPr>
          <w:t xml:space="preserve">18.1 Preparar [26](#prepare)</w:t>
        </w:r>
      </w:hyperlink>
    </w:p>
    <w:p>
      <w:pPr>
        <w:pStyle w:val="BodyText"/>
      </w:pPr>
      <w:hyperlink w:anchor="respond">
        <w:r>
          <w:rPr>
            <w:rStyle w:val="Hyperlink"/>
          </w:rPr>
          <w:t xml:space="preserve">18.2 Responder [26](#respond)</w:t>
        </w:r>
      </w:hyperlink>
    </w:p>
    <w:p>
      <w:pPr>
        <w:pStyle w:val="BodyText"/>
      </w:pPr>
      <w:hyperlink w:anchor="business-continuity-management-system">
        <w:r>
          <w:rPr>
            <w:rStyle w:val="Hyperlink"/>
          </w:rPr>
          <w:t xml:space="preserve">19. Sistema de Gestão da Continuidade das Empresas [27](#business-continuity-management-system)</w:t>
        </w:r>
      </w:hyperlink>
    </w:p>
    <w:p>
      <w:pPr>
        <w:pStyle w:val="BodyText"/>
      </w:pPr>
      <w:hyperlink w:anchor="continuity-strategies-and-procedures">
        <w:r>
          <w:rPr>
            <w:rStyle w:val="Hyperlink"/>
          </w:rPr>
          <w:t xml:space="preserve">20. Estratégias e procedimentos de continuidade [28](#continuity-strategies-and-procedures)</w:t>
        </w:r>
      </w:hyperlink>
    </w:p>
    <w:p>
      <w:pPr>
        <w:pStyle w:val="BodyText"/>
      </w:pPr>
      <w:hyperlink w:anchor="continuity-procedure">
        <w:r>
          <w:rPr>
            <w:rStyle w:val="Hyperlink"/>
          </w:rPr>
          <w:t xml:space="preserve">20.1 Procedimento de continuidade [28](#continuity-procedure)</w:t>
        </w:r>
      </w:hyperlink>
    </w:p>
    <w:p>
      <w:pPr>
        <w:pStyle w:val="BodyText"/>
      </w:pPr>
      <w:hyperlink w:anchor="disaster-recovery-planning">
        <w:r>
          <w:rPr>
            <w:rStyle w:val="Hyperlink"/>
          </w:rPr>
          <w:t xml:space="preserve">21. Planejamento de recuperação de desastres [29](#disaster-recovery-planning)</w:t>
        </w:r>
      </w:hyperlink>
    </w:p>
    <w:p>
      <w:pPr>
        <w:pStyle w:val="BodyText"/>
      </w:pPr>
      <w:hyperlink w:anchor="nist-sp-800-34-contingency-process">
        <w:r>
          <w:rPr>
            <w:rStyle w:val="Hyperlink"/>
          </w:rPr>
          <w:t xml:space="preserve">21.1 NIST SP 800-34 processo de contingência [29](#nist-sp-800-34-contingency-process)</w:t>
        </w:r>
      </w:hyperlink>
    </w:p>
    <w:p>
      <w:pPr>
        <w:pStyle w:val="BodyText"/>
      </w:pPr>
      <w:hyperlink w:anchor="dr-plan-content">
        <w:r>
          <w:rPr>
            <w:rStyle w:val="Hyperlink"/>
          </w:rPr>
          <w:t xml:space="preserve">21.2 Conteúdo do plano DR [29](#dr-plan-content)</w:t>
        </w:r>
      </w:hyperlink>
    </w:p>
    <w:p>
      <w:pPr>
        <w:pStyle w:val="BodyText"/>
      </w:pPr>
      <w:hyperlink w:anchor="backups-and-recovery-assurance">
        <w:r>
          <w:rPr>
            <w:rStyle w:val="Hyperlink"/>
          </w:rPr>
          <w:t xml:space="preserve">22. Garantias de apoio e recuperação [30](#backups-and-recovery-assurance)</w:t>
        </w:r>
      </w:hyperlink>
    </w:p>
    <w:p>
      <w:pPr>
        <w:pStyle w:val="BodyText"/>
      </w:pPr>
      <w:hyperlink w:anchor="design">
        <w:r>
          <w:rPr>
            <w:rStyle w:val="Hyperlink"/>
          </w:rPr>
          <w:t xml:space="preserve">22.1 Desenho [30](#design)</w:t>
        </w:r>
      </w:hyperlink>
    </w:p>
    <w:p>
      <w:pPr>
        <w:pStyle w:val="BodyText"/>
      </w:pPr>
      <w:hyperlink w:anchor="restore-test">
        <w:r>
          <w:rPr>
            <w:rStyle w:val="Hyperlink"/>
          </w:rPr>
          <w:t xml:space="preserve">22.2 Ensaio de restauração [30](#restore-test)</w:t>
        </w:r>
      </w:hyperlink>
    </w:p>
    <w:p>
      <w:pPr>
        <w:pStyle w:val="BodyText"/>
      </w:pPr>
      <w:hyperlink w:anchor="crisis-management-and-human-factors">
        <w:r>
          <w:rPr>
            <w:rStyle w:val="Hyperlink"/>
          </w:rPr>
          <w:t xml:space="preserve">23. Gestão de crises e factores humanos [31](#crisis-management-and-human-factors)</w:t>
        </w:r>
      </w:hyperlink>
    </w:p>
    <w:p>
      <w:pPr>
        <w:pStyle w:val="BodyText"/>
      </w:pPr>
      <w:hyperlink w:anchor="leadership-rhythm">
        <w:r>
          <w:rPr>
            <w:rStyle w:val="Hyperlink"/>
          </w:rPr>
          <w:t xml:space="preserve">23.1 Ritmo de liderança [31](#leadership-rhythm)</w:t>
        </w:r>
      </w:hyperlink>
    </w:p>
    <w:p>
      <w:pPr>
        <w:pStyle w:val="BodyText"/>
      </w:pPr>
      <w:hyperlink w:anchor="exercises-training-and-plan-maintenance">
        <w:r>
          <w:rPr>
            <w:rStyle w:val="Hyperlink"/>
          </w:rPr>
          <w:t xml:space="preserve">24. Exercícios, formação e manutenção de planos [32](#exercises-training-and-plan-maintenance)</w:t>
        </w:r>
      </w:hyperlink>
    </w:p>
    <w:p>
      <w:pPr>
        <w:pStyle w:val="BodyText"/>
      </w:pPr>
      <w:hyperlink w:anchor="after-action-evidence">
        <w:r>
          <w:rPr>
            <w:rStyle w:val="Hyperlink"/>
          </w:rPr>
          <w:t xml:space="preserve">24.1 Provas pós-acção [32](#after-action-evidence)</w:t>
        </w:r>
      </w:hyperlink>
    </w:p>
    <w:p>
      <w:pPr>
        <w:pStyle w:val="BodyText"/>
      </w:pPr>
      <w:hyperlink w:anchor="X4f7fc951bf20331af014b830992409edf0a6bd7">
        <w:r>
          <w:rPr>
            <w:rStyle w:val="Hyperlink"/>
          </w:rPr>
          <w:t xml:space="preserve">25. Mapeamento da conformidade, testes de provas e métricas [33](#compliance-mapping-evidence-testing-and-metrics)</w:t>
        </w:r>
      </w:hyperlink>
    </w:p>
    <w:p>
      <w:pPr>
        <w:pStyle w:val="BodyText"/>
      </w:pPr>
      <w:hyperlink w:anchor="evidence-test">
        <w:r>
          <w:rPr>
            <w:rStyle w:val="Hyperlink"/>
          </w:rPr>
          <w:t xml:space="preserve">25.1 Teste de provas [33](#evidence-test)</w:t>
        </w:r>
      </w:hyperlink>
    </w:p>
    <w:p>
      <w:pPr>
        <w:pStyle w:val="BodyText"/>
      </w:pPr>
      <w:hyperlink w:anchor="open-source-tools">
        <w:r>
          <w:rPr>
            <w:rStyle w:val="Hyperlink"/>
          </w:rPr>
          <w:t xml:space="preserve">26. Ferramentas de Código Aberto [34](#open-source-tools)</w:t>
        </w:r>
      </w:hyperlink>
    </w:p>
    <w:p>
      <w:pPr>
        <w:pStyle w:val="BodyText"/>
      </w:pPr>
      <w:hyperlink w:anchor="thehive">
        <w:r>
          <w:rPr>
            <w:rStyle w:val="Hyperlink"/>
          </w:rPr>
          <w:t xml:space="preserve">26.1 A colmeia [34](#thehive)</w:t>
        </w:r>
      </w:hyperlink>
    </w:p>
    <w:p>
      <w:pPr>
        <w:pStyle w:val="BodyText"/>
      </w:pPr>
      <w:hyperlink w:anchor="cortex">
        <w:r>
          <w:rPr>
            <w:rStyle w:val="Hyperlink"/>
          </w:rPr>
          <w:t xml:space="preserve">26,2 Cortex [34](#cortex)</w:t>
        </w:r>
      </w:hyperlink>
    </w:p>
    <w:p>
      <w:pPr>
        <w:pStyle w:val="BodyText"/>
      </w:pPr>
      <w:hyperlink w:anchor="misp">
        <w:r>
          <w:rPr>
            <w:rStyle w:val="Hyperlink"/>
          </w:rPr>
          <w:t xml:space="preserve">26.3 MISP [35](#misp)</w:t>
        </w:r>
      </w:hyperlink>
    </w:p>
    <w:p>
      <w:pPr>
        <w:pStyle w:val="BodyText"/>
      </w:pPr>
      <w:hyperlink w:anchor="wazuh">
        <w:r>
          <w:rPr>
            <w:rStyle w:val="Hyperlink"/>
          </w:rPr>
          <w:t xml:space="preserve">26.4 Wazuh [35](#wazuh)</w:t>
        </w:r>
      </w:hyperlink>
    </w:p>
    <w:p>
      <w:pPr>
        <w:pStyle w:val="BodyText"/>
      </w:pPr>
      <w:hyperlink w:anchor="velociraptor">
        <w:r>
          <w:rPr>
            <w:rStyle w:val="Hyperlink"/>
          </w:rPr>
          <w:t xml:space="preserve">26.5 Velociraptor [35](#velociraptor)</w:t>
        </w:r>
      </w:hyperlink>
    </w:p>
    <w:p>
      <w:pPr>
        <w:pStyle w:val="BodyText"/>
      </w:pPr>
      <w:hyperlink w:anchor="volatility-3">
        <w:r>
          <w:rPr>
            <w:rStyle w:val="Hyperlink"/>
          </w:rPr>
          <w:t xml:space="preserve">26.6 Volatilidade 3 [35](#volatility-3)</w:t>
        </w:r>
      </w:hyperlink>
    </w:p>
    <w:p>
      <w:pPr>
        <w:pStyle w:val="BodyText"/>
      </w:pPr>
      <w:hyperlink w:anchor="autopsy">
        <w:r>
          <w:rPr>
            <w:rStyle w:val="Hyperlink"/>
          </w:rPr>
          <w:t xml:space="preserve">26.7 Autópsia [35](#autopsy)</w:t>
        </w:r>
      </w:hyperlink>
    </w:p>
    <w:p>
      <w:pPr>
        <w:pStyle w:val="BodyText"/>
      </w:pPr>
      <w:hyperlink w:anchor="timesketch">
        <w:r>
          <w:rPr>
            <w:rStyle w:val="Hyperlink"/>
          </w:rPr>
          <w:t xml:space="preserve">26.8 Timesketch [36](#timesketch)</w:t>
        </w:r>
      </w:hyperlink>
    </w:p>
    <w:p>
      <w:pPr>
        <w:pStyle w:val="BodyText"/>
      </w:pPr>
      <w:hyperlink w:anchor="plaso-log2timeline">
        <w:r>
          <w:rPr>
            <w:rStyle w:val="Hyperlink"/>
          </w:rPr>
          <w:t xml:space="preserve">26. 9 Plaso / log2timeline [36](#plaso-log2timeline)</w:t>
        </w:r>
      </w:hyperlink>
    </w:p>
    <w:p>
      <w:pPr>
        <w:pStyle w:val="BodyText"/>
      </w:pPr>
      <w:hyperlink w:anchor="osquery">
        <w:r>
          <w:rPr>
            <w:rStyle w:val="Hyperlink"/>
          </w:rPr>
          <w:t xml:space="preserve">26,10 osquery [36](#osquery)</w:t>
        </w:r>
      </w:hyperlink>
    </w:p>
    <w:p>
      <w:pPr>
        <w:pStyle w:val="BodyText"/>
      </w:pPr>
      <w:hyperlink w:anchor="zeek">
        <w:r>
          <w:rPr>
            <w:rStyle w:val="Hyperlink"/>
          </w:rPr>
          <w:t xml:space="preserve">26.11 Zeek [36](#zeek)</w:t>
        </w:r>
      </w:hyperlink>
    </w:p>
    <w:p>
      <w:pPr>
        <w:pStyle w:val="BodyText"/>
      </w:pPr>
      <w:hyperlink w:anchor="suricata">
        <w:r>
          <w:rPr>
            <w:rStyle w:val="Hyperlink"/>
          </w:rPr>
          <w:t xml:space="preserve">26.12 Suricata [36](#suricata)</w:t>
        </w:r>
      </w:hyperlink>
    </w:p>
    <w:p>
      <w:pPr>
        <w:pStyle w:val="BodyText"/>
      </w:pPr>
      <w:hyperlink w:anchor="yara">
        <w:r>
          <w:rPr>
            <w:rStyle w:val="Hyperlink"/>
          </w:rPr>
          <w:t xml:space="preserve">26.13 YARA [37](#yara)</w:t>
        </w:r>
      </w:hyperlink>
    </w:p>
    <w:p>
      <w:pPr>
        <w:pStyle w:val="BodyText"/>
      </w:pPr>
      <w:hyperlink w:anchor="sigma">
        <w:r>
          <w:rPr>
            <w:rStyle w:val="Hyperlink"/>
          </w:rPr>
          <w:t xml:space="preserve">26,14 Sigma [37](#sigma)</w:t>
        </w:r>
      </w:hyperlink>
    </w:p>
    <w:p>
      <w:pPr>
        <w:pStyle w:val="BodyText"/>
      </w:pPr>
      <w:hyperlink w:anchor="dfir-iris">
        <w:r>
          <w:rPr>
            <w:rStyle w:val="Hyperlink"/>
          </w:rPr>
          <w:t xml:space="preserve">26,15 DFIR-IRIS [37](#dfir-iris)</w:t>
        </w:r>
      </w:hyperlink>
    </w:p>
    <w:p>
      <w:pPr>
        <w:pStyle w:val="BodyText"/>
      </w:pPr>
      <w:hyperlink w:anchor="grr-rapid-response">
        <w:r>
          <w:rPr>
            <w:rStyle w:val="Hyperlink"/>
          </w:rPr>
          <w:t xml:space="preserve">26,16 GRR Resposta Rápida [37](#grr-rapid-response)</w:t>
        </w:r>
      </w:hyperlink>
    </w:p>
    <w:p>
      <w:pPr>
        <w:pStyle w:val="BodyText"/>
      </w:pPr>
      <w:hyperlink w:anchor="shuffle">
        <w:r>
          <w:rPr>
            <w:rStyle w:val="Hyperlink"/>
          </w:rPr>
          <w:t xml:space="preserve">26.17 Embaralhar [38](#shuffle)</w:t>
        </w:r>
      </w:hyperlink>
    </w:p>
    <w:p>
      <w:pPr>
        <w:pStyle w:val="BodyText"/>
      </w:pPr>
      <w:hyperlink w:anchor="opensearch">
        <w:r>
          <w:rPr>
            <w:rStyle w:val="Hyperlink"/>
          </w:rPr>
          <w:t xml:space="preserve">26.18 OpenSearch [38](#opensearch)</w:t>
        </w:r>
      </w:hyperlink>
    </w:p>
    <w:p>
      <w:pPr>
        <w:pStyle w:val="BodyText"/>
      </w:pPr>
      <w:hyperlink w:anchor="managers-resilience-playbook">
        <w:r>
          <w:rPr>
            <w:rStyle w:val="Hyperlink"/>
          </w:rPr>
          <w:t xml:space="preserve">27. Manual de resiliência para gerentes [39](#managers-resilience-playbook)</w:t>
        </w:r>
      </w:hyperlink>
    </w:p>
    <w:p>
      <w:pPr>
        <w:pStyle w:val="BodyText"/>
      </w:pPr>
      <w:hyperlink w:anchor="executive-questions">
        <w:r>
          <w:rPr>
            <w:rStyle w:val="Hyperlink"/>
          </w:rPr>
          <w:t xml:space="preserve">27.1 Questões executivas [39](#executive-questions)</w:t>
        </w:r>
      </w:hyperlink>
    </w:p>
    <w:p>
      <w:pPr>
        <w:pStyle w:val="BodyText"/>
      </w:pPr>
      <w:hyperlink w:anchor="X86d744bd5a1cafcec74b120373f05f48ecf6632">
        <w:r>
          <w:rPr>
            <w:rStyle w:val="Hyperlink"/>
          </w:rPr>
          <w:t xml:space="preserve">28. Guia de carreira do analista júnior e Laboratório de Portfólio [40](#junior-analyst-career-guide-and-portfolio-lab)</w:t>
        </w:r>
      </w:hyperlink>
    </w:p>
    <w:p>
      <w:pPr>
        <w:pStyle w:val="BodyText"/>
      </w:pPr>
      <w:hyperlink w:anchor="common-roles">
        <w:r>
          <w:rPr>
            <w:rStyle w:val="Hyperlink"/>
          </w:rPr>
          <w:t xml:space="preserve">28.1 Funções comuns [40](#common-roles)</w:t>
        </w:r>
      </w:hyperlink>
    </w:p>
    <w:p>
      <w:pPr>
        <w:pStyle w:val="BodyText"/>
      </w:pPr>
      <w:hyperlink w:anchor="typical-work">
        <w:r>
          <w:rPr>
            <w:rStyle w:val="Hyperlink"/>
          </w:rPr>
          <w:t xml:space="preserve">28.2 Trabalho típico [40](#typical-work)</w:t>
        </w:r>
      </w:hyperlink>
    </w:p>
    <w:p>
      <w:pPr>
        <w:pStyle w:val="BodyText"/>
      </w:pPr>
      <w:hyperlink w:anchor="fictional-portfolio-lab">
        <w:r>
          <w:rPr>
            <w:rStyle w:val="Hyperlink"/>
          </w:rPr>
          <w:t xml:space="preserve">28.3 Laboratório de carteira fictícia [41](#fictional-portfolio-lab)</w:t>
        </w:r>
      </w:hyperlink>
    </w:p>
    <w:p>
      <w:pPr>
        <w:pStyle w:val="BodyText"/>
      </w:pPr>
      <w:hyperlink w:anchor="X9d3ff43c50199284aa04f305e752425f6b35670">
        <w:r>
          <w:rPr>
            <w:rStyle w:val="Hyperlink"/>
          </w:rPr>
          <w:t xml:space="preserve">29. Preparação do plano e da entrevista de trinta dias [42](#thirty-day-plan-and-interview-preparation)</w:t>
        </w:r>
      </w:hyperlink>
    </w:p>
    <w:p>
      <w:pPr>
        <w:pStyle w:val="BodyText"/>
      </w:pPr>
      <w:hyperlink w:anchor="X49bc2aa5491fe4aabacb3d24768b1263ba4a718">
        <w:r>
          <w:rPr>
            <w:rStyle w:val="Hyperlink"/>
          </w:rPr>
          <w:t xml:space="preserve">29.2 Qual é a diferença entre IR, BC e DR? [42](#what-is-the-difference-between-ir-bc-and-dr)</w:t>
        </w:r>
      </w:hyperlink>
    </w:p>
    <w:p>
      <w:pPr>
        <w:pStyle w:val="BodyText"/>
      </w:pPr>
      <w:hyperlink w:anchor="what-is-nist-sp-800-61-rev.-3">
        <w:r>
          <w:rPr>
            <w:rStyle w:val="Hyperlink"/>
          </w:rPr>
          <w:t xml:space="preserve">29.3 O que é NIST SP 800-61 Rev. 3? [42](#what-is-nist-sp-800-61-rev.-3)</w:t>
        </w:r>
      </w:hyperlink>
    </w:p>
    <w:p>
      <w:pPr>
        <w:pStyle w:val="BodyText"/>
      </w:pPr>
      <w:r>
        <w:t xml:space="preserve">[29.4 RTO versus RPO? [42] (#rto-versus-rpo)] (#rto-versus-rpo)</w:t>
      </w:r>
    </w:p>
    <w:p>
      <w:pPr>
        <w:pStyle w:val="BodyText"/>
      </w:pPr>
      <w:r>
        <w:t xml:space="preserve">[29.5 Como é que se analisa um incidente?]</w:t>
      </w:r>
      <w:r>
        <w:t xml:space="preserve"> </w:t>
      </w:r>
      <w:hyperlink w:anchor="how-do-you-triage-an-incident">
        <w:r>
          <w:rPr>
            <w:rStyle w:val="Hyperlink"/>
          </w:rPr>
          <w:t xml:space="preserve">42</w:t>
        </w:r>
      </w:hyperlink>
      <w:r>
        <w:t xml:space="preserve">](#how-do-you-triage-an-incident)</w:t>
      </w:r>
    </w:p>
    <w:p>
      <w:pPr>
        <w:pStyle w:val="BodyText"/>
      </w:pPr>
      <w:hyperlink w:anchor="what-makes-evidence-reliable">
        <w:r>
          <w:rPr>
            <w:rStyle w:val="Hyperlink"/>
          </w:rPr>
          <w:t xml:space="preserve">29.6 O que torna as provas fiáveis? [42](#what-makes-evidence-reliable)</w:t>
        </w:r>
      </w:hyperlink>
    </w:p>
    <w:p>
      <w:pPr>
        <w:pStyle w:val="BodyText"/>
      </w:pPr>
      <w:hyperlink w:anchor="when-is-recovery-complete">
        <w:r>
          <w:rPr>
            <w:rStyle w:val="Hyperlink"/>
          </w:rPr>
          <w:t xml:space="preserve">29.7 Quando a recuperação está concluída? [42](#when-is-recovery-complete)</w:t>
        </w:r>
      </w:hyperlink>
    </w:p>
    <w:p>
      <w:pPr>
        <w:pStyle w:val="BodyText"/>
      </w:pPr>
      <w:hyperlink w:anchor="how-do-you-close-an-improvement">
        <w:r>
          <w:rPr>
            <w:rStyle w:val="Hyperlink"/>
          </w:rPr>
          <w:t xml:space="preserve">29.8 Como você fecha uma melhoria? [42](#how-do-you-close-an-improvement)</w:t>
        </w:r>
      </w:hyperlink>
    </w:p>
    <w:p>
      <w:pPr>
        <w:pStyle w:val="BodyText"/>
      </w:pPr>
      <w:hyperlink w:anchor="what-should-a-junior-analyst-avoid">
        <w:r>
          <w:rPr>
            <w:rStyle w:val="Hyperlink"/>
          </w:rPr>
          <w:t xml:space="preserve">29,9 O que um analista júnior deve evitar? [43](#what-should-a-junior-analyst-avoid)</w:t>
        </w:r>
      </w:hyperlink>
    </w:p>
    <w:p>
      <w:pPr>
        <w:pStyle w:val="BodyText"/>
      </w:pPr>
      <w:hyperlink w:anchor="questions-to-ask-the-employer">
        <w:r>
          <w:rPr>
            <w:rStyle w:val="Hyperlink"/>
          </w:rPr>
          <w:t xml:space="preserve">29.10 Perguntas ao empregador [43](#questions-to-ask-the-employer)</w:t>
        </w:r>
      </w:hyperlink>
    </w:p>
    <w:p>
      <w:pPr>
        <w:pStyle w:val="BodyText"/>
      </w:pPr>
      <w:hyperlink w:anchor="templates-glossary-index-and-references">
        <w:r>
          <w:rPr>
            <w:rStyle w:val="Hyperlink"/>
          </w:rPr>
          <w:t xml:space="preserve">30. Modelos, Glossário, Índice e Referências [44](#templates-glossary-index-and-references)</w:t>
        </w:r>
      </w:hyperlink>
    </w:p>
    <w:p>
      <w:pPr>
        <w:pStyle w:val="BodyText"/>
      </w:pPr>
      <w:hyperlink w:anchor="incident-case-record">
        <w:r>
          <w:rPr>
            <w:rStyle w:val="Hyperlink"/>
          </w:rPr>
          <w:t xml:space="preserve">30.1 Registo de casos de incidentes [44](#incident-case-record)</w:t>
        </w:r>
      </w:hyperlink>
    </w:p>
    <w:p>
      <w:pPr>
        <w:pStyle w:val="BodyText"/>
      </w:pPr>
      <w:hyperlink w:anchor="bia-and-continuity-record">
        <w:r>
          <w:rPr>
            <w:rStyle w:val="Hyperlink"/>
          </w:rPr>
          <w:t xml:space="preserve">30.2 Registo BIA e de continuidade [44](#bia-and-continuity-record)</w:t>
        </w:r>
      </w:hyperlink>
    </w:p>
    <w:p>
      <w:pPr>
        <w:pStyle w:val="BodyText"/>
      </w:pPr>
      <w:hyperlink w:anchor="evidence-and-chain-of-custody-record">
        <w:r>
          <w:rPr>
            <w:rStyle w:val="Hyperlink"/>
          </w:rPr>
          <w:t xml:space="preserve">30.3 Registo de provas e de cadeia de custódia [44](#evidence-and-chain-of-custody-record)</w:t>
        </w:r>
      </w:hyperlink>
    </w:p>
    <w:p>
      <w:pPr>
        <w:pStyle w:val="BodyText"/>
      </w:pPr>
      <w:hyperlink w:anchor="exercise-and-corrective-action-record">
        <w:r>
          <w:rPr>
            <w:rStyle w:val="Hyperlink"/>
          </w:rPr>
          <w:t xml:space="preserve">30.4 Registo de exercício e de acção correctiva [44](#exercise-and-corrective-action-record)</w:t>
        </w:r>
      </w:hyperlink>
    </w:p>
    <w:p>
      <w:pPr>
        <w:pStyle w:val="BodyText"/>
      </w:pPr>
      <w:hyperlink w:anchor="glossary">
        <w:r>
          <w:rPr>
            <w:rStyle w:val="Hyperlink"/>
          </w:rPr>
          <w:t xml:space="preserve">30,5 Glossário [45](#glossary)</w:t>
        </w:r>
      </w:hyperlink>
    </w:p>
    <w:p>
      <w:pPr>
        <w:pStyle w:val="BodyText"/>
      </w:pPr>
      <w:hyperlink w:anchor="subject-index">
        <w:r>
          <w:rPr>
            <w:rStyle w:val="Hyperlink"/>
          </w:rPr>
          <w:t xml:space="preserve">30,6 Índice de assunto [45](#subject-index)</w:t>
        </w:r>
      </w:hyperlink>
    </w:p>
    <w:p>
      <w:pPr>
        <w:pStyle w:val="BodyText"/>
      </w:pPr>
      <w:hyperlink w:anchor="official-references">
        <w:r>
          <w:rPr>
            <w:rStyle w:val="Hyperlink"/>
          </w:rPr>
          <w:t xml:space="preserve">30.7 Referências oficiais [46](#official-references)</w:t>
        </w:r>
      </w:hyperlink>
    </w:p>
    <w:p>
      <w:pPr>
        <w:pStyle w:val="BodyText"/>
      </w:pPr>
      <w:r>
        <w:t xml:space="preserve">Guia do Capítulo</w:t>
      </w:r>
    </w:p>
    <w:bookmarkEnd w:id="20"/>
    <w:bookmarkStart w:id="21" w:name="capítulo-título-início-na-página"/>
    <w:p>
      <w:pPr>
        <w:pStyle w:val="Heading2"/>
      </w:pPr>
      <w:r>
        <w:t xml:space="preserve">Capítulo** Título** Início na página**</w:t>
      </w:r>
    </w:p>
    <w:p>
      <w:pPr>
        <w:pStyle w:val="FirstParagraph"/>
      </w:pPr>
      <w:r>
        <w:t xml:space="preserve">1 IR, Continuidade de Negócios e Fundações de Recuperação de Desastres</w:t>
      </w:r>
      <w:r>
        <w:t xml:space="preserve"> </w:t>
      </w:r>
      <w:r>
        <w:t xml:space="preserve">2 Governança, Política e Funções</w:t>
      </w:r>
      <w:r>
        <w:t xml:space="preserve"> </w:t>
      </w:r>
      <w:r>
        <w:t xml:space="preserve">Avaliação de Risco e Análise de Impacto das Empresas</w:t>
      </w:r>
      <w:r>
        <w:t xml:space="preserve"> </w:t>
      </w:r>
      <w:r>
        <w:t xml:space="preserve">Modelo de resposta de incidentes NIST atual</w:t>
      </w:r>
      <w:r>
        <w:t xml:space="preserve"> </w:t>
      </w:r>
      <w:r>
        <w:t xml:space="preserve">Preparação e preparação</w:t>
      </w:r>
      <w:r>
        <w:t xml:space="preserve"> </w:t>
      </w:r>
      <w:r>
        <w:t xml:space="preserve">Detecção e Validação de Eventos</w:t>
      </w:r>
      <w:r>
        <w:t xml:space="preserve"> </w:t>
      </w:r>
      <w:r>
        <w:t xml:space="preserve">7 . . . Triagem, Severidade e Escalação . . .</w:t>
      </w:r>
      <w:r>
        <w:t xml:space="preserve"> </w:t>
      </w:r>
      <w:r>
        <w:t xml:space="preserve">8 Investigação e Escopo 13</w:t>
      </w:r>
      <w:r>
        <w:t xml:space="preserve"> </w:t>
      </w:r>
      <w:r>
        <w:t xml:space="preserve">Estratégia de contenção</w:t>
      </w:r>
      <w:r>
        <w:t xml:space="preserve"> </w:t>
      </w:r>
      <w:r>
        <w:t xml:space="preserve">10 , Erradicação e Remediação , 15 ,</w:t>
      </w:r>
      <w:r>
        <w:t xml:space="preserve"> </w:t>
      </w:r>
      <w:r>
        <w:t xml:space="preserve">Recuperação e retorno ao serviço 16</w:t>
      </w:r>
      <w:r>
        <w:t xml:space="preserve"> </w:t>
      </w:r>
      <w:r>
        <w:t xml:space="preserve">12 Lições aprendidas e Melhorias 17</w:t>
      </w:r>
      <w:r>
        <w:t xml:space="preserve"> </w:t>
      </w:r>
      <w:r>
        <w:t xml:space="preserve">• 13 • Coordenação da Comunicação, Jurídica e Regulatória □ 18</w:t>
      </w:r>
      <w:r>
        <w:t xml:space="preserve"> </w:t>
      </w:r>
      <w:r>
        <w:t xml:space="preserve">• 14 • Evidências Digitais e Prontidão Forense</w:t>
      </w:r>
      <w:r>
        <w:t xml:space="preserve"> </w:t>
      </w:r>
      <w:r>
        <w:t xml:space="preserve">15 Resgates e Ataques Destrutivos</w:t>
      </w:r>
      <w:r>
        <w:t xml:space="preserve"> </w:t>
      </w:r>
      <w:r>
        <w:t xml:space="preserve">Resposta ao Incidente da Nuvem e da SaaS</w:t>
      </w:r>
      <w:r>
        <w:t xml:space="preserve"> </w:t>
      </w:r>
      <w:r>
        <w:t xml:space="preserve">17 □ Incidentes de Identidade e Acesso Privilegiado</w:t>
      </w:r>
      <w:r>
        <w:t xml:space="preserve"> </w:t>
      </w:r>
      <w:r>
        <w:t xml:space="preserve">Incidentes da Terceira Parte e da Terceira Cadeia de Fornecimentos</w:t>
      </w:r>
      <w:r>
        <w:t xml:space="preserve"> </w:t>
      </w:r>
      <w:r>
        <w:t xml:space="preserve">Sistema de Gestão da Continuidade de Negócios ..</w:t>
      </w:r>
      <w:r>
        <w:t xml:space="preserve"> </w:t>
      </w:r>
      <w:r>
        <w:t xml:space="preserve">Estratégias e Procedimentos de Continuidade</w:t>
      </w:r>
      <w:r>
        <w:t xml:space="preserve"> </w:t>
      </w:r>
      <w:r>
        <w:t xml:space="preserve">Planejamento de Recuperação de Desastres</w:t>
      </w:r>
      <w:r>
        <w:t xml:space="preserve"> </w:t>
      </w:r>
      <w:r>
        <w:t xml:space="preserve">22 backups e garantia de recuperação 27</w:t>
      </w:r>
      <w:r>
        <w:t xml:space="preserve"> </w:t>
      </w:r>
      <w:r>
        <w:t xml:space="preserve">Gestão de Crises e Fatores Humanos</w:t>
      </w:r>
      <w:r>
        <w:t xml:space="preserve"> </w:t>
      </w:r>
      <w:r>
        <w:t xml:space="preserve">24 Exercícios, Treinamento e Manutenção do Plano</w:t>
      </w:r>
      <w:r>
        <w:t xml:space="preserve"> </w:t>
      </w:r>
      <w:r>
        <w:t xml:space="preserve">O mapeamento de conformidade, teste de evidência, e métrica</w:t>
      </w:r>
      <w:r>
        <w:t xml:space="preserve"> </w:t>
      </w:r>
      <w:r>
        <w:t xml:space="preserve">26 Ferramentas Open-Source 32</w:t>
      </w:r>
      <w:r>
        <w:t xml:space="preserve"> </w:t>
      </w:r>
      <w:r>
        <w:t xml:space="preserve">Jogo de Resiliência do Gerente ..27 .</w:t>
      </w:r>
      <w:r>
        <w:t xml:space="preserve"> </w:t>
      </w:r>
      <w:r>
        <w:t xml:space="preserve">Guia de Carreira e Laboratório de Portfólio do Junior</w:t>
      </w:r>
      <w:r>
        <w:t xml:space="preserve"> </w:t>
      </w:r>
      <w:r>
        <w:t xml:space="preserve">O Plano e a Preparação da Entrevista de Trinta Dias</w:t>
      </w:r>
      <w:r>
        <w:t xml:space="preserve"> </w:t>
      </w:r>
      <w:r>
        <w:t xml:space="preserve">Modelos, Glossário, Índice e Referências</w:t>
      </w:r>
    </w:p>
    <w:bookmarkEnd w:id="21"/>
    <w:bookmarkStart w:id="26" w:name="Xa31b884c93bf8be8cc0c2c12ea1565d5c0de5f3"/>
    <w:p>
      <w:pPr>
        <w:pStyle w:val="Heading1"/>
      </w:pPr>
      <w:r>
        <w:t xml:space="preserve">1. IR, Continuidade de Negócios e Fundações de Recuperação de Desastres</w:t>
      </w:r>
    </w:p>
    <w:p>
      <w:pPr>
        <w:numPr>
          <w:ilvl w:val="0"/>
          <w:numId w:val="1002"/>
        </w:numPr>
        <w:pStyle w:val="Compact"/>
      </w:pPr>
      <w:r>
        <w:t xml:space="preserve">Resiliência conecta resposta cibernética, operações críticas, restauração de tecnologia e liderança.*</w:t>
      </w:r>
    </w:p>
    <w:p>
      <w:pPr>
        <w:pStyle w:val="CaptionedFigure"/>
      </w:pPr>
      <w:r>
        <w:drawing>
          <wp:inline>
            <wp:extent cx="5334000" cy="2945449"/>
            <wp:effectExtent b="0" l="0" r="0" t="0"/>
            <wp:docPr descr="Governa, Identificar e Proteger a preparação de suporte; Detectar, Responder e Recuperar incidentes lidar; lições melhorar cada função." title="" id="23" name="Picture"/>
            <a:graphic>
              <a:graphicData uri="http://schemas.openxmlformats.org/drawingml/2006/picture">
                <pic:pic>
                  <pic:nvPicPr>
                    <pic:cNvPr descr="media/image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5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Governa, Identificar e Proteger a preparação de suporte; Detectar, Responder e Recuperar incidentes lidar; lições melhorar cada função.</w:t>
      </w:r>
    </w:p>
    <w:p>
      <w:pPr>
        <w:pStyle w:val="BodyText"/>
      </w:pPr>
      <w:r>
        <w:t xml:space="preserve">Figura 1. Ciclo integrado de resiliência cibernética</w:t>
      </w:r>
    </w:p>
    <w:bookmarkStart w:id="25" w:name="capacidade-questão-primária-dono-típico"/>
    <w:p>
      <w:pPr>
        <w:pStyle w:val="Heading2"/>
      </w:pPr>
      <w:r>
        <w:t xml:space="preserve">Capacidade ** ** Questão primária ** ** Dono típico **</w:t>
      </w:r>
    </w:p>
    <w:p>
      <w:pPr>
        <w:pStyle w:val="FirstParagraph"/>
      </w:pPr>
      <w:r>
        <w:t xml:space="preserve">Como detectamos, concentramos, removemos, recuperamos e aprendemos com incidentes cibernéticos? Comandante de segurança / incidente</w:t>
      </w:r>
      <w:r>
        <w:t xml:space="preserve"> </w:t>
      </w:r>
      <w:r>
        <w:t xml:space="preserve">Como continuarão os produtos e serviços críticos durante a interrupção? Continuidade de negócios / proprietários de processos</w:t>
      </w:r>
      <w:r>
        <w:t xml:space="preserve"> </w:t>
      </w:r>
      <w:r>
        <w:t xml:space="preserve">Como a tecnologia e os dados serão restaurados aos alvos aprovados? Os proprietários de TI / sistema e recuperação</w:t>
      </w:r>
      <w:r>
        <w:t xml:space="preserve"> </w:t>
      </w:r>
      <w:r>
        <w:t xml:space="preserve">Como os líderes tomarão decisões de alto impacto e coordenarão as partes interessadas? Equipa de crise executiva</w:t>
      </w:r>
      <w:r>
        <w:t xml:space="preserve"> </w:t>
      </w:r>
      <w:r>
        <w:t xml:space="preserve">Como as pessoas serão protegidas durante o perigo físico? Instalações / segurança / autoridades públicas</w:t>
      </w:r>
    </w:p>
    <w:p>
      <w:pPr>
        <w:pStyle w:val="BodyText"/>
      </w:pPr>
      <w:r>
        <w:t xml:space="preserve">Não confunda os planos: Eles devem coordenar, mas têm objetivos diferentes, autoridades, gatilhos, equipes e evidências. Um documento raramente serve bem a todas as necessidades. □</w:t>
      </w:r>
      <w:r>
        <w:t xml:space="preserve"> </w:t>
      </w:r>
      <w:r>
        <w:t xml:space="preserve">O que é que se passa?</w:t>
      </w:r>
    </w:p>
    <w:bookmarkEnd w:id="25"/>
    <w:bookmarkEnd w:id="26"/>
    <w:bookmarkStart w:id="29" w:name="governança-política-e-funções"/>
    <w:p>
      <w:pPr>
        <w:pStyle w:val="Heading1"/>
      </w:pPr>
      <w:r>
        <w:t xml:space="preserve">2. Governança, Política e Funções</w:t>
      </w:r>
    </w:p>
    <w:p>
      <w:pPr>
        <w:numPr>
          <w:ilvl w:val="0"/>
          <w:numId w:val="1003"/>
        </w:numPr>
        <w:pStyle w:val="Compact"/>
      </w:pPr>
      <w:r>
        <w:t xml:space="preserve">Autoridade, direitos de decisão, contatos e recursos devem existir antes que a pressão comece.*</w:t>
      </w:r>
    </w:p>
    <w:bookmarkStart w:id="28" w:name="o-essencial-da-governança"/>
    <w:p>
      <w:pPr>
        <w:pStyle w:val="Heading2"/>
      </w:pPr>
      <w:r>
        <w:t xml:space="preserve">2.1 O essencial da governança</w:t>
      </w:r>
    </w:p>
    <w:p>
      <w:pPr>
        <w:numPr>
          <w:ilvl w:val="0"/>
          <w:numId w:val="1004"/>
        </w:numPr>
      </w:pPr>
      <w:r>
        <w:t xml:space="preserve">Política, âmbito de aplicação, objectivos, autoridades, critérios de risco e recursos aprovados pelo Executivo.</w:t>
      </w:r>
    </w:p>
    <w:p>
      <w:pPr>
        <w:numPr>
          <w:ilvl w:val="0"/>
          <w:numId w:val="1004"/>
        </w:numPr>
      </w:pPr>
      <w:r>
        <w:t xml:space="preserve">Nomeado comandante incidente, líder técnico, líder de continuidade, líder de recuperação, líder de comunicações, contatos legais/privacy e suplentes.</w:t>
      </w:r>
    </w:p>
    <w:p>
      <w:pPr>
        <w:numPr>
          <w:ilvl w:val="0"/>
          <w:numId w:val="1004"/>
        </w:numPr>
      </w:pPr>
      <w:r>
        <w:t xml:space="preserve">Limiares de gravidade e ativação, vias de escalada, autoridade de mudança de emergência, autoridade de despesa e aceitação de riscos comerciais.</w:t>
      </w:r>
    </w:p>
    <w:p>
      <w:pPr>
        <w:numPr>
          <w:ilvl w:val="0"/>
          <w:numId w:val="1004"/>
        </w:numPr>
      </w:pPr>
      <w:r>
        <w:t xml:space="preserve">Métodos de contato seguros, comunicações fora da faixa, árvores de chamada, fornecedores, seguradoras, reguladores e autoridades públicas.</w:t>
      </w:r>
    </w:p>
    <w:p>
      <w:pPr>
        <w:numPr>
          <w:ilvl w:val="0"/>
          <w:numId w:val="1004"/>
        </w:numPr>
      </w:pPr>
      <w:r>
        <w:t xml:space="preserve">Planejar a propriedade, controle de versão, distribuição, treinamento, exercício, revisão e programação de melhoria.</w:t>
      </w:r>
    </w:p>
    <w:p>
      <w:pPr>
        <w:numPr>
          <w:ilvl w:val="0"/>
          <w:numId w:val="1004"/>
        </w:numPr>
        <w:pStyle w:val="Heading2"/>
      </w:pPr>
      <w:bookmarkStart w:id="27" w:name="decisões-chave"/>
      <w:r>
        <w:t xml:space="preserve">** ** ** ** ** ** Decisões-chave**</w:t>
      </w:r>
      <w:bookmarkEnd w:id="27"/>
    </w:p>
    <w:p>
      <w:pPr>
        <w:numPr>
          <w:ilvl w:val="0"/>
          <w:numId w:val="1000"/>
        </w:numPr>
      </w:pPr>
      <w:r>
        <w:t xml:space="preserve">Comandante do incidente . Objetivos, prioridades, coordenação de tarefas, ritmo de status, escalada .</w:t>
      </w:r>
      <w:r>
        <w:t xml:space="preserve"> </w:t>
      </w:r>
      <w:r>
        <w:t xml:space="preserve">• Chumbo técnico • Investigação, âmbito, contenção, erradicação, critérios de recuperação</w:t>
      </w:r>
      <w:r>
        <w:t xml:space="preserve"> </w:t>
      </w:r>
      <w:r>
        <w:t xml:space="preserve">O proprietário da empresa O impacto operacional, solução alternativa, prioridade, aceitação do retorno ao serviço</w:t>
      </w:r>
      <w:r>
        <w:t xml:space="preserve"> </w:t>
      </w:r>
      <w:r>
        <w:t xml:space="preserve">□ Continuidade / DR lead □ Processo/site alternativo, sequência de recuperação, conflitos de recursos</w:t>
      </w:r>
      <w:r>
        <w:t xml:space="preserve"> </w:t>
      </w:r>
      <w:r>
        <w:t xml:space="preserve">□ Legal / privacidade □ Privilégio, preservação, análise de notificação, autoridades, contratos</w:t>
      </w:r>
      <w:r>
        <w:t xml:space="preserve"> </w:t>
      </w:r>
      <w:r>
        <w:t xml:space="preserve">□ Comunicações □ Funcionários, clientes, parceiros, público, mídia, aprovação de mensagens</w:t>
      </w:r>
      <w:r>
        <w:t xml:space="preserve"> </w:t>
      </w:r>
      <w:r>
        <w:t xml:space="preserve">□ Escriba / evidência de custódia</w:t>
      </w:r>
      <w:r>
        <w:t xml:space="preserve"> </w:t>
      </w:r>
      <w:r>
        <w:t xml:space="preserve">Segurança, risco material, estratégia, recursos, postura externa</w:t>
      </w:r>
    </w:p>
    <w:bookmarkEnd w:id="28"/>
    <w:bookmarkEnd w:id="29"/>
    <w:bookmarkStart w:id="36" w:name="Xb777adbff45fdce93bd870b2d4e7d1ac6bcf79d"/>
    <w:p>
      <w:pPr>
        <w:pStyle w:val="Heading1"/>
      </w:pPr>
      <w:r>
        <w:t xml:space="preserve">3. Avaliação de risco e análise de impacto empresarial</w:t>
      </w:r>
    </w:p>
    <w:p>
      <w:pPr>
        <w:pStyle w:val="FirstParagraph"/>
      </w:pPr>
      <w:r>
        <w:rPr>
          <w:iCs/>
          <w:i/>
        </w:rPr>
        <w:t xml:space="preserve">Uma análise de impacto empresarial torna vaga importância em requisitos de recuperação baseados no tempo.</w:t>
      </w:r>
    </w:p>
    <w:p>
      <w:pPr>
        <w:pStyle w:val="CaptionedFigure"/>
      </w:pPr>
      <w:r>
        <w:drawing>
          <wp:inline>
            <wp:extent cx="5334000" cy="2945449"/>
            <wp:effectExtent b="0" l="0" r="0" t="0"/>
            <wp:docPr descr="Analisar o impacto antes de escolher soluções de tecnologia ou continuidade." title="" id="31" name="Picture"/>
            <a:graphic>
              <a:graphicData uri="http://schemas.openxmlformats.org/drawingml/2006/picture">
                <pic:pic>
                  <pic:nvPicPr>
                    <pic:cNvPr descr="media/image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5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Analisar o impacto antes de escolher soluções de tecnologia ou continuidade.</w:t>
      </w:r>
    </w:p>
    <w:p>
      <w:pPr>
        <w:pStyle w:val="BodyText"/>
      </w:pPr>
      <w:r>
        <w:t xml:space="preserve">Figura 2. Cadeia de raciocínio BIA</w:t>
      </w:r>
    </w:p>
    <w:bookmarkStart w:id="34" w:name="método-bia"/>
    <w:p>
      <w:pPr>
        <w:pStyle w:val="Heading2"/>
      </w:pPr>
      <w:r>
        <w:t xml:space="preserve">3.1 Método BIA</w:t>
      </w:r>
    </w:p>
    <w:p>
      <w:pPr>
        <w:numPr>
          <w:ilvl w:val="0"/>
          <w:numId w:val="1005"/>
        </w:numPr>
      </w:pPr>
      <w:r>
        <w:t xml:space="preserve">Defina produtos, serviços, processos, proprietários, clientes e saída mínima aceitável.</w:t>
      </w:r>
    </w:p>
    <w:p>
      <w:pPr>
        <w:numPr>
          <w:ilvl w:val="0"/>
          <w:numId w:val="1005"/>
        </w:numPr>
      </w:pPr>
      <w:r>
        <w:t xml:space="preserve">Estimar a segurança, legal, cliente, financeira, operacional, privacidade, segurança e impacto reputacional à medida que o comprimento da ruptura aumenta.</w:t>
      </w:r>
    </w:p>
    <w:p>
      <w:pPr>
        <w:numPr>
          <w:ilvl w:val="0"/>
          <w:numId w:val="1005"/>
        </w:numPr>
      </w:pPr>
      <w:r>
        <w:t xml:space="preserve">Definir o período máximo tolerável de ruptura (MTPD/MAO) e um objetivo de tempo de recuperação (RTO) que se encaixa dentro dele.</w:t>
      </w:r>
    </w:p>
    <w:p>
      <w:pPr>
        <w:numPr>
          <w:ilvl w:val="0"/>
          <w:numId w:val="1005"/>
        </w:numPr>
      </w:pPr>
      <w:r>
        <w:t xml:space="preserve">Definir o objetivo ponto de recuperação (RPO): a perda máxima de dados toleráveis medidos no tempo.</w:t>
      </w:r>
    </w:p>
    <w:p>
      <w:pPr>
        <w:numPr>
          <w:ilvl w:val="0"/>
          <w:numId w:val="1005"/>
        </w:numPr>
      </w:pPr>
      <w:r>
        <w:t xml:space="preserve">Identificar pessoas, instalações, tecnologia, dados, fornecedores, utilitários, comunicações, registros e dependências upstream/downstream.</w:t>
      </w:r>
    </w:p>
    <w:p>
      <w:pPr>
        <w:numPr>
          <w:ilvl w:val="0"/>
          <w:numId w:val="1005"/>
        </w:numPr>
      </w:pPr>
      <w:r>
        <w:t xml:space="preserve">Validar suposições com proprietários de processos e liderança; resolver prioridades conflitantes.</w:t>
      </w:r>
    </w:p>
    <w:p>
      <w:pPr>
        <w:numPr>
          <w:ilvl w:val="0"/>
          <w:numId w:val="1005"/>
        </w:numPr>
      </w:pPr>
      <w:r>
        <w:t xml:space="preserve">Use resultados para selecionar estratégias, níveis de recuperação, testes, investimentos e planejar conteúdo.</w:t>
      </w:r>
    </w:p>
    <w:p>
      <w:pPr>
        <w:numPr>
          <w:ilvl w:val="0"/>
          <w:numId w:val="1005"/>
        </w:numPr>
        <w:pStyle w:val="Heading2"/>
      </w:pPr>
      <w:bookmarkStart w:id="33" w:name="exemplo"/>
      <w:r>
        <w:t xml:space="preserve">** ** ** ** ** ** ** ** Exemplo **</w:t>
      </w:r>
      <w:bookmarkEnd w:id="33"/>
    </w:p>
    <w:p>
      <w:pPr>
        <w:numPr>
          <w:ilvl w:val="0"/>
          <w:numId w:val="1000"/>
        </w:numPr>
      </w:pPr>
      <w:r>
        <w:t xml:space="preserve">Mais longo rompimento tolerável antes de danos inaceitáveis</w:t>
      </w:r>
      <w:r>
        <w:t xml:space="preserve"> </w:t>
      </w:r>
      <w:r>
        <w:t xml:space="preserve">Tempo de destino para restaurar um processo ou recurso</w:t>
      </w:r>
      <w:r>
        <w:t xml:space="preserve"> </w:t>
      </w:r>
      <w:r>
        <w:t xml:space="preserve">Perda máxima de dados toleráveis medida para trás a partir de rupturas</w:t>
      </w:r>
      <w:r>
        <w:t xml:space="preserve"> </w:t>
      </w:r>
      <w:r>
        <w:t xml:space="preserve">□ Nível mínimo de serviço □ Capacidade mais reduzida aceitável durante o modo de continuidade</w:t>
      </w:r>
      <w:r>
        <w:t xml:space="preserve"> </w:t>
      </w:r>
      <w:r>
        <w:t xml:space="preserve">Dependência Resource outro processo precisa entregar a sua saída Identidade, DNS, região de nuvem, pessoas, fornecedor</w:t>
      </w:r>
    </w:p>
    <w:bookmarkEnd w:id="34"/>
    <w:bookmarkStart w:id="35" w:name="X83d27d136705fab7fd08836cfd55eb866275e35"/>
    <w:p>
      <w:pPr>
        <w:pStyle w:val="Heading2"/>
      </w:pPr>
      <w:r>
        <w:t xml:space="preserve">Erro comum:** RTO e RPO são requisitos de negócios, não configurações de produtos de backup. Teste se o serviço completo de ponta a ponta pode realmente conhecê-los. □</w:t>
      </w:r>
    </w:p>
    <w:bookmarkEnd w:id="35"/>
    <w:bookmarkEnd w:id="36"/>
    <w:bookmarkStart w:id="40" w:name="X9c66590d4aada59a67f654a427146a8dc7741a2"/>
    <w:p>
      <w:pPr>
        <w:pStyle w:val="Heading1"/>
      </w:pPr>
      <w:r>
        <w:t xml:space="preserve">4. NIST atual Modelo de resposta a incidentes</w:t>
      </w:r>
    </w:p>
    <w:p>
      <w:pPr>
        <w:pStyle w:val="FirstParagraph"/>
      </w:pPr>
      <w:r>
        <w:rPr>
          <w:iCs/>
          <w:i/>
        </w:rPr>
        <w:t xml:space="preserve">NIST SP 800-61 Rev. 3 integra resposta incidente nas seis funções CSF 2.0.</w:t>
      </w:r>
    </w:p>
    <w:bookmarkStart w:id="37" w:name="Xe5f44f295907fe4ae675a7b3dcdbf3d54906005"/>
    <w:p>
      <w:pPr>
        <w:pStyle w:val="Heading2"/>
      </w:pPr>
      <w:r>
        <w:t xml:space="preserve">** ** CSF Função** ** ** Contribuição para a resposta a incidentes**</w:t>
      </w:r>
    </w:p>
    <w:p>
      <w:pPr>
        <w:pStyle w:val="FirstParagraph"/>
      </w:pPr>
      <w:r>
        <w:t xml:space="preserve">□ Governar □ Política, funções, autoridades, necessidades legais e contratuais, responsabilidades do fornecedor, supervisão, melhoria</w:t>
      </w:r>
      <w:r>
        <w:t xml:space="preserve"> </w:t>
      </w:r>
      <w:r>
        <w:t xml:space="preserve">□ Identificar ativos, serviços, dados, dependências, riscos, vulnerabilidades, necessidades de melhoria</w:t>
      </w:r>
      <w:r>
        <w:t xml:space="preserve"> </w:t>
      </w:r>
      <w:r>
        <w:t xml:space="preserve">Proteger a identidade, configuração, consciência, segurança de dados, manutenção, resiliência, tecnologia de proteção</w:t>
      </w:r>
      <w:r>
        <w:t xml:space="preserve"> </w:t>
      </w:r>
      <w:r>
        <w:t xml:space="preserve">Detectar □ Monitoramento contínuo e análise de eventos adversos</w:t>
      </w:r>
      <w:r>
        <w:t xml:space="preserve"> </w:t>
      </w:r>
      <w:r>
        <w:t xml:space="preserve">Responda □ Gestão, análise, comunicação, mitigação</w:t>
      </w:r>
      <w:r>
        <w:t xml:space="preserve"> </w:t>
      </w:r>
      <w:r>
        <w:t xml:space="preserve">Recuperar Recuperação-plano de execução, restauração, verificação e recuperação de comunicação</w:t>
      </w:r>
    </w:p>
    <w:p>
      <w:pPr>
        <w:pStyle w:val="BodyText"/>
      </w:pPr>
      <w:r>
        <w:t xml:space="preserve">O que mudou do Apocalipse 2:** A preparação mais antiga – detecção/análise – contenção/eradicação/recuperação – diagrama pós-incidente permanece útil operacionalmente, mas o Rev. 3 substitui o Rev. 2 e enquadra a resposta como gerenciamento de risco de segurança cibernética em toda a organização. □</w:t>
      </w:r>
      <w:r>
        <w:t xml:space="preserve"> </w:t>
      </w:r>
      <w:r>
        <w:t xml:space="preserve">□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bookmarkEnd w:id="37"/>
    <w:bookmarkStart w:id="38" w:name="sequência-operacional-prática"/>
    <w:p>
      <w:pPr>
        <w:pStyle w:val="Heading2"/>
      </w:pPr>
      <w:r>
        <w:t xml:space="preserve">4.1 Sequência operacional prática</w:t>
      </w:r>
    </w:p>
    <w:p>
      <w:pPr>
        <w:numPr>
          <w:ilvl w:val="0"/>
          <w:numId w:val="1006"/>
        </w:numPr>
      </w:pPr>
      <w:r>
        <w:t xml:space="preserve">Preparar continuamente através de governança, identificação e proteção.</w:t>
      </w:r>
    </w:p>
    <w:p>
      <w:pPr>
        <w:numPr>
          <w:ilvl w:val="0"/>
          <w:numId w:val="1006"/>
        </w:numPr>
      </w:pPr>
      <w:r>
        <w:t xml:space="preserve">Detectar um possível evento adverso e validá-lo.</w:t>
      </w:r>
    </w:p>
    <w:p>
      <w:pPr>
        <w:numPr>
          <w:ilvl w:val="0"/>
          <w:numId w:val="1006"/>
        </w:numPr>
      </w:pPr>
      <w:r>
        <w:t xml:space="preserve">Gerenciar, analisar, comunicar, conter e mitigar o incidente.</w:t>
      </w:r>
    </w:p>
    <w:p>
      <w:pPr>
        <w:numPr>
          <w:ilvl w:val="0"/>
          <w:numId w:val="1006"/>
        </w:numPr>
      </w:pPr>
      <w:r>
        <w:t xml:space="preserve">Restaurar com segurança e comunicar recuperação.</w:t>
      </w:r>
    </w:p>
    <w:p>
      <w:pPr>
        <w:numPr>
          <w:ilvl w:val="0"/>
          <w:numId w:val="1006"/>
        </w:numPr>
      </w:pPr>
      <w:r>
        <w:t xml:space="preserve">Capture lições e melhore todas as seis funções.</w:t>
      </w:r>
    </w:p>
    <w:p>
      <w:pPr>
        <w:numPr>
          <w:ilvl w:val="0"/>
          <w:numId w:val="1007"/>
        </w:numPr>
        <w:pStyle w:val="Compact"/>
      </w:pPr>
      <w:r>
        <w:t xml:space="preserve">Preparação e preparação</w:t>
      </w:r>
    </w:p>
    <w:p>
      <w:pPr>
        <w:numPr>
          <w:ilvl w:val="0"/>
          <w:numId w:val="1008"/>
        </w:numPr>
        <w:pStyle w:val="Compact"/>
      </w:pPr>
      <w:r>
        <w:t xml:space="preserve">A preparação reduz a confusão, falhas de acesso, perda de provas e improvisação perigosa.*</w:t>
      </w:r>
    </w:p>
    <w:bookmarkEnd w:id="38"/>
    <w:bookmarkStart w:id="39" w:name="lista-de-verificação-de-prontidão"/>
    <w:p>
      <w:pPr>
        <w:pStyle w:val="Heading2"/>
      </w:pPr>
      <w:r>
        <w:t xml:space="preserve">5.1 Lista de verificação de prontidão</w:t>
      </w:r>
    </w:p>
    <w:p>
      <w:pPr>
        <w:numPr>
          <w:ilvl w:val="0"/>
          <w:numId w:val="1009"/>
        </w:numPr>
      </w:pPr>
      <w:r>
        <w:t xml:space="preserve">Activo actual, identidade, dados, aplicação, fornecedor, log-source e inventários de dependência.</w:t>
      </w:r>
    </w:p>
    <w:p>
      <w:pPr>
        <w:numPr>
          <w:ilvl w:val="0"/>
          <w:numId w:val="1009"/>
        </w:numPr>
      </w:pPr>
      <w:r>
        <w:t xml:space="preserve">Planos protegidos, contatos offline, diagramas, credenciais, kits de salto, ferramentas forenses, dispositivos limpos, licenças e comunicações seguras.</w:t>
      </w:r>
    </w:p>
    <w:p>
      <w:pPr>
        <w:numPr>
          <w:ilvl w:val="0"/>
          <w:numId w:val="1009"/>
        </w:numPr>
      </w:pPr>
      <w:r>
        <w:t xml:space="preserve">Sincronização de tempo central, registro suficiente, endpoint/rede/telemetria de nuvens, cobertura de detecção, retenção e acesso testado.</w:t>
      </w:r>
    </w:p>
    <w:p>
      <w:pPr>
        <w:numPr>
          <w:ilvl w:val="0"/>
          <w:numId w:val="1009"/>
        </w:numPr>
      </w:pPr>
      <w:r>
        <w:t xml:space="preserve">Ações de contenção pré-aprovadas, mudanças de emergência, métodos de isolamento, suspensão de conta, rotação token/key, bloqueio de domínio e critérios de desligamento do sistema.</w:t>
      </w:r>
    </w:p>
    <w:p>
      <w:pPr>
        <w:numPr>
          <w:ilvl w:val="0"/>
          <w:numId w:val="1009"/>
        </w:numPr>
      </w:pPr>
      <w:r>
        <w:t xml:space="preserve">Preservação de provas, privacidade, detenção legal, cadeia de custódia, seguro, aplicação da lei e procedimentos de notificação.</w:t>
      </w:r>
    </w:p>
    <w:p>
      <w:pPr>
        <w:numPr>
          <w:ilvl w:val="0"/>
          <w:numId w:val="1009"/>
        </w:numPr>
      </w:pPr>
      <w:r>
        <w:t xml:space="preserve">Imagens conhecidas, processo de construção seguro, backups protegidos, ordem de restauração, critérios de validação e aceitação de negócios.</w:t>
      </w:r>
    </w:p>
    <w:p>
      <w:pPr>
        <w:numPr>
          <w:ilvl w:val="0"/>
          <w:numId w:val="1009"/>
        </w:numPr>
      </w:pPr>
      <w:r>
        <w:t xml:space="preserve">Treinamento de papéis, exercícios técnicos e de mesa, testes de call-tree e melhorias rastreadas.</w:t>
      </w:r>
    </w:p>
    <w:bookmarkEnd w:id="39"/>
    <w:bookmarkEnd w:id="40"/>
    <w:bookmarkStart w:id="42" w:name="design-de-livro-de-jogos"/>
    <w:p>
      <w:pPr>
        <w:pStyle w:val="Heading1"/>
      </w:pPr>
      <w:r>
        <w:t xml:space="preserve"># 5.2 Design de livro de jogos</w:t>
      </w:r>
    </w:p>
    <w:p>
      <w:pPr>
        <w:numPr>
          <w:ilvl w:val="0"/>
          <w:numId w:val="1010"/>
        </w:numPr>
        <w:pStyle w:val="Heading2"/>
      </w:pPr>
      <w:bookmarkStart w:id="41" w:name="campo-conteúdo"/>
      <w:r>
        <w:t xml:space="preserve">Campo** * Conteúdo**</w:t>
      </w:r>
      <w:bookmarkEnd w:id="41"/>
    </w:p>
    <w:p>
      <w:pPr>
        <w:numPr>
          <w:ilvl w:val="0"/>
          <w:numId w:val="1000"/>
        </w:numPr>
        <w:pStyle w:val="Compact"/>
      </w:pPr>
      <w:r>
        <w:t xml:space="preserve">□ Trigger □ Condição observável que começa o playbook</w:t>
      </w:r>
      <w:r>
        <w:t xml:space="preserve"> </w:t>
      </w:r>
      <w:r>
        <w:t xml:space="preserve">Objectivos O que deve ser protegido ou aprendido</w:t>
      </w:r>
    </w:p>
    <w:p>
      <w:pPr>
        <w:numPr>
          <w:ilvl w:val="0"/>
          <w:numId w:val="1010"/>
        </w:numPr>
        <w:pStyle w:val="Compact"/>
      </w:pPr>
      <w:r>
        <w:t xml:space="preserve">Autoridade - Quem pode aprovar acções disruptivas</w:t>
      </w:r>
      <w:r>
        <w:t xml:space="preserve"> </w:t>
      </w:r>
      <w:r>
        <w:t xml:space="preserve">Passos □ Pontos de decisão, ações, dependências e alternativas seguras</w:t>
      </w:r>
      <w:r>
        <w:t xml:space="preserve"> </w:t>
      </w:r>
      <w:r>
        <w:t xml:space="preserve">O que capturar antes e depois da ação</w:t>
      </w:r>
      <w:r>
        <w:t xml:space="preserve"> </w:t>
      </w:r>
      <w:r>
        <w:t xml:space="preserve">• Comunicação – Audiência, canal, cadência, fatos aprovados</w:t>
      </w:r>
      <w:r>
        <w:t xml:space="preserve"> </w:t>
      </w:r>
      <w:r>
        <w:t xml:space="preserve">Recuperação . . Critérios de entrada, validação, monitoramento, aceitação .</w:t>
      </w:r>
      <w:r>
        <w:t xml:space="preserve"> </w:t>
      </w:r>
      <w:r>
        <w:t xml:space="preserve">Melhoramento □ Métrica, revisão, proprietário, reteste</w:t>
      </w:r>
    </w:p>
    <w:bookmarkEnd w:id="42"/>
    <w:bookmarkStart w:id="48" w:name="detecção-e-validação-de-eventos"/>
    <w:p>
      <w:pPr>
        <w:pStyle w:val="Heading1"/>
      </w:pPr>
      <w:r>
        <w:t xml:space="preserve">6. Detecção e validação de eventos</w:t>
      </w:r>
    </w:p>
    <w:p>
      <w:pPr>
        <w:pStyle w:val="FirstParagraph"/>
      </w:pPr>
      <w:r>
        <w:rPr>
          <w:iCs/>
          <w:i/>
        </w:rPr>
        <w:t xml:space="preserve">Deteção combina tecnologia, relatórios humanos, aviso externo e contexto.</w:t>
      </w:r>
    </w:p>
    <w:p>
      <w:pPr>
        <w:pStyle w:val="CaptionedFigure"/>
      </w:pPr>
      <w:r>
        <w:drawing>
          <wp:inline>
            <wp:extent cx="5334000" cy="2945449"/>
            <wp:effectExtent b="0" l="0" r="0" t="0"/>
            <wp:docPr descr="Um sinal torna-se um incidente apenas após validação e classificação sob critérios aprovados." title="" id="44" name="Picture"/>
            <a:graphic>
              <a:graphicData uri="http://schemas.openxmlformats.org/drawingml/2006/picture">
                <pic:pic>
                  <pic:nvPicPr>
                    <pic:cNvPr descr="media/image3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5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Um sinal torna-se um incidente apenas após validação e classificação sob critérios aprovados.</w:t>
      </w:r>
    </w:p>
    <w:p>
      <w:pPr>
        <w:pStyle w:val="BodyText"/>
      </w:pPr>
      <w:r>
        <w:t xml:space="preserve">Figura 3. Fluxo de trabalho de detecção em caso</w:t>
      </w:r>
    </w:p>
    <w:p>
      <w:pPr>
        <w:pStyle w:val="BodyText"/>
      </w:pPr>
      <w:r>
        <w:t xml:space="preserve">6.1 Fontes de sinal</w:t>
      </w:r>
    </w:p>
    <w:p>
      <w:pPr>
        <w:numPr>
          <w:ilvl w:val="0"/>
          <w:numId w:val="1011"/>
        </w:numPr>
      </w:pPr>
      <w:r>
        <w:t xml:space="preserve">Endpoint, identidade, rede, e-mail, nuvem, aplicativo, banco de dados, perda de dados, sistemas físicos, de vulnerabilidade e de inteligência de ameaça.</w:t>
      </w:r>
    </w:p>
    <w:p>
      <w:pPr>
        <w:numPr>
          <w:ilvl w:val="0"/>
          <w:numId w:val="1011"/>
        </w:numPr>
      </w:pPr>
      <w:r>
        <w:t xml:space="preserve">Funcionários, clientes, parceiros, pesquisadores, fornecedores, reguladores, aplicação da lei, seguradoras e prestadores de serviços gerenciados.</w:t>
      </w:r>
    </w:p>
    <w:p>
      <w:pPr>
        <w:numPr>
          <w:ilvl w:val="0"/>
          <w:numId w:val="1011"/>
        </w:numPr>
      </w:pPr>
      <w:r>
        <w:t xml:space="preserve">Saúde do serviço, fraude financeira, atividade de apoio incomum, mudança de configuração, ação privilegiada e anomalias de qualidade de dados.</w:t>
      </w:r>
    </w:p>
    <w:p>
      <w:pPr>
        <w:pStyle w:val="FirstParagraph"/>
      </w:pPr>
      <w:r>
        <w:t xml:space="preserve">6.2 Questões de validação</w:t>
      </w:r>
    </w:p>
    <w:p>
      <w:pPr>
        <w:numPr>
          <w:ilvl w:val="0"/>
          <w:numId w:val="1012"/>
        </w:numPr>
      </w:pPr>
      <w:r>
        <w:t xml:space="preserve">O que gerou o sinal? A fonte é confiável e tempo sincronizado?</w:t>
      </w:r>
    </w:p>
    <w:p>
      <w:pPr>
        <w:numPr>
          <w:ilvl w:val="0"/>
          <w:numId w:val="1012"/>
        </w:numPr>
      </w:pPr>
      <w:r>
        <w:t xml:space="preserve">Pode a manutenção aprovada, testes, comportamento do usuário, ou a qualidade dos dados explicar isso?</w:t>
      </w:r>
    </w:p>
    <w:p>
      <w:pPr>
        <w:numPr>
          <w:ilvl w:val="0"/>
          <w:numId w:val="1012"/>
        </w:numPr>
      </w:pPr>
      <w:r>
        <w:t xml:space="preserve">Que usuário, dispositivo, serviço, inquilino, dados, região ou fornecedor é afetado?</w:t>
      </w:r>
    </w:p>
    <w:p>
      <w:pPr>
        <w:numPr>
          <w:ilvl w:val="0"/>
          <w:numId w:val="1012"/>
        </w:numPr>
      </w:pPr>
      <w:r>
        <w:t xml:space="preserve">Que provas existem em fontes independentes?</w:t>
      </w:r>
    </w:p>
    <w:p>
      <w:pPr>
        <w:numPr>
          <w:ilvl w:val="0"/>
          <w:numId w:val="1012"/>
        </w:numPr>
      </w:pPr>
      <w:r>
        <w:t xml:space="preserve">A atividade continua, se espalha, privilegiada, externamente exposta, destrutiva ou de segurança relacionada?</w:t>
      </w:r>
    </w:p>
    <w:p>
      <w:pPr>
        <w:pStyle w:val="FirstParagraph"/>
      </w:pPr>
      <w:r>
        <w:t xml:space="preserve">O que deve ser preservado antes que uma acção de contenção mude as provas?</w:t>
      </w:r>
    </w:p>
    <w:p>
      <w:pPr>
        <w:numPr>
          <w:ilvl w:val="0"/>
          <w:numId w:val="1013"/>
        </w:numPr>
        <w:pStyle w:val="Compact"/>
      </w:pPr>
      <w:r>
        <w:t xml:space="preserve">Triagem, Severidade e Escalação</w:t>
      </w:r>
    </w:p>
    <w:p>
      <w:pPr>
        <w:pStyle w:val="FirstParagraph"/>
      </w:pPr>
      <w:r>
        <w:rPr>
          <w:iCs/>
          <w:i/>
        </w:rPr>
        <w:t xml:space="preserve">Triage define prioridade e inicia os caminhos de autoridade, evidência e comunicação certos.</w:t>
      </w:r>
    </w:p>
    <w:bookmarkStart w:id="46" w:name="fator-de-gravidade"/>
    <w:p>
      <w:pPr>
        <w:pStyle w:val="Heading2"/>
      </w:pPr>
      <w:r>
        <w:t xml:space="preserve">Fator de gravidade</w:t>
      </w:r>
    </w:p>
    <w:p>
      <w:pPr>
        <w:pStyle w:val="FirstParagraph"/>
      </w:pPr>
      <w:r>
        <w:t xml:space="preserve">• Impacto funcional – Quais produtos, serviços, processos, pessoas ou resultados de segurança são afetados? □</w:t>
      </w:r>
      <w:r>
        <w:t xml:space="preserve"> </w:t>
      </w:r>
      <w:r>
        <w:t xml:space="preserve">• Impacto da informação • Os dados foram acessados, alterados, destruídos, expostos, criptografados ou indisponíveis?</w:t>
      </w:r>
      <w:r>
        <w:t xml:space="preserve"> </w:t>
      </w:r>
      <w:r>
        <w:t xml:space="preserve">Recuperabilidade Pode o problema ser contido e restaurado com pessoas, tempo e recursos disponíveis?</w:t>
      </w:r>
      <w:r>
        <w:t xml:space="preserve"> </w:t>
      </w:r>
      <w:r>
        <w:t xml:space="preserve">• Ameaça / persistência O ator é ativo, privilegiado, destrutivo, sofisticado ou se move lateralmente? □</w:t>
      </w:r>
      <w:r>
        <w:t xml:space="preserve"> </w:t>
      </w:r>
      <w:r>
        <w:t xml:space="preserve">• Escopo/concentração – Quantos sistemas, identidades, locais, clientes ou fornecedores podem compartilhar exposição?</w:t>
      </w:r>
      <w:r>
        <w:t xml:space="preserve"> </w:t>
      </w:r>
      <w:r>
        <w:t xml:space="preserve">- Obrigação / visibilidade - Pode ser legal, contratual, regulador, seguradora, cliente ou aviso público?</w:t>
      </w:r>
      <w:r>
        <w:t xml:space="preserve"> </w:t>
      </w:r>
      <w:r>
        <w:t xml:space="preserve">• Incerteza – Que fatos estão faltando, e poderiam aumentar materialmente a gravidade?</w:t>
      </w:r>
    </w:p>
    <w:bookmarkEnd w:id="46"/>
    <w:bookmarkStart w:id="47" w:name="saída-da-triagem"/>
    <w:p>
      <w:pPr>
        <w:pStyle w:val="Heading2"/>
      </w:pPr>
      <w:r>
        <w:t xml:space="preserve">7.1 Saída da triagem</w:t>
      </w:r>
    </w:p>
    <w:p>
      <w:pPr>
        <w:numPr>
          <w:ilvl w:val="0"/>
          <w:numId w:val="1014"/>
        </w:numPr>
      </w:pPr>
      <w:r>
        <w:t xml:space="preserve">Identificador de caso, tempo detectado, tempo de início conhecido, repórter, comandante, gravidade, status e espaço de trabalho seguro.</w:t>
      </w:r>
    </w:p>
    <w:p>
      <w:pPr>
        <w:numPr>
          <w:ilvl w:val="0"/>
          <w:numId w:val="1014"/>
        </w:numPr>
      </w:pPr>
      <w:r>
        <w:t xml:space="preserve">Fatos atuais separados de suposições e hipóteses.</w:t>
      </w:r>
    </w:p>
    <w:p>
      <w:pPr>
        <w:numPr>
          <w:ilvl w:val="0"/>
          <w:numId w:val="1014"/>
        </w:numPr>
      </w:pPr>
      <w:r>
        <w:t xml:space="preserve">Populações afetadas e potencialmente afetadas, impacto empresarial, evidências preservadas e proteção imediata.</w:t>
      </w:r>
    </w:p>
    <w:p>
      <w:pPr>
        <w:numPr>
          <w:ilvl w:val="0"/>
          <w:numId w:val="1014"/>
        </w:numPr>
      </w:pPr>
      <w:r>
        <w:t xml:space="preserve">Tarefas, proprietários, prazos, próxima atualização, escalada, e relógios de notificação.</w:t>
      </w:r>
    </w:p>
    <w:p>
      <w:pPr>
        <w:numPr>
          <w:ilvl w:val="0"/>
          <w:numId w:val="1014"/>
        </w:numPr>
      </w:pPr>
      <w:r>
        <w:t xml:space="preserve">Razão para mudanças de gravidade e grandes decisões.</w:t>
      </w:r>
    </w:p>
    <w:bookmarkEnd w:id="47"/>
    <w:bookmarkEnd w:id="48"/>
    <w:bookmarkStart w:id="56" w:name="investigação-e-scoping"/>
    <w:p>
      <w:pPr>
        <w:pStyle w:val="Heading1"/>
      </w:pPr>
      <w:r>
        <w:t xml:space="preserve">8. Investigação e Scoping</w:t>
      </w:r>
    </w:p>
    <w:p>
      <w:pPr>
        <w:pStyle w:val="FirstParagraph"/>
      </w:pPr>
      <w:r>
        <w:rPr>
          <w:iCs/>
          <w:i/>
        </w:rPr>
        <w:t xml:space="preserve">Investigação constrói e testa explicações enquanto o ambiente e o atacante podem estar mudando.</w:t>
      </w:r>
    </w:p>
    <w:bookmarkStart w:id="49" w:name="método-de-investigação"/>
    <w:p>
      <w:pPr>
        <w:pStyle w:val="Heading2"/>
      </w:pPr>
      <w:r>
        <w:t xml:space="preserve">8.1 Método de investigação</w:t>
      </w:r>
    </w:p>
    <w:p>
      <w:pPr>
        <w:numPr>
          <w:ilvl w:val="0"/>
          <w:numId w:val="1015"/>
        </w:numPr>
      </w:pPr>
      <w:r>
        <w:t xml:space="preserve">Escreva as perguntas iniciais: ponto de entrada, identidade, ação, persistência, privilégio, movimento, dados, comando e controle, impacto e acesso remanescente.</w:t>
      </w:r>
    </w:p>
    <w:p>
      <w:pPr>
        <w:numPr>
          <w:ilvl w:val="0"/>
          <w:numId w:val="1015"/>
        </w:numPr>
      </w:pPr>
      <w:r>
        <w:t xml:space="preserve">Criar uma linha do tempo normalizada de eventos e fonte de registro, fuso horário, confiança e lacunas.</w:t>
      </w:r>
    </w:p>
    <w:p>
      <w:pPr>
        <w:numPr>
          <w:ilvl w:val="0"/>
          <w:numId w:val="1015"/>
        </w:numPr>
      </w:pPr>
      <w:r>
        <w:t xml:space="preserve">Escopo de indicadores conhecidos para identidades relacionadas, hosts, recursos de nuvem, aplicações, dados e fornecedores; não confie em um indicador.</w:t>
      </w:r>
    </w:p>
    <w:p>
      <w:pPr>
        <w:numPr>
          <w:ilvl w:val="0"/>
          <w:numId w:val="1015"/>
        </w:numPr>
      </w:pPr>
      <w:r>
        <w:t xml:space="preserve">Preservar provas voláteis antes de desligar quando seguro, autorizado e útil.</w:t>
      </w:r>
    </w:p>
    <w:p>
      <w:pPr>
        <w:numPr>
          <w:ilvl w:val="0"/>
          <w:numId w:val="1015"/>
        </w:numPr>
      </w:pPr>
      <w:r>
        <w:t xml:space="preserve">Teste hipóteses concorrentes e procure provas de confirmação.</w:t>
      </w:r>
    </w:p>
    <w:p>
      <w:pPr>
        <w:numPr>
          <w:ilvl w:val="0"/>
          <w:numId w:val="1015"/>
        </w:numPr>
      </w:pPr>
      <w:r>
        <w:t xml:space="preserve">Método de coleta de documentos, consultas, hashes, versões, limitações e conclusões do analista.</w:t>
      </w:r>
    </w:p>
    <w:p>
      <w:pPr>
        <w:numPr>
          <w:ilvl w:val="0"/>
          <w:numId w:val="1015"/>
        </w:numPr>
      </w:pPr>
      <w:r>
        <w:t xml:space="preserve">Breves tomadores de decisão com fatos, incerteza, efeito comercial, opções e recomendado próximo passo.</w:t>
      </w:r>
    </w:p>
    <w:bookmarkEnd w:id="49"/>
    <w:bookmarkStart w:id="53" w:name="pergunta-possível-evidência"/>
    <w:p>
      <w:pPr>
        <w:pStyle w:val="Heading2"/>
      </w:pPr>
      <w:r>
        <w:t xml:space="preserve">Pergunta** Possível evidência**</w:t>
      </w:r>
    </w:p>
    <w:p>
      <w:pPr>
        <w:pStyle w:val="FirstParagraph"/>
      </w:pPr>
      <w:r>
        <w:t xml:space="preserve">Como começou o acesso? E-mail, identidade, endpoint, web, VPN, nuvem, vulnerabilidade e registros de suporte</w:t>
      </w:r>
      <w:r>
        <w:t xml:space="preserve"> </w:t>
      </w:r>
      <w:r>
        <w:t xml:space="preserve">O que fez o ator? Processo, comando, auditoria, arquivo, registro, memória, rede e atividade na nuvem</w:t>
      </w:r>
      <w:r>
        <w:t xml:space="preserve"> </w:t>
      </w:r>
      <w:r>
        <w:t xml:space="preserve">O que foi acessado? • Aplicação, banco de dados, objeto, DLP, consulta, API e registros de acesso a arquivos</w:t>
      </w:r>
      <w:r>
        <w:t xml:space="preserve"> </w:t>
      </w:r>
      <w:r>
        <w:t xml:space="preserve">□ Permanece a persistência? Contas, tokens, chaves, tarefas agendadas, serviços, aplicativos OAuth, funções na nuvem</w:t>
      </w:r>
      <w:r>
        <w:t xml:space="preserve"> </w:t>
      </w:r>
      <w:r>
        <w:t xml:space="preserve">□ Quão longe se espalhou? □ Gráfico de identidade, consultas de endpoint, fluxos de rede, DNS, acesso remoto, ferramentas compartilhadas</w:t>
      </w:r>
      <w:r>
        <w:t xml:space="preserve"> </w:t>
      </w:r>
      <w:r>
        <w:t xml:space="preserve">O que se pode confiar? • Controlos de integridade, linhas de base conhecidas, telemetria independente, origem de reconstrução</w:t>
      </w:r>
    </w:p>
    <w:p>
      <w:pPr>
        <w:numPr>
          <w:ilvl w:val="0"/>
          <w:numId w:val="1016"/>
        </w:numPr>
        <w:pStyle w:val="Compact"/>
      </w:pPr>
      <w:r>
        <w:t xml:space="preserve">Estratégia de contenção</w:t>
      </w:r>
    </w:p>
    <w:p>
      <w:pPr>
        <w:pStyle w:val="FirstParagraph"/>
      </w:pPr>
      <w:r>
        <w:rPr>
          <w:iCs/>
          <w:i/>
        </w:rPr>
        <w:t xml:space="preserve">Contenção limita danos ao preservar a segurança, operações, provas e opções de recuperação.</w:t>
      </w:r>
    </w:p>
    <w:p>
      <w:pPr>
        <w:pStyle w:val="CaptionedFigure"/>
      </w:pPr>
      <w:r>
        <w:drawing>
          <wp:inline>
            <wp:extent cx="5334000" cy="2945449"/>
            <wp:effectExtent b="0" l="0" r="0" t="0"/>
            <wp:docPr descr="Escolha ações através de objetivos explícitos, impactos, autoridade e verificação." title="" id="51" name="Picture"/>
            <a:graphic>
              <a:graphicData uri="http://schemas.openxmlformats.org/drawingml/2006/picture">
                <pic:pic>
                  <pic:nvPicPr>
                    <pic:cNvPr descr="media/image4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5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Escolha ações através de objetivos explícitos, impactos, autoridade e verificação.</w:t>
      </w:r>
    </w:p>
    <w:p>
      <w:pPr>
        <w:pStyle w:val="BodyText"/>
      </w:pPr>
      <w:r>
        <w:t xml:space="preserve">Figura 4. Decisão de contenção</w:t>
      </w:r>
    </w:p>
    <w:bookmarkEnd w:id="53"/>
    <w:bookmarkStart w:id="54" w:name="opções"/>
    <w:p>
      <w:pPr>
        <w:pStyle w:val="Heading2"/>
      </w:pPr>
      <w:r>
        <w:t xml:space="preserve">9.1 Opções</w:t>
      </w:r>
    </w:p>
    <w:p>
      <w:pPr>
        <w:numPr>
          <w:ilvl w:val="0"/>
          <w:numId w:val="1017"/>
        </w:numPr>
      </w:pPr>
      <w:r>
        <w:t xml:space="preserve">Isole endpoint, segment network, block indicator, desative a conta, revogue sessões, gire tokens/keys, remova a exposição pública, pare a integração, restrinja dados, pause implantação, falhe ou desligue.</w:t>
      </w:r>
    </w:p>
    <w:p>
      <w:pPr>
        <w:numPr>
          <w:ilvl w:val="0"/>
          <w:numId w:val="1017"/>
        </w:numPr>
      </w:pPr>
      <w:r>
        <w:t xml:space="preserve">O confinamento a curto prazo pode ser rápido e temporário; o confinamento a longo prazo suporta uma operação mais segura até à erradicação.</w:t>
      </w:r>
    </w:p>
    <w:p>
      <w:pPr>
        <w:numPr>
          <w:ilvl w:val="0"/>
          <w:numId w:val="1017"/>
        </w:numPr>
      </w:pPr>
      <w:r>
        <w:t xml:space="preserve">Usar ações encenadas ou coordenadas quando etapas isoladas alertam um atacante ou quebram o serviço crítico.</w:t>
      </w:r>
    </w:p>
    <w:bookmarkEnd w:id="54"/>
    <w:bookmarkStart w:id="55" w:name="registro-de-decisão"/>
    <w:p>
      <w:pPr>
        <w:pStyle w:val="Heading2"/>
      </w:pPr>
      <w:r>
        <w:t xml:space="preserve">9.2 Registro de decisão</w:t>
      </w:r>
    </w:p>
    <w:p>
      <w:pPr>
        <w:numPr>
          <w:ilvl w:val="0"/>
          <w:numId w:val="1018"/>
        </w:numPr>
      </w:pPr>
      <w:r>
        <w:t xml:space="preserve">Objectivo e ameaça serem limitados.</w:t>
      </w:r>
    </w:p>
    <w:p>
      <w:pPr>
        <w:numPr>
          <w:ilvl w:val="0"/>
          <w:numId w:val="1018"/>
        </w:numPr>
      </w:pPr>
      <w:r>
        <w:t xml:space="preserve">Serviço de negócios afetado, segurança, cliente, evidência, privacidade e impacto de recuperação.</w:t>
      </w:r>
    </w:p>
    <w:p>
      <w:pPr>
        <w:numPr>
          <w:ilvl w:val="0"/>
          <w:numId w:val="1018"/>
        </w:numPr>
      </w:pPr>
      <w:r>
        <w:t xml:space="preserve">Alternativas consideradas e razões selecionadas.</w:t>
      </w:r>
    </w:p>
    <w:p>
      <w:pPr>
        <w:numPr>
          <w:ilvl w:val="0"/>
          <w:numId w:val="1018"/>
        </w:numPr>
      </w:pPr>
      <w:r>
        <w:t xml:space="preserve">Approver, executor, tempo, comandos / mudar ticket, antes e depois de provas, retrocesso e verificação.</w:t>
      </w:r>
    </w:p>
    <w:p>
      <w:pPr>
        <w:numPr>
          <w:ilvl w:val="0"/>
          <w:numId w:val="1018"/>
        </w:numPr>
      </w:pPr>
      <w:r>
        <w:t xml:space="preserve">Exposição residual e ponto de decisão seguinte.</w:t>
      </w:r>
    </w:p>
    <w:bookmarkEnd w:id="55"/>
    <w:bookmarkEnd w:id="56"/>
    <w:bookmarkStart w:id="58" w:name="erradicação-e-remediação"/>
    <w:p>
      <w:pPr>
        <w:pStyle w:val="Heading1"/>
      </w:pPr>
      <w:r>
        <w:t xml:space="preserve">10. Erradicação e Remediação</w:t>
      </w:r>
    </w:p>
    <w:p>
      <w:pPr>
        <w:numPr>
          <w:ilvl w:val="0"/>
          <w:numId w:val="1019"/>
        </w:numPr>
        <w:pStyle w:val="Compact"/>
      </w:pPr>
      <w:r>
        <w:t xml:space="preserve">A erradicação remove a causa, o acesso do atacante, a persistência, as mudanças inseguras e as fraquezas relacionadas.*</w:t>
      </w:r>
    </w:p>
    <w:bookmarkStart w:id="57" w:name="trabalho-de-erradicação"/>
    <w:p>
      <w:pPr>
        <w:pStyle w:val="Heading2"/>
      </w:pPr>
      <w:r>
        <w:t xml:space="preserve">10.1 Trabalho de erradicação</w:t>
      </w:r>
    </w:p>
    <w:p>
      <w:pPr>
        <w:numPr>
          <w:ilvl w:val="0"/>
          <w:numId w:val="1020"/>
        </w:numPr>
      </w:pPr>
      <w:r>
        <w:t xml:space="preserve">Remova arquivos, processos, tarefas, serviços, contas, aplicativos, regras, caminhos de acesso e infraestrutura maliciosos.</w:t>
      </w:r>
    </w:p>
    <w:p>
      <w:pPr>
        <w:numPr>
          <w:ilvl w:val="0"/>
          <w:numId w:val="1020"/>
        </w:numPr>
      </w:pPr>
      <w:r>
        <w:t xml:space="preserve">Revogar sessões e tokens; girar senhas expostas, chaves, certificados, segredos, códigos de recuperação, e relacionamentos de confiança em uma ordem segura.</w:t>
      </w:r>
    </w:p>
    <w:p>
      <w:pPr>
        <w:numPr>
          <w:ilvl w:val="0"/>
          <w:numId w:val="1020"/>
        </w:numPr>
      </w:pPr>
      <w:r>
        <w:t xml:space="preserve">Patch ou mitigar vulnerabilidades exploradas; endurecer configuração; fechar serviços expostos; corrigir identidade e caminhos de rede.</w:t>
      </w:r>
    </w:p>
    <w:p>
      <w:pPr>
        <w:numPr>
          <w:ilvl w:val="0"/>
          <w:numId w:val="1020"/>
        </w:numPr>
      </w:pPr>
      <w:r>
        <w:t xml:space="preserve">Reconstruir a partir de fontes confiáveis quando a integridade não pode ser demonstrada.</w:t>
      </w:r>
    </w:p>
    <w:p>
      <w:pPr>
        <w:numPr>
          <w:ilvl w:val="0"/>
          <w:numId w:val="1020"/>
        </w:numPr>
      </w:pPr>
      <w:r>
        <w:t xml:space="preserve">Pesquise toda a população potencial para a mesma condição e valide nenhuma persistência alternativa permanece.</w:t>
      </w:r>
    </w:p>
    <w:p>
      <w:pPr>
        <w:numPr>
          <w:ilvl w:val="0"/>
          <w:numId w:val="1020"/>
        </w:numPr>
      </w:pPr>
      <w:r>
        <w:t xml:space="preserve">Preservar provas e separar a reparação da prova; registrar cada mudança.</w:t>
      </w:r>
    </w:p>
    <w:p>
      <w:pPr>
        <w:pStyle w:val="FirstParagraph"/>
      </w:pPr>
      <w:r>
        <w:t xml:space="preserve">□ ** Causa da raiz versus ponto de entrada:** O ponto de entrada explica como este incidente começou. As causas profundas podem incluir processos, design, propriedade, visibilidade, habilidades, incentivos ou fraquezas de controle que lhe permitiram ter sucesso ou persistir. □</w:t>
      </w:r>
      <w:r>
        <w:t xml:space="preserve"> </w:t>
      </w:r>
      <w:r>
        <w:t xml:space="preserve">□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-</w:t>
      </w:r>
    </w:p>
    <w:bookmarkEnd w:id="57"/>
    <w:bookmarkEnd w:id="58"/>
    <w:bookmarkStart w:id="62" w:name="recuperação-e-retorno-ao-serviço"/>
    <w:p>
      <w:pPr>
        <w:pStyle w:val="Heading1"/>
      </w:pPr>
      <w:r>
        <w:t xml:space="preserve">11. Recuperação e retorno ao serviço</w:t>
      </w:r>
    </w:p>
    <w:p>
      <w:pPr>
        <w:numPr>
          <w:ilvl w:val="0"/>
          <w:numId w:val="1021"/>
        </w:numPr>
        <w:pStyle w:val="Compact"/>
      </w:pPr>
      <w:r>
        <w:t xml:space="preserve">Recuperar restaura o serviço crítico através de etapas controladas, verificadas e monitoradas.*</w:t>
      </w:r>
    </w:p>
    <w:p>
      <w:pPr>
        <w:pStyle w:val="CaptionedFigure"/>
      </w:pPr>
      <w:r>
        <w:drawing>
          <wp:inline>
            <wp:extent cx="5334000" cy="2945449"/>
            <wp:effectExtent b="0" l="0" r="0" t="0"/>
            <wp:docPr descr="Validação de segurança e aceitação de negócios pertencem dentro da recuperação." title="" id="60" name="Picture"/>
            <a:graphic>
              <a:graphicData uri="http://schemas.openxmlformats.org/drawingml/2006/picture">
                <pic:pic>
                  <pic:nvPicPr>
                    <pic:cNvPr descr="media/image5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5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Validação de segurança e aceitação de negócios pertencem dentro da recuperação.</w:t>
      </w:r>
    </w:p>
    <w:p>
      <w:pPr>
        <w:pStyle w:val="BodyText"/>
      </w:pPr>
      <w:r>
        <w:t xml:space="preserve">Figura 5. Retorno confiável ao serviço</w:t>
      </w:r>
    </w:p>
    <w:bookmarkEnd w:id="62"/>
    <w:bookmarkStart w:id="63" w:name="portões-de-recuperação"/>
    <w:p>
      <w:pPr>
        <w:pStyle w:val="Heading1"/>
      </w:pPr>
      <w:r>
        <w:t xml:space="preserve"># 11.1 Portões de recuperação</w:t>
      </w:r>
    </w:p>
    <w:p>
      <w:pPr>
        <w:numPr>
          <w:ilvl w:val="0"/>
          <w:numId w:val="1022"/>
        </w:numPr>
      </w:pPr>
      <w:r>
        <w:t xml:space="preserve">A contenção é estável e a recuperação não se ligará ao compromisso activo.</w:t>
      </w:r>
    </w:p>
    <w:p>
      <w:pPr>
        <w:numPr>
          <w:ilvl w:val="0"/>
          <w:numId w:val="1022"/>
        </w:numPr>
      </w:pPr>
      <w:r>
        <w:t xml:space="preserve">Fonte de restauração, build pipeline, backups, credenciais, dependências e caminho de administração são confiáveis.</w:t>
      </w:r>
    </w:p>
    <w:p>
      <w:pPr>
        <w:numPr>
          <w:ilvl w:val="0"/>
          <w:numId w:val="1022"/>
        </w:numPr>
      </w:pPr>
      <w:r>
        <w:t xml:space="preserve">Atualizações de segurança, endurecimento, rotação de identidade e monitoramento necessários estão ativos.</w:t>
      </w:r>
    </w:p>
    <w:p>
      <w:pPr>
        <w:numPr>
          <w:ilvl w:val="0"/>
          <w:numId w:val="1022"/>
        </w:numPr>
      </w:pPr>
      <w:r>
        <w:t xml:space="preserve">Integridade dos dados, completude, função de aplicação, interfaces, capacidade e resultados de RTO/RPO são testados.</w:t>
      </w:r>
    </w:p>
    <w:p>
      <w:pPr>
        <w:numPr>
          <w:ilvl w:val="0"/>
          <w:numId w:val="1022"/>
        </w:numPr>
      </w:pPr>
      <w:r>
        <w:t xml:space="preserve">A reconexão é faseada; maior monitoramento tem proprietários claros e duração.</w:t>
      </w:r>
    </w:p>
    <w:p>
      <w:pPr>
        <w:numPr>
          <w:ilvl w:val="0"/>
          <w:numId w:val="1022"/>
        </w:numPr>
      </w:pPr>
      <w:r>
        <w:t xml:space="preserve">Os proprietários de empresas e técnicos aprovam o retorno ao serviço, com exceções e risco residual registrado.</w:t>
      </w:r>
    </w:p>
    <w:bookmarkEnd w:id="63"/>
    <w:bookmarkStart w:id="66" w:name="provas-de-recuperação"/>
    <w:p>
      <w:pPr>
        <w:pStyle w:val="Heading1"/>
      </w:pPr>
      <w:r>
        <w:t xml:space="preserve"># 11.2 Provas de recuperação</w:t>
      </w:r>
    </w:p>
    <w:p>
      <w:pPr>
        <w:numPr>
          <w:ilvl w:val="0"/>
          <w:numId w:val="1023"/>
        </w:numPr>
      </w:pPr>
      <w:r>
        <w:t xml:space="preserve">Sequência de recuperação e datas reais.</w:t>
      </w:r>
    </w:p>
    <w:p>
      <w:pPr>
        <w:numPr>
          <w:ilvl w:val="0"/>
          <w:numId w:val="1023"/>
        </w:numPr>
      </w:pPr>
      <w:r>
        <w:t xml:space="preserve">Versão restaurada, fontes, hashes/configuração, ponto de dados e estado de dependência.</w:t>
      </w:r>
    </w:p>
    <w:p>
      <w:pPr>
        <w:numPr>
          <w:ilvl w:val="0"/>
          <w:numId w:val="1023"/>
        </w:numPr>
      </w:pPr>
      <w:r>
        <w:t xml:space="preserve">Segurança, funcional, reconciliação de dados, desempenho e resultados de aceitação do usuário.</w:t>
      </w:r>
    </w:p>
    <w:p>
      <w:pPr>
        <w:numPr>
          <w:ilvl w:val="0"/>
          <w:numId w:val="1023"/>
        </w:numPr>
      </w:pPr>
      <w:r>
        <w:t xml:space="preserve">RTO/RPO alcançado ou perdido, causa, impacto, solução alternativa e ação corretiva.</w:t>
      </w:r>
    </w:p>
    <w:p>
      <w:pPr>
        <w:numPr>
          <w:ilvl w:val="0"/>
          <w:numId w:val="1023"/>
        </w:numPr>
      </w:pPr>
      <w:r>
        <w:t xml:space="preserve">Resultados de monitorização melhorados e decisão de recorrência.</w:t>
      </w:r>
    </w:p>
    <w:p>
      <w:pPr>
        <w:numPr>
          <w:ilvl w:val="0"/>
          <w:numId w:val="1024"/>
        </w:numPr>
        <w:pStyle w:val="Compact"/>
      </w:pPr>
      <w:r>
        <w:t xml:space="preserve">Lições aprendidas e Melhorias</w:t>
      </w:r>
    </w:p>
    <w:p>
      <w:pPr>
        <w:pStyle w:val="FirstParagraph"/>
      </w:pPr>
      <w:r>
        <w:t xml:space="preserve">A melhoria converte a experiência em sistemas mais seguros e melhores decisões.</w:t>
      </w:r>
    </w:p>
    <w:bookmarkStart w:id="64" w:name="processo-pós-ação"/>
    <w:p>
      <w:pPr>
        <w:pStyle w:val="Heading2"/>
      </w:pPr>
      <w:r>
        <w:t xml:space="preserve">12.1 Processo pós-ação</w:t>
      </w:r>
    </w:p>
    <w:p>
      <w:pPr>
        <w:numPr>
          <w:ilvl w:val="0"/>
          <w:numId w:val="1025"/>
        </w:numPr>
      </w:pPr>
      <w:r>
        <w:t xml:space="preserve">Faça uma revisão irrepreensível, mas responsável, logo que os fatos e decisões possam ser reconstruídos.</w:t>
      </w:r>
    </w:p>
    <w:p>
      <w:pPr>
        <w:numPr>
          <w:ilvl w:val="0"/>
          <w:numId w:val="1025"/>
        </w:numPr>
      </w:pPr>
      <w:r>
        <w:t xml:space="preserve">Construir a linha do tempo factual: sinal, reconhecimento, escalada, decisões, contenção, erradicação, restauração, comunicação e encerramento.</w:t>
      </w:r>
    </w:p>
    <w:p>
      <w:pPr>
        <w:numPr>
          <w:ilvl w:val="0"/>
          <w:numId w:val="1025"/>
        </w:numPr>
      </w:pPr>
      <w:r>
        <w:t xml:space="preserve">Compare o desempenho esperado versus real de pessoas, planos, dados, ferramentas, fornecedores, comunicações e recuperação.</w:t>
      </w:r>
    </w:p>
    <w:p>
      <w:pPr>
        <w:numPr>
          <w:ilvl w:val="0"/>
          <w:numId w:val="1025"/>
        </w:numPr>
      </w:pPr>
      <w:r>
        <w:t xml:space="preserve">Identificar condições contribuintes e causas sistêmicas, não apenas erros individuais.</w:t>
      </w:r>
    </w:p>
    <w:p>
      <w:pPr>
        <w:numPr>
          <w:ilvl w:val="0"/>
          <w:numId w:val="1025"/>
        </w:numPr>
      </w:pPr>
      <w:r>
        <w:t xml:space="preserve">Atribuir ações específicas, proprietários, recursos, datas baseadas em risco, proteção provisória e medidas de sucesso.</w:t>
      </w:r>
    </w:p>
    <w:p>
      <w:pPr>
        <w:numPr>
          <w:ilvl w:val="0"/>
          <w:numId w:val="1025"/>
        </w:numPr>
      </w:pPr>
      <w:r>
        <w:t xml:space="preserve">Teste novamente a capacidade falhada e atualizar políticas, arquitetura, detecçãos, playbooks, contratos, treinamento, BIA, continuidade e planos de recuperação.</w:t>
      </w:r>
    </w:p>
    <w:bookmarkEnd w:id="64"/>
    <w:bookmarkStart w:id="65" w:name="ação-fraca-ação-de-stronger"/>
    <w:p>
      <w:pPr>
        <w:pStyle w:val="Heading2"/>
      </w:pPr>
      <w:r>
        <w:t xml:space="preserve">Ação fraca ** ** Ação de Stronger **</w:t>
      </w:r>
    </w:p>
    <w:p>
      <w:pPr>
        <w:pStyle w:val="FirstParagraph"/>
      </w:pPr>
      <w:r>
        <w:t xml:space="preserve">Melhore o monitoramento □ Adicione eventos de administração de provedor de identidade ao SIEM, alerta sobre o novo papel privilegiado dentro de cinco minutos, e teste mensal</w:t>
      </w:r>
      <w:r>
        <w:t xml:space="preserve"> </w:t>
      </w:r>
      <w:r>
        <w:t xml:space="preserve">O pessoal do comboio executa um exercício direcionado para verificação de identidade do serviço-desk e manipulação da medição de falhas</w:t>
      </w:r>
      <w:r>
        <w:t xml:space="preserve"> </w:t>
      </w:r>
      <w:r>
        <w:t xml:space="preserve">Corrigir backups Adicionar cópia diária isolada para a base de dados Tier 1 e provar a restauração dentro de quatro horas RTO trimestral</w:t>
      </w:r>
      <w:r>
        <w:t xml:space="preserve"> </w:t>
      </w:r>
      <w:r>
        <w:t xml:space="preserve">O plano de atualização .. Adicionar nome de tomada de decisão alternativa, contato fora da banda e passo de ativação testado ..</w:t>
      </w:r>
    </w:p>
    <w:bookmarkEnd w:id="65"/>
    <w:bookmarkEnd w:id="66"/>
    <w:bookmarkStart w:id="67" w:name="X5882ccb133ab926c87787f5488cd3be51b816c5"/>
    <w:p>
      <w:pPr>
        <w:pStyle w:val="Heading1"/>
      </w:pPr>
      <w:r>
        <w:t xml:space="preserve">13. Coordenação de Comunicação, Legal e Reguladora</w:t>
      </w:r>
    </w:p>
    <w:p>
      <w:pPr>
        <w:numPr>
          <w:ilvl w:val="0"/>
          <w:numId w:val="1026"/>
        </w:numPr>
        <w:pStyle w:val="Compact"/>
      </w:pPr>
      <w:r>
        <w:t xml:space="preserve">A comunicação deve ser precisa, oportuna, autorizada, específica do público e protegida.*</w:t>
      </w:r>
    </w:p>
    <w:bookmarkEnd w:id="67"/>
    <w:bookmarkStart w:id="70" w:name="regras-de-funcionamento"/>
    <w:p>
      <w:pPr>
        <w:pStyle w:val="Heading1"/>
      </w:pPr>
      <w:r>
        <w:t xml:space="preserve"># 13.1 Regras de funcionamento</w:t>
      </w:r>
    </w:p>
    <w:p>
      <w:pPr>
        <w:numPr>
          <w:ilvl w:val="0"/>
          <w:numId w:val="1027"/>
        </w:numPr>
      </w:pPr>
      <w:r>
        <w:t xml:space="preserve">Mantenha uma base de fatos aprovada com tempo, fonte, confiança, proprietário e última atualização.</w:t>
      </w:r>
    </w:p>
    <w:p>
      <w:pPr>
        <w:numPr>
          <w:ilvl w:val="0"/>
          <w:numId w:val="1027"/>
        </w:numPr>
      </w:pPr>
      <w:r>
        <w:t xml:space="preserve">Situação operacional separada, análise jurídica, hipóteses técnicas e mensagens públicas.</w:t>
      </w:r>
    </w:p>
    <w:p>
      <w:pPr>
        <w:numPr>
          <w:ilvl w:val="0"/>
          <w:numId w:val="1027"/>
        </w:numPr>
      </w:pPr>
      <w:r>
        <w:t xml:space="preserve">Usar canais seguros adequados para possível compromisso e preservar registros necessários.</w:t>
      </w:r>
    </w:p>
    <w:p>
      <w:pPr>
        <w:numPr>
          <w:ilvl w:val="0"/>
          <w:numId w:val="1027"/>
        </w:numPr>
      </w:pPr>
      <w:r>
        <w:t xml:space="preserve">Diga o que é conhecido, desconhecido, sendo feito, necessário do público, e próxima atualização.</w:t>
      </w:r>
    </w:p>
    <w:p>
      <w:pPr>
        <w:numPr>
          <w:ilvl w:val="0"/>
          <w:numId w:val="1027"/>
        </w:numPr>
      </w:pPr>
      <w:r>
        <w:t xml:space="preserve">Acompanhar gatilhos de notificação e relógios por lei, regulador, contrato, seguradora, cliente, empregado e jurisdição.</w:t>
      </w:r>
    </w:p>
    <w:p>
      <w:pPr>
        <w:numPr>
          <w:ilvl w:val="0"/>
          <w:numId w:val="1027"/>
        </w:numPr>
      </w:pPr>
      <w:r>
        <w:t xml:space="preserve">Coordenar legal, privacidade, comunicações, recursos humanos, segurança, executivos, fornecedores, seguradoras e autoridades públicas.</w:t>
      </w:r>
    </w:p>
    <w:p>
      <w:pPr>
        <w:numPr>
          <w:ilvl w:val="0"/>
          <w:numId w:val="1027"/>
        </w:numPr>
      </w:pPr>
      <w:r>
        <w:t xml:space="preserve">Não especule, esconda fatos materiais, destrua registros, ou prometa tempo que os respondedores não podem apoiar.</w:t>
      </w:r>
    </w:p>
    <w:p>
      <w:pPr>
        <w:numPr>
          <w:ilvl w:val="0"/>
          <w:numId w:val="1027"/>
        </w:numPr>
        <w:pStyle w:val="Heading2"/>
      </w:pPr>
      <w:bookmarkStart w:id="68" w:name="audiência-necessidades"/>
      <w:r>
        <w:t xml:space="preserve">Audiência** * Necessidades**</w:t>
      </w:r>
      <w:bookmarkEnd w:id="68"/>
    </w:p>
    <w:p>
      <w:pPr>
        <w:numPr>
          <w:ilvl w:val="0"/>
          <w:numId w:val="1000"/>
        </w:numPr>
      </w:pPr>
      <w:r>
        <w:t xml:space="preserve">Responsáveis Objetivos, escopo, tarefas, evidências, perigos, decisões</w:t>
      </w:r>
      <w:r>
        <w:t xml:space="preserve"> </w:t>
      </w:r>
      <w:r>
        <w:t xml:space="preserve">• Executivos • Impacto empresarial, incerteza, opções, recomendação, recursos, próxima decisão</w:t>
      </w:r>
      <w:r>
        <w:t xml:space="preserve"> </w:t>
      </w:r>
      <w:r>
        <w:t xml:space="preserve">Os funcionários O que aconteceu, ações seguras, suporte, canal de relatórios, atualização de timing</w:t>
      </w:r>
      <w:r>
        <w:t xml:space="preserve"> </w:t>
      </w:r>
      <w:r>
        <w:t xml:space="preserve">• Clientes / parceiros • Atendimento/dados afetados, ação protetora, suporte, atualizações verificadas</w:t>
      </w:r>
      <w:r>
        <w:t xml:space="preserve"> </w:t>
      </w:r>
      <w:r>
        <w:t xml:space="preserve">□ Regulador / autoridade</w:t>
      </w:r>
      <w:r>
        <w:t xml:space="preserve"> </w:t>
      </w:r>
      <w:r>
        <w:t xml:space="preserve">□ Público / mídia □ Aprovada mensagem precisa, porta-voz, atualizações consistentes</w:t>
      </w:r>
    </w:p>
    <w:bookmarkStart w:id="69" w:name="Xac39b2c94883c5192ab745c05188b69bd4889ba"/>
    <w:p>
      <w:pPr>
        <w:pStyle w:val="Heading2"/>
      </w:pPr>
      <w:r>
        <w:t xml:space="preserve">Nota legal:** Os deveres de notificação e preservação são específicos de fato e jurisdição. Envolver conselho qualificado cedo; não usar este manual como uma determinação legal. □</w:t>
      </w:r>
    </w:p>
    <w:bookmarkEnd w:id="69"/>
    <w:bookmarkEnd w:id="70"/>
    <w:bookmarkStart w:id="74" w:name="evidência-digital-e-pronto-forense"/>
    <w:p>
      <w:pPr>
        <w:pStyle w:val="Heading1"/>
      </w:pPr>
      <w:r>
        <w:t xml:space="preserve">14. Evidência Digital e Pronto Forense</w:t>
      </w:r>
    </w:p>
    <w:p>
      <w:pPr>
        <w:numPr>
          <w:ilvl w:val="0"/>
          <w:numId w:val="1028"/>
        </w:numPr>
        <w:pStyle w:val="Compact"/>
      </w:pPr>
      <w:r>
        <w:t xml:space="preserve">A prontidão Forense torna a evidência confiável, útil, proporcionada e disponível quando necessário.*</w:t>
      </w:r>
    </w:p>
    <w:p>
      <w:pPr>
        <w:pStyle w:val="CaptionedFigure"/>
      </w:pPr>
      <w:r>
        <w:drawing>
          <wp:inline>
            <wp:extent cx="5334000" cy="2945449"/>
            <wp:effectExtent b="0" l="0" r="0" t="0"/>
            <wp:docPr descr="Identidade do documento, preservação, integridade, custódia, análise e limites." title="" id="72" name="Picture"/>
            <a:graphic>
              <a:graphicData uri="http://schemas.openxmlformats.org/drawingml/2006/picture">
                <pic:pic>
                  <pic:nvPicPr>
                    <pic:cNvPr descr="media/image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5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Identidade do documento, preservação, integridade, custódia, análise e limites.</w:t>
      </w:r>
    </w:p>
    <w:p>
      <w:pPr>
        <w:pStyle w:val="BodyText"/>
      </w:pPr>
      <w:r>
        <w:t xml:space="preserve">Figura 6. Integridade e custódia das provas</w:t>
      </w:r>
    </w:p>
    <w:bookmarkEnd w:id="74"/>
    <w:bookmarkStart w:id="76" w:name="registro-de-provas"/>
    <w:p>
      <w:pPr>
        <w:pStyle w:val="Heading1"/>
      </w:pPr>
      <w:r>
        <w:t xml:space="preserve"># 14.1 Registro de provas</w:t>
      </w:r>
    </w:p>
    <w:p>
      <w:pPr>
        <w:numPr>
          <w:ilvl w:val="0"/>
          <w:numId w:val="1029"/>
        </w:numPr>
      </w:pPr>
      <w:r>
        <w:t xml:space="preserve">ID do item único, descrição, sistema de origem/dispositivo/conta, coletor, autoridade, data/hora/zona temporal, localização e razão.</w:t>
      </w:r>
    </w:p>
    <w:p>
      <w:pPr>
        <w:numPr>
          <w:ilvl w:val="0"/>
          <w:numId w:val="1029"/>
        </w:numPr>
      </w:pPr>
      <w:r>
        <w:t xml:space="preserve">Método de coleta, ferramenta/versão, configurações, cópia original e de trabalho, hash criptográfico, quando apropriado, e proteção de armazenamento.</w:t>
      </w:r>
    </w:p>
    <w:p>
      <w:pPr>
        <w:numPr>
          <w:ilvl w:val="0"/>
          <w:numId w:val="1029"/>
        </w:numPr>
      </w:pPr>
      <w:r>
        <w:t xml:space="preserve">Cada transferência: de, até, data/hora, finalidade, assinaturas ou registro autenticado, e verificação de integridade.</w:t>
      </w:r>
    </w:p>
    <w:p>
      <w:pPr>
        <w:numPr>
          <w:ilvl w:val="0"/>
          <w:numId w:val="1029"/>
        </w:numPr>
      </w:pPr>
      <w:r>
        <w:t xml:space="preserve">Passos de análise, consultas, transformações, normalização do tempo, screenshots/exportações, achados, explicação alternativa e limitação.</w:t>
      </w:r>
    </w:p>
    <w:p>
      <w:pPr>
        <w:numPr>
          <w:ilvl w:val="0"/>
          <w:numId w:val="1029"/>
        </w:numPr>
      </w:pPr>
      <w:r>
        <w:t xml:space="preserve">Retenção, detenção legal, privacidade/minimização, log de acesso, divulgação e disposição aprovada.</w:t>
      </w:r>
    </w:p>
    <w:bookmarkStart w:id="75" w:name="X43cfbb3bde4095d704b1fbde1238e69735276f9"/>
    <w:p>
      <w:pPr>
        <w:pStyle w:val="Heading2"/>
      </w:pPr>
      <w:r>
        <w:t xml:space="preserve">Segurança e autoridade: Não acessar contas pessoais, interceptar comunicações, coletar amplamente, ou executar ações invasivas sem autoridade adequada. Siga as regras de lei, política, privacidade, emprego e evidência. □</w:t>
      </w:r>
    </w:p>
    <w:bookmarkEnd w:id="75"/>
    <w:bookmarkEnd w:id="76"/>
    <w:bookmarkStart w:id="78" w:name="ransomware-e-ataques-destrutivos"/>
    <w:p>
      <w:pPr>
        <w:pStyle w:val="Heading1"/>
      </w:pPr>
      <w:r>
        <w:t xml:space="preserve">15. Ransomware e Ataques Destrutivos</w:t>
      </w:r>
    </w:p>
    <w:p>
      <w:pPr>
        <w:numPr>
          <w:ilvl w:val="0"/>
          <w:numId w:val="1030"/>
        </w:numPr>
        <w:pStyle w:val="Compact"/>
      </w:pPr>
      <w:r>
        <w:t xml:space="preserve">Ransomware pode combinar acesso, roubo, extorsão, criptografia, destruição e pressão pública.*</w:t>
      </w:r>
    </w:p>
    <w:bookmarkStart w:id="77" w:name="prioridades-imediatas"/>
    <w:p>
      <w:pPr>
        <w:pStyle w:val="Heading2"/>
      </w:pPr>
      <w:r>
        <w:t xml:space="preserve">15.1 Prioridades imediatas</w:t>
      </w:r>
    </w:p>
    <w:p>
      <w:pPr>
        <w:numPr>
          <w:ilvl w:val="0"/>
          <w:numId w:val="1031"/>
        </w:numPr>
      </w:pPr>
      <w:r>
        <w:t xml:space="preserve">Proteger a vida e a segurança; ativar a liderança incidente e crise.</w:t>
      </w:r>
    </w:p>
    <w:p>
      <w:pPr>
        <w:numPr>
          <w:ilvl w:val="0"/>
          <w:numId w:val="1031"/>
        </w:numPr>
      </w:pPr>
      <w:r>
        <w:t xml:space="preserve">Isolar sistemas e redes afetados de forma coordenada; preservar evidências antes de desligar a energia quando seguro e útil.</w:t>
      </w:r>
    </w:p>
    <w:p>
      <w:pPr>
        <w:numPr>
          <w:ilvl w:val="0"/>
          <w:numId w:val="1031"/>
        </w:numPr>
      </w:pPr>
      <w:r>
        <w:t xml:space="preserve">Infraestrutura de identidade segura, caminhos administrativos, backups, hipervisores, consoles de nuvem, ferramentas remotas e sistemas de gerenciamento.</w:t>
      </w:r>
    </w:p>
    <w:p>
      <w:pPr>
        <w:numPr>
          <w:ilvl w:val="0"/>
          <w:numId w:val="1031"/>
        </w:numPr>
      </w:pPr>
      <w:r>
        <w:t xml:space="preserve">Determinar escopo, atividade do ator, persistência, acesso/exfiltração de dados, criptografia, impacto comercial e exposição do fornecedor.</w:t>
      </w:r>
    </w:p>
    <w:p>
      <w:pPr>
        <w:numPr>
          <w:ilvl w:val="0"/>
          <w:numId w:val="1031"/>
        </w:numPr>
      </w:pPr>
      <w:r>
        <w:t xml:space="preserve">Utilizar comunicações fora da banda e dispositivos/credenciais limpos conhecidos.</w:t>
      </w:r>
    </w:p>
    <w:p>
      <w:pPr>
        <w:numPr>
          <w:ilvl w:val="0"/>
          <w:numId w:val="1031"/>
        </w:numPr>
      </w:pPr>
      <w:r>
        <w:t xml:space="preserve">Engajar aconselhamento jurídico, seguradora, respondedores qualificados e autoridades apropriadas sob procedimentos aprovados.</w:t>
      </w:r>
    </w:p>
    <w:p>
      <w:pPr>
        <w:numPr>
          <w:ilvl w:val="0"/>
          <w:numId w:val="1031"/>
        </w:numPr>
      </w:pPr>
      <w:r>
        <w:t xml:space="preserve">Priorizar restauração confiável de serviços críticos; validar backups e não reconectar em compromisso ativo.</w:t>
      </w:r>
    </w:p>
    <w:bookmarkEnd w:id="77"/>
    <w:bookmarkEnd w:id="78"/>
    <w:bookmarkStart w:id="79" w:name="decisão-de-pagamento"/>
    <w:p>
      <w:pPr>
        <w:pStyle w:val="Heading1"/>
      </w:pPr>
      <w:r>
        <w:t xml:space="preserve"># 15.2 Decisão de pagamento</w:t>
      </w:r>
    </w:p>
    <w:p>
      <w:pPr>
        <w:numPr>
          <w:ilvl w:val="0"/>
          <w:numId w:val="1032"/>
        </w:numPr>
      </w:pPr>
      <w:r>
        <w:t xml:space="preserve">O pagamento é legal, seguro, ético, sanções, negócios e decisão de risco para a liderança autorizada – não um analista júnior.</w:t>
      </w:r>
    </w:p>
    <w:p>
      <w:pPr>
        <w:numPr>
          <w:ilvl w:val="0"/>
          <w:numId w:val="1032"/>
        </w:numPr>
      </w:pPr>
      <w:r>
        <w:t xml:space="preserve">O pagamento não garante descriptografia, exclusão, silêncio ou ausência de ataques futuros.</w:t>
      </w:r>
    </w:p>
    <w:p>
      <w:pPr>
        <w:numPr>
          <w:ilvl w:val="0"/>
          <w:numId w:val="1032"/>
        </w:numPr>
      </w:pPr>
      <w:r>
        <w:t xml:space="preserve">Preservar os factos, as autoridades, as alternativas, as condições da seguradora e a fundamentação da decisão; utilizar o aconselhamento qualificado e as autoridades públicas, conforme adequado.</w:t>
      </w:r>
    </w:p>
    <w:bookmarkEnd w:id="79"/>
    <w:bookmarkStart w:id="80" w:name="resposta-de-incidente-cloud-e-saas"/>
    <w:p>
      <w:pPr>
        <w:pStyle w:val="Heading1"/>
      </w:pPr>
      <w:r>
        <w:t xml:space="preserve">16. Resposta de Incidente Cloud e SaaS</w:t>
      </w:r>
    </w:p>
    <w:p>
      <w:pPr>
        <w:numPr>
          <w:ilvl w:val="0"/>
          <w:numId w:val="1033"/>
        </w:numPr>
        <w:pStyle w:val="Compact"/>
      </w:pPr>
      <w:r>
        <w:t xml:space="preserve">A resposta em nuvem depende da telemetria do provedor, responsabilidade compartilhada, controle do inquilino e acesso ao suporte.*</w:t>
      </w:r>
    </w:p>
    <w:bookmarkEnd w:id="80"/>
    <w:bookmarkStart w:id="81" w:name="investigação-em-nuvem"/>
    <w:p>
      <w:pPr>
        <w:pStyle w:val="Heading1"/>
      </w:pPr>
      <w:r>
        <w:t xml:space="preserve"># 16.1 Investigação em nuvem</w:t>
      </w:r>
    </w:p>
    <w:p>
      <w:pPr>
        <w:numPr>
          <w:ilvl w:val="0"/>
          <w:numId w:val="1034"/>
        </w:numPr>
      </w:pPr>
      <w:r>
        <w:t xml:space="preserve">Preservar auditoria de provedor, identidade, API, objeto, rede, carga de trabalho, banco de dados, gerenciamento de chaves, segurança, faturamento e registros de suporte antes da retenção expirar.</w:t>
      </w:r>
    </w:p>
    <w:p>
      <w:pPr>
        <w:numPr>
          <w:ilvl w:val="0"/>
          <w:numId w:val="1034"/>
        </w:numPr>
      </w:pPr>
      <w:r>
        <w:t xml:space="preserve">Identificar locatário, assinatura/projeto/conta, região, recurso, identidade, papel, token, chave, automação, aplicação e ação do provedor.</w:t>
      </w:r>
    </w:p>
    <w:p>
      <w:pPr>
        <w:numPr>
          <w:ilvl w:val="0"/>
          <w:numId w:val="1034"/>
        </w:numPr>
      </w:pPr>
      <w:r>
        <w:t xml:space="preserve">Reveja a actividade do plano de controlo e do plano de dados separadamente.</w:t>
      </w:r>
    </w:p>
    <w:p>
      <w:pPr>
        <w:numPr>
          <w:ilvl w:val="0"/>
          <w:numId w:val="1034"/>
        </w:numPr>
      </w:pPr>
      <w:r>
        <w:t xml:space="preserve">Instantâneo ou exportação de evidências usando métodos suportados; tempo do provedor de registro, identificadores, hashes e limitações.</w:t>
      </w:r>
    </w:p>
    <w:p>
      <w:pPr>
        <w:numPr>
          <w:ilvl w:val="0"/>
          <w:numId w:val="1034"/>
        </w:numPr>
      </w:pPr>
      <w:r>
        <w:t xml:space="preserve">Coordenar a escalada do provedor, solicitação legal, aviso de incidente, subprocessador, e deveres de responsabilidade compartilhada.</w:t>
      </w:r>
    </w:p>
    <w:bookmarkEnd w:id="81"/>
    <w:bookmarkStart w:id="83" w:name="contenção-de-nuvens"/>
    <w:p>
      <w:pPr>
        <w:pStyle w:val="Heading1"/>
      </w:pPr>
      <w:r>
        <w:t xml:space="preserve"># 16.2 Contenção de nuvens</w:t>
      </w:r>
    </w:p>
    <w:p>
      <w:pPr>
        <w:numPr>
          <w:ilvl w:val="0"/>
          <w:numId w:val="1035"/>
        </w:numPr>
      </w:pPr>
      <w:r>
        <w:t xml:space="preserve">Revogar sessões e tokens, desativar identidades comprometidas, girar segredos/chaves, restringir políticas e redes, cargas de trabalho de quarentena, parar a automação insegura e preservar caminhos de recuperação.</w:t>
      </w:r>
    </w:p>
    <w:p>
      <w:pPr>
        <w:numPr>
          <w:ilvl w:val="0"/>
          <w:numId w:val="1035"/>
        </w:numPr>
      </w:pPr>
      <w:r>
        <w:t xml:space="preserve">Evite excluir recursos antes que as necessidades de evidência, dependência e retorno sejam entendidas.</w:t>
      </w:r>
    </w:p>
    <w:p>
      <w:pPr>
        <w:numPr>
          <w:ilvl w:val="0"/>
          <w:numId w:val="1035"/>
        </w:numPr>
      </w:pPr>
      <w:r>
        <w:t xml:space="preserve">Validar infraestrutura-como-código, imagens, pipelines, federação de identidade, registro, e linha de base de inquilino antes de reconstruir.</w:t>
      </w:r>
    </w:p>
    <w:p>
      <w:pPr>
        <w:numPr>
          <w:ilvl w:val="0"/>
          <w:numId w:val="1036"/>
        </w:numPr>
        <w:pStyle w:val="Compact"/>
      </w:pPr>
      <w:r>
        <w:t xml:space="preserve">Incidentes de Identidade e Acesso Privilegiado</w:t>
      </w:r>
    </w:p>
    <w:p>
      <w:pPr>
        <w:pStyle w:val="FirstParagraph"/>
      </w:pPr>
      <w:r>
        <w:rPr>
          <w:iCs/>
          <w:i/>
        </w:rPr>
        <w:t xml:space="preserve">Compromisso de identidade pode cruzar endpoints, serviços de nuvem, fornecedores e canais de recuperação.</w:t>
      </w:r>
    </w:p>
    <w:bookmarkStart w:id="82" w:name="âmbito-de-aplicação"/>
    <w:p>
      <w:pPr>
        <w:pStyle w:val="Heading2"/>
      </w:pPr>
      <w:r>
        <w:t xml:space="preserve">17.1 Âmbito de aplicação</w:t>
      </w:r>
    </w:p>
    <w:p>
      <w:pPr>
        <w:numPr>
          <w:ilvl w:val="0"/>
          <w:numId w:val="1037"/>
        </w:numPr>
      </w:pPr>
      <w:r>
        <w:t xml:space="preserve">Senha, método MFA, sessões, tokens de atualização/acesso, chaves API, bolsas OAuth, diretores de serviço, certificados, métodos de recuperação, acesso delegado e papéis privilegiados.</w:t>
      </w:r>
    </w:p>
    <w:p>
      <w:pPr>
        <w:numPr>
          <w:ilvl w:val="0"/>
          <w:numId w:val="1037"/>
        </w:numPr>
      </w:pPr>
      <w:r>
        <w:t xml:space="preserve">Autenticação sucesso / falha, dispositivo, IP, localização, viagem impossível, registro, consentimento, mudança de papel, regra de caixa de correio, acesso ao aplicativo, reset de suporte, e mudança de registro de auditoria.</w:t>
      </w:r>
    </w:p>
    <w:p>
      <w:pPr>
        <w:numPr>
          <w:ilvl w:val="0"/>
          <w:numId w:val="1037"/>
        </w:numPr>
      </w:pPr>
      <w:r>
        <w:t xml:space="preserve">Identidades relacionadas, dispositivos compartilhados, ferramentas de administração, sistemas federados, help desk, fornecedores e contas de vidro quebrado.</w:t>
      </w:r>
    </w:p>
    <w:p>
      <w:pPr>
        <w:pStyle w:val="FirstParagraph"/>
      </w:pPr>
      <w:r>
        <w:t xml:space="preserve">17.2 Ordem de recuperação segura</w:t>
      </w:r>
    </w:p>
    <w:p>
      <w:pPr>
        <w:numPr>
          <w:ilvl w:val="0"/>
          <w:numId w:val="1038"/>
        </w:numPr>
      </w:pPr>
      <w:r>
        <w:t xml:space="preserve">Primeiro, o acesso administrativo seguro e o controlo de identidade.</w:t>
      </w:r>
    </w:p>
    <w:p>
      <w:pPr>
        <w:numPr>
          <w:ilvl w:val="0"/>
          <w:numId w:val="1038"/>
        </w:numPr>
      </w:pPr>
      <w:r>
        <w:t xml:space="preserve">Desactivar ou restringir caminhos comprometidos, preservando as provas necessárias.</w:t>
      </w:r>
    </w:p>
    <w:p>
      <w:pPr>
        <w:numPr>
          <w:ilvl w:val="0"/>
          <w:numId w:val="1038"/>
        </w:numPr>
      </w:pPr>
      <w:r>
        <w:t xml:space="preserve">Revogar sessões/tokens e remover fatores não autorizados, papéis, aplicações, regras e métodos de recuperação.</w:t>
      </w:r>
    </w:p>
    <w:p>
      <w:pPr>
        <w:numPr>
          <w:ilvl w:val="0"/>
          <w:numId w:val="1038"/>
        </w:numPr>
      </w:pPr>
      <w:r>
        <w:t xml:space="preserve">Rodar segredos em ordem consciente de dependência; verificar contas de serviço e automação.</w:t>
      </w:r>
    </w:p>
    <w:p>
      <w:pPr>
        <w:numPr>
          <w:ilvl w:val="0"/>
          <w:numId w:val="1038"/>
        </w:numPr>
      </w:pPr>
      <w:r>
        <w:t xml:space="preserve">Restaurar o acesso do usuário através de prova de identidade forte; monitor para recorrência.</w:t>
      </w:r>
    </w:p>
    <w:p>
      <w:pPr>
        <w:numPr>
          <w:ilvl w:val="0"/>
          <w:numId w:val="1038"/>
        </w:numPr>
      </w:pPr>
      <w:r>
        <w:t xml:space="preserve">Investigar como os controles foram contornados e testar o processo corrigido.</w:t>
      </w:r>
    </w:p>
    <w:bookmarkEnd w:id="82"/>
    <w:bookmarkEnd w:id="83"/>
    <w:bookmarkStart w:id="84" w:name="Xdf81a1f0af9480c8442234029ec70aed19e4426"/>
    <w:p>
      <w:pPr>
        <w:pStyle w:val="Heading1"/>
      </w:pPr>
      <w:r>
        <w:t xml:space="preserve">18. Incidentes de Terceiro-Parte e Supply-Chain</w:t>
      </w:r>
    </w:p>
    <w:p>
      <w:pPr>
        <w:pStyle w:val="FirstParagraph"/>
      </w:pPr>
      <w:r>
        <w:rPr>
          <w:iCs/>
          <w:i/>
        </w:rPr>
        <w:t xml:space="preserve">Um incidente de fornecedor requer fatos compartilhados, responsabilidades, relógios de notificação e decisões de recuperação.</w:t>
      </w:r>
    </w:p>
    <w:bookmarkEnd w:id="84"/>
    <w:bookmarkStart w:id="85" w:name="preparar"/>
    <w:p>
      <w:pPr>
        <w:pStyle w:val="Heading1"/>
      </w:pPr>
      <w:r>
        <w:t xml:space="preserve"># 18.1 Preparar</w:t>
      </w:r>
    </w:p>
    <w:p>
      <w:pPr>
        <w:numPr>
          <w:ilvl w:val="0"/>
          <w:numId w:val="1039"/>
        </w:numPr>
      </w:pPr>
      <w:r>
        <w:t xml:space="preserve">Mantenha os atuais serviços de fornecedores, proprietários, dados, acesso, integrações, quartas partes, contatos incidentes, termos de contrato e alternativas.</w:t>
      </w:r>
    </w:p>
    <w:p>
      <w:pPr>
        <w:numPr>
          <w:ilvl w:val="0"/>
          <w:numId w:val="1039"/>
        </w:numPr>
      </w:pPr>
      <w:r>
        <w:t xml:space="preserve">Definir eventos relatáveis, tempo de notificação e canal, fatos mínimos, evidência/cooperação, atualizações, contenção, recuperação, comunicação pública e deveres pós-incidentes.</w:t>
      </w:r>
    </w:p>
    <w:p>
      <w:pPr>
        <w:numPr>
          <w:ilvl w:val="0"/>
          <w:numId w:val="1039"/>
        </w:numPr>
      </w:pPr>
      <w:r>
        <w:t xml:space="preserve">Incluir fornecedores críticos em exercícios e testes de continuidade/saída.</w:t>
      </w:r>
    </w:p>
    <w:bookmarkEnd w:id="85"/>
    <w:bookmarkStart w:id="86" w:name="responder"/>
    <w:p>
      <w:pPr>
        <w:pStyle w:val="Heading1"/>
      </w:pPr>
      <w:r>
        <w:t xml:space="preserve">18.2 Responder</w:t>
      </w:r>
    </w:p>
    <w:p>
      <w:pPr>
        <w:numPr>
          <w:ilvl w:val="0"/>
          <w:numId w:val="1040"/>
        </w:numPr>
      </w:pPr>
      <w:r>
        <w:t xml:space="preserve">Confirmar produto afetado, versão, inquilino, região, dados, contas, integrações, subprocessadores, e período de tempo.</w:t>
      </w:r>
    </w:p>
    <w:p>
      <w:pPr>
        <w:numPr>
          <w:ilvl w:val="0"/>
          <w:numId w:val="1040"/>
        </w:numPr>
      </w:pPr>
      <w:r>
        <w:t xml:space="preserve">Separar as alegações do fornecedor de factos apoiados independentemente e registar incerteza.</w:t>
      </w:r>
    </w:p>
    <w:p>
      <w:pPr>
        <w:numPr>
          <w:ilvl w:val="0"/>
          <w:numId w:val="1040"/>
        </w:numPr>
      </w:pPr>
      <w:r>
        <w:t xml:space="preserve">Proteja o acesso da organização, chaves, sessões, integrações, fluxos de dados e clientes.</w:t>
      </w:r>
    </w:p>
    <w:p>
      <w:pPr>
        <w:numPr>
          <w:ilvl w:val="0"/>
          <w:numId w:val="1040"/>
        </w:numPr>
      </w:pPr>
      <w:r>
        <w:t xml:space="preserve">Coordenar fornecedor, equipes internas, clientes, autoridades, seguradoras e outros fornecedores afetados.</w:t>
      </w:r>
    </w:p>
    <w:p>
      <w:pPr>
        <w:numPr>
          <w:ilvl w:val="0"/>
          <w:numId w:val="1040"/>
        </w:numPr>
      </w:pPr>
      <w:r>
        <w:t xml:space="preserve">Reavaliar risco, resultados, desempenho do contrato, concentração e opções de saída/continuidade após a recuperação.</w:t>
      </w:r>
    </w:p>
    <w:bookmarkEnd w:id="86"/>
    <w:bookmarkStart w:id="92" w:name="Xd8880b3dce01a5c81ce6a09124154ce18b8cafc"/>
    <w:p>
      <w:pPr>
        <w:pStyle w:val="Heading1"/>
      </w:pPr>
      <w:r>
        <w:t xml:space="preserve">19. Sistema de Gestão de Continuidade de Negócios</w:t>
      </w:r>
    </w:p>
    <w:p>
      <w:pPr>
        <w:pStyle w:val="FirstParagraph"/>
      </w:pPr>
      <w:r>
        <w:rPr>
          <w:iCs/>
          <w:i/>
        </w:rPr>
        <w:t xml:space="preserve">A BCMS faz da continuidade uma capacidade de gestão governada, medida e melhorada.</w:t>
      </w:r>
    </w:p>
    <w:p>
      <w:pPr>
        <w:pStyle w:val="CaptionedFigure"/>
      </w:pPr>
      <w:r>
        <w:drawing>
          <wp:inline>
            <wp:extent cx="5334000" cy="2945449"/>
            <wp:effectExtent b="0" l="0" r="0" t="0"/>
            <wp:docPr descr="Contexto, liderança, planejamento, suporte, operação, avaliação e trabalho de melhoria como um ciclo." title="" id="88" name="Picture"/>
            <a:graphic>
              <a:graphicData uri="http://schemas.openxmlformats.org/drawingml/2006/picture">
                <pic:pic>
                  <pic:nvPicPr>
                    <pic:cNvPr descr="media/image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5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Contexto, liderança, planejamento, suporte, operação, avaliação e trabalho de melhoria como um ciclo.</w:t>
      </w:r>
    </w:p>
    <w:p>
      <w:pPr>
        <w:pStyle w:val="BodyText"/>
      </w:pPr>
      <w:r>
        <w:t xml:space="preserve">Figura 7. Sistema de gestão da continuidade empresarial</w:t>
      </w:r>
    </w:p>
    <w:bookmarkStart w:id="90" w:name="área-iso-22301"/>
    <w:p>
      <w:pPr>
        <w:pStyle w:val="Heading2"/>
      </w:pPr>
      <w:r>
        <w:t xml:space="preserve">Área ISO 22301</w:t>
      </w:r>
    </w:p>
    <w:p>
      <w:pPr>
        <w:pStyle w:val="FirstParagraph"/>
      </w:pPr>
      <w:r>
        <w:t xml:space="preserve">□ Contexto • Compreender questões internas/externas, partes interessadas, escopo e necessidades de continuidade</w:t>
      </w:r>
      <w:r>
        <w:t xml:space="preserve"> </w:t>
      </w:r>
      <w:r>
        <w:t xml:space="preserve">Liderança Política, funções, responsabilização, integração e recursos</w:t>
      </w:r>
      <w:r>
        <w:t xml:space="preserve"> </w:t>
      </w:r>
      <w:r>
        <w:t xml:space="preserve">• Planeamento • Riscos/oportunidades, objectivos, alterações planeadas</w:t>
      </w:r>
      <w:r>
        <w:t xml:space="preserve"> </w:t>
      </w:r>
      <w:r>
        <w:t xml:space="preserve">Apoiar pessoas, competência, consciência, comunicação, informação documentada</w:t>
      </w:r>
      <w:r>
        <w:t xml:space="preserve"> </w:t>
      </w:r>
      <w:r>
        <w:t xml:space="preserve">□ Operação □ BIA, avaliação de risco, estratégia, procedimentos, exercícios, avaliação</w:t>
      </w:r>
      <w:r>
        <w:t xml:space="preserve"> </w:t>
      </w:r>
      <w:r>
        <w:t xml:space="preserve">• Avaliação do desempenho • Acompanhamento, medição, análise, auditoria interna, análise da gestão</w:t>
      </w:r>
      <w:r>
        <w:t xml:space="preserve"> </w:t>
      </w:r>
      <w:r>
        <w:t xml:space="preserve">Melhoramento □ Não conformidade, ação corretiva e melhoria contínua</w:t>
      </w:r>
    </w:p>
    <w:bookmarkEnd w:id="90"/>
    <w:bookmarkStart w:id="91" w:name="X45eb8f944c07d73e74cbde275d83ed91c5f2a0b"/>
    <w:p>
      <w:pPr>
        <w:pStyle w:val="Heading2"/>
      </w:pPr>
      <w:r>
        <w:t xml:space="preserve">Emenda climática:** ISO 22301:2019/Amd 1:2024 adiciona texto de ação climática aos requisitos de contexto de gestão-sistema. As organizações devem considerar se as alterações climáticas são relevantes e reconhecer que as partes interessadas podem ter requisitos relacionados com o clima. □</w:t>
      </w:r>
    </w:p>
    <w:bookmarkEnd w:id="91"/>
    <w:bookmarkEnd w:id="92"/>
    <w:bookmarkStart w:id="95" w:name="Xaab3a98060ec8cfafdbfa699fdac32fa4176a0b"/>
    <w:p>
      <w:pPr>
        <w:pStyle w:val="Heading1"/>
      </w:pPr>
      <w:r>
        <w:t xml:space="preserve">20. Estratégias e procedimentos de continuidade</w:t>
      </w:r>
    </w:p>
    <w:p>
      <w:pPr>
        <w:numPr>
          <w:ilvl w:val="0"/>
          <w:numId w:val="1041"/>
        </w:numPr>
        <w:pStyle w:val="Compact"/>
      </w:pPr>
      <w:r>
        <w:t xml:space="preserve">As estratégias de continuidade mantêm as atividades prioritárias dentro do impacto tolerável e dos níveis mínimos de serviço.*</w:t>
      </w:r>
    </w:p>
    <w:bookmarkStart w:id="93" w:name="Xb356a74e37435ee557d9607051fe6c3e51064d4"/>
    <w:p>
      <w:pPr>
        <w:pStyle w:val="Heading2"/>
      </w:pPr>
      <w:r>
        <w:t xml:space="preserve">*Recurso</w:t>
      </w:r>
      <w:r>
        <w:rPr>
          <w:bCs/>
          <w:b/>
        </w:rPr>
        <w:t xml:space="preserve"> </w:t>
      </w:r>
      <w:r>
        <w:t xml:space="preserve">Exemplos de estratégia</w:t>
      </w:r>
      <w:r>
        <w:rPr>
          <w:bCs/>
          <w:b/>
        </w:rPr>
        <w:t xml:space="preserve"> </w:t>
      </w:r>
      <w:r>
        <w:t xml:space="preserve">Questão de teste**</w:t>
      </w:r>
    </w:p>
    <w:p>
      <w:pPr>
        <w:pStyle w:val="FirstParagraph"/>
      </w:pPr>
      <w:r>
        <w:t xml:space="preserve">As pessoas podem treinar, alternar, trabalho remoto, equipes divididas, suporte contratado.</w:t>
      </w:r>
      <w:r>
        <w:t xml:space="preserve"> </w:t>
      </w:r>
      <w:r>
        <w:t xml:space="preserve">□ Instalações □ Local alternativo, espaço recíproco, operação remota, capacidade móvel □ As pessoas podem acessar um local seguro utilizável? □</w:t>
      </w:r>
      <w:r>
        <w:t xml:space="preserve"> </w:t>
      </w:r>
      <w:r>
        <w:t xml:space="preserve">• Tecnologia • Alta disponibilidade, failover, plataforma alternativa, modo manual • O serviço de ponta a ponta atende a RTO/RPO?</w:t>
      </w:r>
      <w:r>
        <w:t xml:space="preserve"> </w:t>
      </w:r>
      <w:r>
        <w:t xml:space="preserve">Dados/registros – Cópias protegidas, registros offline, exportação, acesso alternativo A informação é completa, atual, segura e utilizável?</w:t>
      </w:r>
      <w:r>
        <w:t xml:space="preserve"> </w:t>
      </w:r>
      <w:r>
        <w:t xml:space="preserve">Os fornecedores podem fornecer alternativa dentro da tolerância? □</w:t>
      </w:r>
      <w:r>
        <w:t xml:space="preserve"> </w:t>
      </w:r>
      <w:r>
        <w:t xml:space="preserve">□ Utilitários/comunicações □ Potência, rede, voz diferentes, canal fora da banda □ A infraestrutura comum cria uma falha? □</w:t>
      </w:r>
      <w:r>
        <w:t xml:space="preserve"> </w:t>
      </w:r>
      <w:r>
        <w:t xml:space="preserve">• Processo • Priorização, serviço reduzido, plano de backlog, solução manual • Pode a saída mínima ser mantida com segurança?</w:t>
      </w:r>
    </w:p>
    <w:bookmarkEnd w:id="93"/>
    <w:bookmarkStart w:id="94" w:name="procedimento-de-continuidade"/>
    <w:p>
      <w:pPr>
        <w:pStyle w:val="Heading2"/>
      </w:pPr>
      <w:r>
        <w:t xml:space="preserve">20.1 Procedimento de continuidade</w:t>
      </w:r>
    </w:p>
    <w:p>
      <w:pPr>
        <w:numPr>
          <w:ilvl w:val="0"/>
          <w:numId w:val="1042"/>
        </w:numPr>
      </w:pPr>
      <w:r>
        <w:t xml:space="preserve">Activação e autoridade.</w:t>
      </w:r>
    </w:p>
    <w:p>
      <w:pPr>
        <w:numPr>
          <w:ilvl w:val="0"/>
          <w:numId w:val="1042"/>
        </w:numPr>
      </w:pPr>
      <w:r>
        <w:t xml:space="preserve">Saída prioritária, nível mínimo de serviço, duração máxima e meta de recuperação.</w:t>
      </w:r>
    </w:p>
    <w:p>
      <w:pPr>
        <w:numPr>
          <w:ilvl w:val="0"/>
          <w:numId w:val="1042"/>
        </w:numPr>
      </w:pPr>
      <w:r>
        <w:t xml:space="preserve">Pessoas, contato, localização, tecnologia, informação, fornecedor e necessidades de segurança.</w:t>
      </w:r>
    </w:p>
    <w:p>
      <w:pPr>
        <w:numPr>
          <w:ilvl w:val="0"/>
          <w:numId w:val="1042"/>
        </w:numPr>
      </w:pPr>
      <w:r>
        <w:t xml:space="preserve">Passo a passo com controles, aprovações, registros, privacidade, reconciliação e recuperação de backlog.</w:t>
      </w:r>
    </w:p>
    <w:p>
      <w:pPr>
        <w:numPr>
          <w:ilvl w:val="0"/>
          <w:numId w:val="1042"/>
        </w:numPr>
      </w:pPr>
      <w:r>
        <w:t xml:space="preserve">Comunicação cliente/empregado e ritmo de status.</w:t>
      </w:r>
    </w:p>
    <w:p>
      <w:pPr>
        <w:numPr>
          <w:ilvl w:val="0"/>
          <w:numId w:val="1042"/>
        </w:numPr>
      </w:pPr>
      <w:r>
        <w:t xml:space="preserve">Retorno aos critérios normais, validação, aceitação do proprietário e revisão pós-ação.</w:t>
      </w:r>
    </w:p>
    <w:bookmarkEnd w:id="94"/>
    <w:bookmarkEnd w:id="95"/>
    <w:bookmarkStart w:id="96" w:name="planejamento-de-recuperação-de-desastres"/>
    <w:p>
      <w:pPr>
        <w:pStyle w:val="Heading1"/>
      </w:pPr>
      <w:r>
        <w:t xml:space="preserve">21. Planejamento de recuperação de desastres</w:t>
      </w:r>
    </w:p>
    <w:p>
      <w:pPr>
        <w:numPr>
          <w:ilvl w:val="0"/>
          <w:numId w:val="1043"/>
        </w:numPr>
        <w:pStyle w:val="Compact"/>
      </w:pPr>
      <w:r>
        <w:t xml:space="preserve">Um plano de recuperação de desastres restaura a tecnologia em ordem empresarial-prioridade.*</w:t>
      </w:r>
    </w:p>
    <w:bookmarkEnd w:id="96"/>
    <w:bookmarkStart w:id="97" w:name="nist-sp-800-34-processo-de-contingência"/>
    <w:p>
      <w:pPr>
        <w:pStyle w:val="Heading1"/>
      </w:pPr>
      <w:r>
        <w:t xml:space="preserve"># 21,1 NIST SP 800-34 processo de contingência</w:t>
      </w:r>
    </w:p>
    <w:p>
      <w:pPr>
        <w:numPr>
          <w:ilvl w:val="0"/>
          <w:numId w:val="1044"/>
        </w:numPr>
      </w:pPr>
      <w:r>
        <w:t xml:space="preserve">Desenvolva a política de planeamento de contingência.</w:t>
      </w:r>
    </w:p>
    <w:p>
      <w:pPr>
        <w:numPr>
          <w:ilvl w:val="0"/>
          <w:numId w:val="1044"/>
        </w:numPr>
      </w:pPr>
      <w:r>
        <w:t xml:space="preserve">Realizar a análise de impacto empresarial.</w:t>
      </w:r>
    </w:p>
    <w:p>
      <w:pPr>
        <w:numPr>
          <w:ilvl w:val="0"/>
          <w:numId w:val="1044"/>
        </w:numPr>
      </w:pPr>
      <w:r>
        <w:t xml:space="preserve">Identificar os controlos preventivos.</w:t>
      </w:r>
    </w:p>
    <w:p>
      <w:pPr>
        <w:numPr>
          <w:ilvl w:val="0"/>
          <w:numId w:val="1044"/>
        </w:numPr>
      </w:pPr>
      <w:r>
        <w:t xml:space="preserve">Criar estratégias de contingência.</w:t>
      </w:r>
    </w:p>
    <w:p>
      <w:pPr>
        <w:numPr>
          <w:ilvl w:val="0"/>
          <w:numId w:val="1044"/>
        </w:numPr>
      </w:pPr>
      <w:r>
        <w:t xml:space="preserve">Desenvolver o plano de contingência do sistema de informação.</w:t>
      </w:r>
    </w:p>
    <w:p>
      <w:pPr>
        <w:numPr>
          <w:ilvl w:val="0"/>
          <w:numId w:val="1044"/>
        </w:numPr>
      </w:pPr>
      <w:r>
        <w:t xml:space="preserve">Assegurar testes de plano, treinamento e exercícios.</w:t>
      </w:r>
    </w:p>
    <w:p>
      <w:pPr>
        <w:numPr>
          <w:ilvl w:val="0"/>
          <w:numId w:val="1044"/>
        </w:numPr>
      </w:pPr>
      <w:r>
        <w:t xml:space="preserve">Assegurar a manutenção do plano.</w:t>
      </w:r>
    </w:p>
    <w:bookmarkEnd w:id="97"/>
    <w:bookmarkStart w:id="98" w:name="dr-planejar-conteúdo"/>
    <w:p>
      <w:pPr>
        <w:pStyle w:val="Heading1"/>
      </w:pPr>
      <w:r>
        <w:t xml:space="preserve"># 21,2 DR planejar conteúdo</w:t>
      </w:r>
    </w:p>
    <w:p>
      <w:pPr>
        <w:numPr>
          <w:ilvl w:val="0"/>
          <w:numId w:val="1045"/>
        </w:numPr>
      </w:pPr>
      <w:r>
        <w:t xml:space="preserve">Escopo, pressupostos, ativação, autoridades, contatos, fornecedores, sites, arquiteturas, dependências e níveis de recuperação.</w:t>
      </w:r>
    </w:p>
    <w:p>
      <w:pPr>
        <w:numPr>
          <w:ilvl w:val="0"/>
          <w:numId w:val="1045"/>
        </w:numPr>
      </w:pPr>
      <w:r>
        <w:t xml:space="preserve">Avaliação de danos, declaração, failover, restaurar, reconstruir, validação, reconexão, retorno ao primário, e encerramento.</w:t>
      </w:r>
    </w:p>
    <w:p>
      <w:pPr>
        <w:numPr>
          <w:ilvl w:val="0"/>
          <w:numId w:val="1045"/>
        </w:numPr>
      </w:pPr>
      <w:r>
        <w:t xml:space="preserve">Runbooks sistema a sistema com pré-requisitos, credenciais, administração limpa, pontos de dados, interfaces, segurança, testes e rollback.</w:t>
      </w:r>
    </w:p>
    <w:p>
      <w:pPr>
        <w:numPr>
          <w:ilvl w:val="0"/>
          <w:numId w:val="1045"/>
        </w:numPr>
      </w:pPr>
      <w:r>
        <w:t xml:space="preserve">Conflitos de recursos, capacidade, licenciamento, logística, comunicações e soluções manuais.</w:t>
      </w:r>
    </w:p>
    <w:p>
      <w:pPr>
        <w:numPr>
          <w:ilvl w:val="0"/>
          <w:numId w:val="1045"/>
        </w:numPr>
      </w:pPr>
      <w:r>
        <w:t xml:space="preserve">Real RTO/RPO, exceções, aceitação e evidência de melhoria.</w:t>
      </w:r>
    </w:p>
    <w:bookmarkEnd w:id="98"/>
    <w:bookmarkStart w:id="102" w:name="backups-e-garantia-de-recuperação"/>
    <w:p>
      <w:pPr>
        <w:pStyle w:val="Heading1"/>
      </w:pPr>
      <w:r>
        <w:t xml:space="preserve">22. Backups e garantia de recuperação</w:t>
      </w:r>
    </w:p>
    <w:p>
      <w:pPr>
        <w:numPr>
          <w:ilvl w:val="0"/>
          <w:numId w:val="1046"/>
        </w:numPr>
        <w:pStyle w:val="Compact"/>
      </w:pPr>
      <w:r>
        <w:t xml:space="preserve">Os backups requerem escopo protegido, separação, monitoramento, testes de restauração e administração confiável.*</w:t>
      </w:r>
    </w:p>
    <w:p>
      <w:pPr>
        <w:pStyle w:val="CaptionedFigure"/>
      </w:pPr>
      <w:r>
        <w:drawing>
          <wp:inline>
            <wp:extent cx="5334000" cy="2945449"/>
            <wp:effectExtent b="0" l="0" r="0" t="0"/>
            <wp:docPr descr="Copy success is not recovery proof; test complete services and data integrity." title="" id="100" name="Picture"/>
            <a:graphic>
              <a:graphicData uri="http://schemas.openxmlformats.org/drawingml/2006/picture">
                <pic:pic>
                  <pic:nvPicPr>
                    <pic:cNvPr descr="media/image8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5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Copy success is not recovery proof; test complete services and data integrity.</w:t>
      </w:r>
    </w:p>
    <w:p>
      <w:pPr>
        <w:pStyle w:val="BodyText"/>
      </w:pPr>
      <w:r>
        <w:t xml:space="preserve">Figura 8. Garantia de backup para recuperação</w:t>
      </w:r>
    </w:p>
    <w:bookmarkEnd w:id="102"/>
    <w:bookmarkStart w:id="103" w:name="design"/>
    <w:p>
      <w:pPr>
        <w:pStyle w:val="Heading1"/>
      </w:pPr>
      <w:r>
        <w:t xml:space="preserve"># 22.1 Design</w:t>
      </w:r>
    </w:p>
    <w:p>
      <w:pPr>
        <w:numPr>
          <w:ilvl w:val="0"/>
          <w:numId w:val="1047"/>
        </w:numPr>
      </w:pPr>
      <w:r>
        <w:t xml:space="preserve">Mapa de sistemas críticos, configurações, identidade, chaves, código, dados SaaS, logs e dependências para alvos BIA.</w:t>
      </w:r>
    </w:p>
    <w:p>
      <w:pPr>
        <w:numPr>
          <w:ilvl w:val="0"/>
          <w:numId w:val="1047"/>
        </w:numPr>
      </w:pPr>
      <w:r>
        <w:t xml:space="preserve">Use várias cópias protegidas com separação adequada, imutabilidade/controle offline, criptografia, segregação de acesso, monitoramento e retenção.</w:t>
      </w:r>
    </w:p>
    <w:p>
      <w:pPr>
        <w:numPr>
          <w:ilvl w:val="0"/>
          <w:numId w:val="1047"/>
        </w:numPr>
      </w:pPr>
      <w:r>
        <w:t xml:space="preserve">Proteja consoles de backup, contas de serviço, exclusão, replicação, catálogos, credenciais de recuperação e redes de gerenciamento.</w:t>
      </w:r>
    </w:p>
    <w:p>
      <w:pPr>
        <w:numPr>
          <w:ilvl w:val="0"/>
          <w:numId w:val="1047"/>
        </w:numPr>
      </w:pPr>
      <w:r>
        <w:t xml:space="preserve">Evite reproduzir corrupção ou mudanças atacantes sem pontos de recuperação históricos utilizáveis.</w:t>
      </w:r>
    </w:p>
    <w:bookmarkEnd w:id="103"/>
    <w:bookmarkStart w:id="104" w:name="teste-de-restauração"/>
    <w:p>
      <w:pPr>
        <w:pStyle w:val="Heading1"/>
      </w:pPr>
      <w:r>
        <w:t xml:space="preserve"># 22.2 Teste de restauração</w:t>
      </w:r>
    </w:p>
    <w:p>
      <w:pPr>
        <w:numPr>
          <w:ilvl w:val="0"/>
          <w:numId w:val="1048"/>
        </w:numPr>
      </w:pPr>
      <w:r>
        <w:t xml:space="preserve">Selecione um sistema representativo e ponto de recuperação em um cenário aprovado.</w:t>
      </w:r>
    </w:p>
    <w:p>
      <w:pPr>
        <w:numPr>
          <w:ilvl w:val="0"/>
          <w:numId w:val="1048"/>
        </w:numPr>
      </w:pPr>
      <w:r>
        <w:t xml:space="preserve">Use pessoas autorizadas, administração limpa, runbook documentado e restauração isolada, quando apropriado.</w:t>
      </w:r>
    </w:p>
    <w:p>
      <w:pPr>
        <w:numPr>
          <w:ilvl w:val="0"/>
          <w:numId w:val="1048"/>
        </w:numPr>
      </w:pPr>
      <w:r>
        <w:t xml:space="preserve">Meça tempo real e perda de dados; valide completude, integridade, segurança, interfaces, desempenho e uso de negócios.</w:t>
      </w:r>
    </w:p>
    <w:p>
      <w:pPr>
        <w:numPr>
          <w:ilvl w:val="0"/>
          <w:numId w:val="1048"/>
        </w:numPr>
      </w:pPr>
      <w:r>
        <w:t xml:space="preserve">Gravar falhas e soluções; corrigir e reteste.</w:t>
      </w:r>
    </w:p>
    <w:p>
      <w:pPr>
        <w:numPr>
          <w:ilvl w:val="0"/>
          <w:numId w:val="1048"/>
        </w:numPr>
      </w:pPr>
      <w:r>
        <w:t xml:space="preserve">Relate se o serviço completo – não apenas um arquivo – atende aos requisitos de RTO, RPO e serviço mínimo.</w:t>
      </w:r>
    </w:p>
    <w:bookmarkEnd w:id="104"/>
    <w:bookmarkStart w:id="107" w:name="gestão-de-crises-e-fatores-humanos"/>
    <w:p>
      <w:pPr>
        <w:pStyle w:val="Heading1"/>
      </w:pPr>
      <w:r>
        <w:t xml:space="preserve">23. Gestão de Crises e Fatores Humanos</w:t>
      </w:r>
    </w:p>
    <w:p>
      <w:pPr>
        <w:pStyle w:val="FirstParagraph"/>
      </w:pPr>
      <w:r>
        <w:rPr>
          <w:iCs/>
          <w:i/>
        </w:rPr>
        <w:t xml:space="preserve">O gerenciamento de crises coordena decisões de alto impacto quando a informação está incompleta e o tempo importa.</w:t>
      </w:r>
    </w:p>
    <w:bookmarkStart w:id="105" w:name="ritmo-de-liderança"/>
    <w:p>
      <w:pPr>
        <w:pStyle w:val="Heading2"/>
      </w:pPr>
      <w:r>
        <w:t xml:space="preserve">23.1 Ritmo de liderança</w:t>
      </w:r>
    </w:p>
    <w:p>
      <w:pPr>
        <w:numPr>
          <w:ilvl w:val="0"/>
          <w:numId w:val="1049"/>
        </w:numPr>
      </w:pPr>
      <w:r>
        <w:t xml:space="preserve">Definir objetivos de segurança, serviço, jurídico, cliente, evidência e recuperação em ordem prioritária.</w:t>
      </w:r>
    </w:p>
    <w:p>
      <w:pPr>
        <w:numPr>
          <w:ilvl w:val="0"/>
          <w:numId w:val="1049"/>
        </w:numPr>
      </w:pPr>
      <w:r>
        <w:t xml:space="preserve">Manter uma imagem operacional comum: fatos, incerteza, efeitos comerciais, decisões, ações, recursos e próxima atualização.</w:t>
      </w:r>
    </w:p>
    <w:p>
      <w:pPr>
        <w:numPr>
          <w:ilvl w:val="0"/>
          <w:numId w:val="1049"/>
        </w:numPr>
      </w:pPr>
      <w:r>
        <w:t xml:space="preserve">Atribuir um proprietário de decisão e um proprietário de ação; registrar a lógica e o tempo.</w:t>
      </w:r>
    </w:p>
    <w:p>
      <w:pPr>
        <w:numPr>
          <w:ilvl w:val="0"/>
          <w:numId w:val="1049"/>
        </w:numPr>
      </w:pPr>
      <w:r>
        <w:t xml:space="preserve">Use briefings curtos e canais protegidos; controle rumores e instruções conflitantes.</w:t>
      </w:r>
    </w:p>
    <w:p>
      <w:pPr>
        <w:numPr>
          <w:ilvl w:val="0"/>
          <w:numId w:val="1049"/>
        </w:numPr>
      </w:pPr>
      <w:r>
        <w:t xml:space="preserve">Assista a fadiga do respondedor, turnover, viés cognitivo, estresse, segurança pessoal e necessidades familiares.</w:t>
      </w:r>
    </w:p>
    <w:p>
      <w:pPr>
        <w:numPr>
          <w:ilvl w:val="0"/>
          <w:numId w:val="1049"/>
        </w:numPr>
      </w:pPr>
      <w:r>
        <w:t xml:space="preserve">Plano de alívio, alimentos, descanso, transporte, acessibilidade, apoio à saúde mental, e transferências respeitosas.</w:t>
      </w:r>
    </w:p>
    <w:bookmarkEnd w:id="105"/>
    <w:bookmarkStart w:id="106" w:name="elemento-de-cruzamento-pergunta"/>
    <w:p>
      <w:pPr>
        <w:pStyle w:val="Heading2"/>
      </w:pPr>
      <w:r>
        <w:t xml:space="preserve">□</w:t>
      </w:r>
      <w:r>
        <w:t xml:space="preserve"> </w:t>
      </w:r>
      <w:r>
        <w:rPr>
          <w:bCs/>
          <w:b/>
        </w:rPr>
        <w:t xml:space="preserve">Elemento de cruzamento</w:t>
      </w:r>
      <w:r>
        <w:rPr>
          <w:bCs/>
          <w:b/>
        </w:rPr>
        <w:t xml:space="preserve"> </w:t>
      </w:r>
      <w:r>
        <w:t xml:space="preserve"> </w:t>
      </w:r>
      <w:r>
        <w:t xml:space="preserve">** Pergunta **</w:t>
      </w:r>
    </w:p>
    <w:p>
      <w:pPr>
        <w:pStyle w:val="FirstParagraph"/>
      </w:pPr>
      <w:r>
        <w:t xml:space="preserve">Situação O que mudou desde a última atualização?</w:t>
      </w:r>
      <w:r>
        <w:t xml:space="preserve"> </w:t>
      </w:r>
      <w:r>
        <w:t xml:space="preserve">Impacto Quem ou o que é afetado agora e ao longo do tempo?</w:t>
      </w:r>
      <w:r>
        <w:t xml:space="preserve"> </w:t>
      </w:r>
      <w:r>
        <w:t xml:space="preserve">□ Incerteza</w:t>
      </w:r>
      <w:r>
        <w:t xml:space="preserve"> </w:t>
      </w:r>
      <w:r>
        <w:t xml:space="preserve">Objectivos □ Que resultados importam no próximo período de funcionamento?</w:t>
      </w:r>
      <w:r>
        <w:t xml:space="preserve"> </w:t>
      </w:r>
      <w:r>
        <w:t xml:space="preserve">Opções Quais são os benefícios, danos, dependências e reversibilidade?</w:t>
      </w:r>
      <w:r>
        <w:t xml:space="preserve"> </w:t>
      </w:r>
      <w:r>
        <w:t xml:space="preserve">- Decisão - Quem decide quando?</w:t>
      </w:r>
      <w:r>
        <w:t xml:space="preserve"> </w:t>
      </w:r>
      <w:r>
        <w:t xml:space="preserve">Ações Quem faz o quê, quando, com que evidência?</w:t>
      </w:r>
      <w:r>
        <w:t xml:space="preserve"> </w:t>
      </w:r>
      <w:r>
        <w:t xml:space="preserve">Comunicação Quem precisa que a mensagem verificada e quando?</w:t>
      </w:r>
    </w:p>
    <w:bookmarkEnd w:id="106"/>
    <w:bookmarkEnd w:id="107"/>
    <w:bookmarkStart w:id="112" w:name="Xd83bccc3d717405078e7695ffd912c1ead9298b"/>
    <w:p>
      <w:pPr>
        <w:pStyle w:val="Heading1"/>
      </w:pPr>
      <w:r>
        <w:t xml:space="preserve">24. Exercícios, Treinamento e Manutenção do Plano</w:t>
      </w:r>
    </w:p>
    <w:p>
      <w:pPr>
        <w:numPr>
          <w:ilvl w:val="0"/>
          <w:numId w:val="1050"/>
        </w:numPr>
        <w:pStyle w:val="Compact"/>
      </w:pPr>
      <w:r>
        <w:t xml:space="preserve">Os exercícios devem avaliar a capacidade, não recompensar um desempenho ensaiado.*</w:t>
      </w:r>
    </w:p>
    <w:p>
      <w:pPr>
        <w:pStyle w:val="CaptionedFigure"/>
      </w:pPr>
      <w:r>
        <w:drawing>
          <wp:inline>
            <wp:extent cx="5334000" cy="2945449"/>
            <wp:effectExtent b="0" l="0" r="0" t="0"/>
            <wp:docPr descr="Definir objetivos e capturar evidências observáveis antes de atribuir a ação corretiva." title="" id="109" name="Picture"/>
            <a:graphic>
              <a:graphicData uri="http://schemas.openxmlformats.org/drawingml/2006/picture">
                <pic:pic>
                  <pic:nvPicPr>
                    <pic:cNvPr descr="media/image9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5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Definir objetivos e capturar evidências observáveis antes de atribuir a ação corretiva.</w:t>
      </w:r>
    </w:p>
    <w:p>
      <w:pPr>
        <w:pStyle w:val="BodyText"/>
      </w:pPr>
      <w:r>
        <w:t xml:space="preserve">Figura 9. Ciclo de exercício e melhoria</w:t>
      </w:r>
    </w:p>
    <w:bookmarkStart w:id="111" w:name="tipo-de-exercício"/>
    <w:p>
      <w:pPr>
        <w:pStyle w:val="Heading2"/>
      </w:pPr>
      <w:r>
        <w:t xml:space="preserve">Tipo de exercício</w:t>
      </w:r>
    </w:p>
    <w:p>
      <w:pPr>
        <w:numPr>
          <w:ilvl w:val="0"/>
          <w:numId w:val="1051"/>
        </w:numPr>
        <w:pStyle w:val="Compact"/>
      </w:pPr>
      <w:r>
        <w:t xml:space="preserve">Checklist / call-tree test * Validar registros, contatos, acesso e passos simples *</w:t>
      </w:r>
      <w:r>
        <w:t xml:space="preserve"> </w:t>
      </w:r>
      <w:r>
        <w:t xml:space="preserve">□ Tabletop □ Discuta decisões, papéis, informações e coordenação utilizando um cenário □</w:t>
      </w:r>
      <w:r>
        <w:t xml:space="preserve"> </w:t>
      </w:r>
      <w:r>
        <w:t xml:space="preserve">Simulação Operar equipes e comunicações em um ambiente realístico controlado</w:t>
      </w:r>
      <w:r>
        <w:t xml:space="preserve"> </w:t>
      </w:r>
      <w:r>
        <w:t xml:space="preserve">• Teste técnico de recuperação • Restaurar, reconstruir, falhar, validar e medir a tecnologia</w:t>
      </w:r>
      <w:r>
        <w:t xml:space="preserve"> </w:t>
      </w:r>
      <w:r>
        <w:t xml:space="preserve">O teste paralelo é executado capacidade de recuperação sem substituir a produção</w:t>
      </w:r>
      <w:r>
        <w:t xml:space="preserve"> </w:t>
      </w:r>
      <w:r>
        <w:t xml:space="preserve">• Interrupção total • Deslocar o serviço real sob autoridade fortemente controlada; maior risco</w:t>
      </w:r>
      <w:r>
        <w:t xml:space="preserve"> </w:t>
      </w:r>
      <w:r>
        <w:t xml:space="preserve">Exercício Purple-equipe □ Teste colaborativamente ataque, detecção, resposta e melhoria</w:t>
      </w:r>
    </w:p>
    <w:bookmarkEnd w:id="111"/>
    <w:bookmarkEnd w:id="112"/>
    <w:bookmarkStart w:id="113" w:name="provas-pós-acção"/>
    <w:p>
      <w:pPr>
        <w:pStyle w:val="Heading1"/>
      </w:pPr>
      <w:r>
        <w:t xml:space="preserve"># 24.1 Provas pós-acção</w:t>
      </w:r>
    </w:p>
    <w:p>
      <w:pPr>
        <w:numPr>
          <w:ilvl w:val="0"/>
          <w:numId w:val="1052"/>
        </w:numPr>
      </w:pPr>
      <w:r>
        <w:t xml:space="preserve">Objetivo e capacidade testada, cenário, pressupostos, participantes, observadores, regras e controles de segurança.</w:t>
      </w:r>
    </w:p>
    <w:p>
      <w:pPr>
        <w:numPr>
          <w:ilvl w:val="0"/>
          <w:numId w:val="1052"/>
        </w:numPr>
      </w:pPr>
      <w:r>
        <w:t xml:space="preserve">Ações esperadas e critérios de sucesso mensuráveis.</w:t>
      </w:r>
    </w:p>
    <w:p>
      <w:pPr>
        <w:numPr>
          <w:ilvl w:val="0"/>
          <w:numId w:val="1052"/>
        </w:numPr>
      </w:pPr>
      <w:r>
        <w:t xml:space="preserve">Real timeline, decisões, comunicações, uso de ferramenta/plano, resultados de recuperação e limitações.</w:t>
      </w:r>
    </w:p>
    <w:p>
      <w:pPr>
        <w:numPr>
          <w:ilvl w:val="0"/>
          <w:numId w:val="1052"/>
        </w:numPr>
      </w:pPr>
      <w:r>
        <w:t xml:space="preserve">Pontos fortes, lacunas, causas radiculares/contributivas, risco, proprietários, datas, controles provisórios e reteste.</w:t>
      </w:r>
    </w:p>
    <w:bookmarkEnd w:id="113"/>
    <w:bookmarkStart w:id="115" w:name="X3d1c86cfbe8f5200e7d2d841597b69e864590d1"/>
    <w:p>
      <w:pPr>
        <w:pStyle w:val="Heading1"/>
      </w:pPr>
      <w:r>
        <w:t xml:space="preserve">25. Mapeamento de Compliance, Teste de Evidência e Métricas</w:t>
      </w:r>
    </w:p>
    <w:p>
      <w:pPr>
        <w:pStyle w:val="FirstParagraph"/>
      </w:pPr>
      <w:r>
        <w:rPr>
          <w:iCs/>
          <w:i/>
        </w:rPr>
        <w:t xml:space="preserve">Frameworks sobrepõem-se, mas as provas devem ser testadas contra o requisito exato aplicável.</w:t>
      </w:r>
    </w:p>
    <w:bookmarkStart w:id="114" w:name="fonte-fonte-foco-relevante-atenção"/>
    <w:p>
      <w:pPr>
        <w:pStyle w:val="Heading2"/>
      </w:pPr>
      <w:r>
        <w:t xml:space="preserve">Fonte** Fonte** Foco relevante** Atenção**</w:t>
      </w:r>
    </w:p>
    <w:p>
      <w:pPr>
        <w:pStyle w:val="FirstParagraph"/>
      </w:pPr>
      <w:r>
        <w:t xml:space="preserve">NIST SP 800-61 Rev. 3 □ CSF 2.0 Comunidade Perfil para a resposta de incidente em toda a organização; Sobresedes Rev. 2; alfaiate o perfil .</w:t>
      </w:r>
      <w:r>
        <w:t xml:space="preserve"> </w:t>
      </w:r>
      <w:r>
        <w:t xml:space="preserve">NIST SP 800-34 Rev. 1 Atualização 1 □ Processo de planejamento de contingência do sistema de informação federal □ Mais antigo, mas atual NIST final; adaptar-se fora do uso federal</w:t>
      </w:r>
      <w:r>
        <w:t xml:space="preserve"> </w:t>
      </w:r>
      <w:r>
        <w:t xml:space="preserve">• ISO 22301:2019 + Amd 1:2024 • Requisitos para um sistema de gestão de continuidade de negócios</w:t>
      </w:r>
      <w:r>
        <w:t xml:space="preserve"> </w:t>
      </w:r>
      <w:r>
        <w:t xml:space="preserve">ISO 22313:2020 □ Orientação para a utilização de ISO 22301 □ Orientação não é certificação</w:t>
      </w:r>
      <w:r>
        <w:t xml:space="preserve"> </w:t>
      </w:r>
      <w:r>
        <w:t xml:space="preserve">SOC 2 Disponibilidade, segurança, confidencialidade, privacidade, comprometimentos de processamento e controles</w:t>
      </w:r>
      <w:r>
        <w:t xml:space="preserve"> </w:t>
      </w:r>
      <w:r>
        <w:t xml:space="preserve">ISO/IEC 27001:2022 □ Gestão de incidentes, prontidão para a continuidade, backup, registro, fornecedores</w:t>
      </w:r>
      <w:r>
        <w:t xml:space="preserve"> </w:t>
      </w:r>
      <w:r>
        <w:t xml:space="preserve">□ PCI DSS v4.0.1 □ Resposta ao incidente, testes, provedores de serviços, backups e controles relacionados à recuperação</w:t>
      </w:r>
      <w:r>
        <w:t xml:space="preserve"> </w:t>
      </w:r>
      <w:r>
        <w:t xml:space="preserve">□ HIPAA □ Plano de contingência, procedimentos incidentes, backup, DR, operação de emergência</w:t>
      </w:r>
      <w:r>
        <w:t xml:space="preserve"> </w:t>
      </w:r>
      <w:r>
        <w:t xml:space="preserve">□ GDPR □ Segurança, avaliação/notificação de violação, cooperação de processadores, resiliência/restauração □ Funções legais, risco, timing, jurisdição requerem aconselhamento</w:t>
      </w:r>
    </w:p>
    <w:bookmarkEnd w:id="114"/>
    <w:bookmarkEnd w:id="115"/>
    <w:bookmarkStart w:id="117" w:name="teste-de-evidência"/>
    <w:p>
      <w:pPr>
        <w:pStyle w:val="Heading1"/>
      </w:pPr>
      <w:r>
        <w:t xml:space="preserve"># 25.1 Teste de evidência</w:t>
      </w:r>
    </w:p>
    <w:p>
      <w:pPr>
        <w:numPr>
          <w:ilvl w:val="0"/>
          <w:numId w:val="1053"/>
        </w:numPr>
      </w:pPr>
      <w:r>
        <w:t xml:space="preserve">Definir critérios, escopo, período, sistemas, processos, fornecedores e exclusões.</w:t>
      </w:r>
    </w:p>
    <w:p>
      <w:pPr>
        <w:numPr>
          <w:ilvl w:val="0"/>
          <w:numId w:val="1053"/>
        </w:numPr>
      </w:pPr>
      <w:r>
        <w:t xml:space="preserve">Validar a população completa: incidentes, alertas, planos, testes, recuperações, fornecedores, backups, sistemas, ou ações.</w:t>
      </w:r>
    </w:p>
    <w:p>
      <w:pPr>
        <w:numPr>
          <w:ilvl w:val="0"/>
          <w:numId w:val="1053"/>
        </w:numPr>
      </w:pPr>
      <w:r>
        <w:t xml:space="preserve">Inspecionar o design e as provas operacionais; inquérito por si só é fraco.</w:t>
      </w:r>
    </w:p>
    <w:p>
      <w:pPr>
        <w:numPr>
          <w:ilvl w:val="0"/>
          <w:numId w:val="1053"/>
        </w:numPr>
      </w:pPr>
      <w:r>
        <w:t xml:space="preserve">Amostra defensivamente ou testar a população completa; método de registro e limitações.</w:t>
      </w:r>
    </w:p>
    <w:p>
      <w:pPr>
        <w:numPr>
          <w:ilvl w:val="0"/>
          <w:numId w:val="1053"/>
        </w:numPr>
      </w:pPr>
      <w:r>
        <w:t xml:space="preserve">Avaliar exceções, padrões, impacto, causa, controles compensadores e risco residual.</w:t>
      </w:r>
    </w:p>
    <w:p>
      <w:pPr>
        <w:numPr>
          <w:ilvl w:val="0"/>
          <w:numId w:val="1053"/>
        </w:numPr>
      </w:pPr>
      <w:r>
        <w:t xml:space="preserve">Seguir medidas correctivas e testar novamente de forma independente antes do encerramento.</w:t>
      </w:r>
    </w:p>
    <w:bookmarkStart w:id="116" w:name="section"/>
    <w:p>
      <w:pPr>
        <w:pStyle w:val="Heading2"/>
      </w:pPr>
      <w:r>
        <w:t xml:space="preserve">* ** ** ** ** ** ** ** ** ** ** ** ** **</w:t>
      </w:r>
    </w:p>
    <w:p>
      <w:pPr>
        <w:pStyle w:val="FirstParagraph"/>
      </w:pPr>
      <w:r>
        <w:t xml:space="preserve">O tempo médio para detectar o tempo desde o início do evento/primeira evidência até à detecção</w:t>
      </w:r>
      <w:r>
        <w:t xml:space="preserve"> </w:t>
      </w:r>
      <w:r>
        <w:t xml:space="preserve">O tempo médio para conter a detecção/activação para a contenção verificada.</w:t>
      </w:r>
      <w:r>
        <w:t xml:space="preserve"> </w:t>
      </w:r>
      <w:r>
        <w:t xml:space="preserve">• Alcance do objetivo de recuperação; • Testes/incidentes que atendem STO e RPO; • Testes/incidentes em ambiente;</w:t>
      </w:r>
      <w:r>
        <w:t xml:space="preserve"> </w:t>
      </w:r>
      <w:r>
        <w:t xml:space="preserve">□ Cobertura do exercício do Playbook □ Cenários críticos exercitados □ Cenários críticos aprovados</w:t>
      </w:r>
      <w:r>
        <w:t xml:space="preserve"> </w:t>
      </w:r>
      <w:r>
        <w:t xml:space="preserve">□ Idade da ação corretiva □ Dias abertos por gravidade e proprietário</w:t>
      </w:r>
      <w:r>
        <w:t xml:space="preserve"> </w:t>
      </w:r>
      <w:r>
        <w:t xml:space="preserve">Restaurar o sucesso do backup; Restaurações representativas bem sucedidas; testes programados; Restaurar o arquivo pode não provar a recuperação do serviço;</w:t>
      </w:r>
      <w:r>
        <w:t xml:space="preserve"> </w:t>
      </w:r>
      <w:r>
        <w:t xml:space="preserve">Recorrência de incidentes □ Repetir incidentes relacionados com a mesma causa não corrigida</w:t>
      </w:r>
    </w:p>
    <w:bookmarkEnd w:id="116"/>
    <w:bookmarkEnd w:id="117"/>
    <w:bookmarkStart w:id="119" w:name="ferramentas-de-código-aberto"/>
    <w:p>
      <w:pPr>
        <w:pStyle w:val="Heading1"/>
      </w:pPr>
      <w:r>
        <w:t xml:space="preserve">26. Ferramentas de Código Aberto</w:t>
      </w:r>
    </w:p>
    <w:p>
      <w:pPr>
        <w:numPr>
          <w:ilvl w:val="0"/>
          <w:numId w:val="1054"/>
        </w:numPr>
        <w:pStyle w:val="Compact"/>
      </w:pPr>
      <w:r>
        <w:t xml:space="preserve">Ferramentas de código aberto suportam gerenciamento de casos, evidências, detecção, investigação, automação e relatórios.*</w:t>
      </w:r>
    </w:p>
    <w:bookmarkStart w:id="118" w:name="ferramenta-purpose"/>
    <w:p>
      <w:pPr>
        <w:pStyle w:val="Heading2"/>
      </w:pPr>
      <w:r>
        <w:t xml:space="preserve">*Ferramenta** *Purpose**</w:t>
      </w:r>
    </w:p>
    <w:p>
      <w:pPr>
        <w:pStyle w:val="FirstParagraph"/>
      </w:pPr>
      <w:r>
        <w:t xml:space="preserve">□ TheHive □ Gestão de casos e colaboração incidente</w:t>
      </w:r>
      <w:r>
        <w:t xml:space="preserve"> </w:t>
      </w:r>
      <w:r>
        <w:t xml:space="preserve">□ Cortex □ Análise e acções de resposta observáveis</w:t>
      </w:r>
      <w:r>
        <w:t xml:space="preserve"> </w:t>
      </w:r>
      <w:r>
        <w:t xml:space="preserve">O MISP O compartilhamento e correlação de informações de ameaças</w:t>
      </w:r>
      <w:r>
        <w:t xml:space="preserve"> </w:t>
      </w:r>
      <w:r>
        <w:t xml:space="preserve">Wazuh, monitoramento de endpoint, análise de log, integridade do arquivo e alertas</w:t>
      </w:r>
      <w:r>
        <w:t xml:space="preserve"> </w:t>
      </w:r>
      <w:r>
        <w:t xml:space="preserve">O Velociraptor O Endpoint Visibilidade e recolha de respostas a incidentes</w:t>
      </w:r>
      <w:r>
        <w:t xml:space="preserve"> </w:t>
      </w:r>
      <w:r>
        <w:t xml:space="preserve">Volatilidade 3 Memória forense</w:t>
      </w:r>
      <w:r>
        <w:t xml:space="preserve"> </w:t>
      </w:r>
      <w:r>
        <w:t xml:space="preserve">□ Autópsia; análise forense de disco e sistema de arquivos;</w:t>
      </w:r>
      <w:r>
        <w:t xml:space="preserve"> </w:t>
      </w:r>
      <w:r>
        <w:t xml:space="preserve">O Timesketch O timelines forenses colaborativos</w:t>
      </w:r>
      <w:r>
        <w:t xml:space="preserve"> </w:t>
      </w:r>
      <w:r>
        <w:t xml:space="preserve">□ Plaso / log2timeline □ Extração da linha do tempo de artefatos forenses</w:t>
      </w:r>
      <w:r>
        <w:t xml:space="preserve"> </w:t>
      </w:r>
      <w:r>
        <w:t xml:space="preserve">* Osquery * Endpoint state and threat-unting queries *</w:t>
      </w:r>
      <w:r>
        <w:t xml:space="preserve"> </w:t>
      </w:r>
      <w:r>
        <w:t xml:space="preserve">- Zeek - Telemetria de segurança de rede e metadados de protocolo</w:t>
      </w:r>
      <w:r>
        <w:t xml:space="preserve"> </w:t>
      </w:r>
      <w:r>
        <w:t xml:space="preserve">□ Suricata □ Detecção e prevenção de intrusões em rede</w:t>
      </w:r>
      <w:r>
        <w:t xml:space="preserve"> </w:t>
      </w:r>
      <w:r>
        <w:t xml:space="preserve">O padrão de YARA que combina para arquivos e memória</w:t>
      </w:r>
      <w:r>
        <w:t xml:space="preserve"> </w:t>
      </w:r>
      <w:r>
        <w:t xml:space="preserve">Regras portáteis de detecção de logs</w:t>
      </w:r>
      <w:r>
        <w:t xml:space="preserve"> </w:t>
      </w:r>
      <w:r>
        <w:t xml:space="preserve">• DFIR-IRIS • Resposta a incidentes e gestão de casos de investigação</w:t>
      </w:r>
      <w:r>
        <w:t xml:space="preserve"> </w:t>
      </w:r>
      <w:r>
        <w:t xml:space="preserve">Resposta rápida do GRR; Perícias remotas ao vivo na escala de endpoint</w:t>
      </w:r>
      <w:r>
        <w:t xml:space="preserve"> </w:t>
      </w:r>
      <w:r>
        <w:t xml:space="preserve">embaralhar em segurança orquestração e automação</w:t>
      </w:r>
      <w:r>
        <w:t xml:space="preserve"> </w:t>
      </w:r>
      <w:r>
        <w:t xml:space="preserve">Pesquisa, análise, painéis e registros de segurança</w:t>
      </w:r>
    </w:p>
    <w:p>
      <w:pPr>
        <w:pStyle w:val="BodyText"/>
      </w:pPr>
      <w:r>
        <w:t xml:space="preserve">Autorização e segurança das provas: Use ferramentas apenas em sistemas, redes, contas, repositórios e dados que você possui ou tem autoridade escrita para examinar. Isole laboratórios, proteja evidências, minimize dados pessoais, ações de registro e nunca deixe a automação realizar etapas destrutivas sem salvaguardas aprovadas. □</w:t>
      </w:r>
      <w:r>
        <w:t xml:space="preserve"> </w:t>
      </w:r>
      <w:r>
        <w:t xml:space="preserve">O que é que se passa?</w:t>
      </w:r>
    </w:p>
    <w:bookmarkEnd w:id="118"/>
    <w:bookmarkEnd w:id="119"/>
    <w:bookmarkStart w:id="121" w:name="a-colmeia"/>
    <w:p>
      <w:pPr>
        <w:pStyle w:val="Heading1"/>
      </w:pPr>
      <w:r>
        <w:t xml:space="preserve"># 26.1 A Colmeia</w:t>
      </w:r>
    </w:p>
    <w:p>
      <w:pPr>
        <w:pStyle w:val="FirstParagraph"/>
      </w:pPr>
      <w:r>
        <w:t xml:space="preserve">Objetivo: Gestão de casos e colaboração incidente. Projeto oficial:</w:t>
      </w:r>
      <w:r>
        <w:t xml:space="preserve"> </w:t>
      </w:r>
      <w:hyperlink r:id="rId120">
        <w:r>
          <w:rPr>
            <w:rStyle w:val="Hyperlink"/>
          </w:rPr>
          <w:t xml:space="preserve">TheHive</w:t>
        </w:r>
      </w:hyperlink>
    </w:p>
    <w:p>
      <w:pPr>
        <w:pStyle w:val="BodyText"/>
      </w:pPr>
      <w:r>
        <w:t xml:space="preserve">Início rápido seguro: Crie um caso de laboratório, defina tarefas e severidade, adicione observáveis sintéticos, registre decisões, proteja permissões e feche apenas após revisão.</w:t>
      </w:r>
    </w:p>
    <w:p>
      <w:pPr>
        <w:pStyle w:val="BodyText"/>
      </w:pPr>
      <w:r>
        <w:t xml:space="preserve">Provas: autoridade escrita e âmbito, identidade da fonte, data/hora/zona de tempo, ferramenta e versão, configuração/consulta, hashes quando apropriado, resultado bruto, validação do analista, limitação, ação e revisão. Restrinja o acesso e preserve uma cópia de origem inalterada quando necessário.</w:t>
      </w:r>
    </w:p>
    <w:bookmarkEnd w:id="121"/>
    <w:bookmarkStart w:id="123" w:name="cortex"/>
    <w:p>
      <w:pPr>
        <w:pStyle w:val="Heading1"/>
      </w:pPr>
      <w:r>
        <w:t xml:space="preserve"># 26,2 Cortex</w:t>
      </w:r>
    </w:p>
    <w:p>
      <w:pPr>
        <w:pStyle w:val="FirstParagraph"/>
      </w:pPr>
      <w:r>
        <w:t xml:space="preserve">Objetivo: Análise observável e ações de resposta. Projeto oficial:</w:t>
      </w:r>
      <w:r>
        <w:t xml:space="preserve"> </w:t>
      </w:r>
      <w:hyperlink r:id="rId122">
        <w:r>
          <w:rPr>
            <w:rStyle w:val="Hyperlink"/>
          </w:rPr>
          <w:t xml:space="preserve">Cortex</w:t>
        </w:r>
      </w:hyperlink>
    </w:p>
    <w:p>
      <w:pPr>
        <w:pStyle w:val="BodyText"/>
      </w:pPr>
      <w:r>
        <w:t xml:space="preserve">Início rápido seguro: Conecte somente analisadores aprovados em um laboratório, envie observáveis sintéticos, valide resultados, restrinja os respondedores e retenha registros de ação.</w:t>
      </w:r>
    </w:p>
    <w:p>
      <w:pPr>
        <w:pStyle w:val="BodyText"/>
      </w:pPr>
      <w:r>
        <w:t xml:space="preserve">Provas: autoridade escrita e âmbito, identidade da fonte, data/hora/zona de tempo, ferramenta e versão, configuração/consulta, hashes quando apropriado, resultado bruto, validação do analista, limitação, ação e revisão. Restrinja o acesso e preserve uma cópia de origem inalterada quando necessário.</w:t>
      </w:r>
    </w:p>
    <w:bookmarkEnd w:id="123"/>
    <w:bookmarkStart w:id="125" w:name="misp"/>
    <w:p>
      <w:pPr>
        <w:pStyle w:val="Heading1"/>
      </w:pPr>
      <w:r>
        <w:t xml:space="preserve"># 26.3 MISP</w:t>
      </w:r>
    </w:p>
    <w:p>
      <w:pPr>
        <w:pStyle w:val="FirstParagraph"/>
      </w:pPr>
      <w:r>
        <w:t xml:space="preserve">Objectivo: Partilha e correlação de informações sobre ameaças. Projecto oficial:</w:t>
      </w:r>
      <w:r>
        <w:t xml:space="preserve"> </w:t>
      </w:r>
      <w:hyperlink r:id="rId124">
        <w:r>
          <w:rPr>
            <w:rStyle w:val="Hyperlink"/>
          </w:rPr>
          <w:t xml:space="preserve">MISP</w:t>
        </w:r>
      </w:hyperlink>
    </w:p>
    <w:p>
      <w:pPr>
        <w:pStyle w:val="BodyText"/>
      </w:pPr>
      <w:r>
        <w:t xml:space="preserve">Início rápido seguro: Crie um evento de laboratório privado, adicione indicadores sintéticos com marcação de contexto e manipulação, correlacione, exporte apenas dados aprovados e expire indicadores obsoletos.</w:t>
      </w:r>
    </w:p>
    <w:p>
      <w:pPr>
        <w:pStyle w:val="BodyText"/>
      </w:pPr>
      <w:r>
        <w:t xml:space="preserve">Provas: autoridade escrita e âmbito, identidade da fonte, data/hora/zona de tempo, ferramenta e versão, configuração/consulta, hashes quando apropriado, resultado bruto, validação do analista, limitação, ação e revisão. Restrinja o acesso e preserve uma cópia de origem inalterada quando necessário.</w:t>
      </w:r>
    </w:p>
    <w:bookmarkEnd w:id="125"/>
    <w:bookmarkStart w:id="127" w:name="wazuh"/>
    <w:p>
      <w:pPr>
        <w:pStyle w:val="Heading1"/>
      </w:pPr>
      <w:r>
        <w:t xml:space="preserve"># 26.4 Wazuh</w:t>
      </w:r>
    </w:p>
    <w:p>
      <w:pPr>
        <w:pStyle w:val="FirstParagraph"/>
      </w:pPr>
      <w:r>
        <w:t xml:space="preserve">Objetivo: Monitoramento de endpoint, análise de log, integridade do arquivo e alertas. Projecto oficial:</w:t>
      </w:r>
      <w:r>
        <w:t xml:space="preserve"> </w:t>
      </w:r>
      <w:hyperlink r:id="rId126">
        <w:r>
          <w:rPr>
            <w:rStyle w:val="Hyperlink"/>
          </w:rPr>
          <w:t xml:space="preserve">Wazuh</w:t>
        </w:r>
      </w:hyperlink>
    </w:p>
    <w:p>
      <w:pPr>
        <w:pStyle w:val="BodyText"/>
      </w:pPr>
      <w:r>
        <w:t xml:space="preserve">Início rápido e seguro: Inscreva-se em um endpoint de laboratório, gere um evento inofensivo, confirme a coleta e o alerta, investigue, a cobertura do documento e ajuste cuidadosamente.</w:t>
      </w:r>
    </w:p>
    <w:p>
      <w:pPr>
        <w:pStyle w:val="BodyText"/>
      </w:pPr>
      <w:r>
        <w:t xml:space="preserve">Provas: autoridade escrita e âmbito, identidade da fonte, data/hora/zona de tempo, ferramenta e versão, configuração/consulta, hashes quando apropriado, resultado bruto, validação do analista, limitação, ação e revisão. Restrinja o acesso e preserve uma cópia de origem inalterada quando necessário.</w:t>
      </w:r>
    </w:p>
    <w:bookmarkEnd w:id="127"/>
    <w:bookmarkStart w:id="129" w:name="velociraptor"/>
    <w:p>
      <w:pPr>
        <w:pStyle w:val="Heading1"/>
      </w:pPr>
      <w:r>
        <w:t xml:space="preserve"># 26.5 Velociraptor</w:t>
      </w:r>
    </w:p>
    <w:p>
      <w:pPr>
        <w:pStyle w:val="FirstParagraph"/>
      </w:pPr>
      <w:r>
        <w:t xml:space="preserve">Objetivo: Visibilidade do ponto final e coleta de resposta a incidentes. Projecto oficial:</w:t>
      </w:r>
      <w:r>
        <w:t xml:space="preserve"> </w:t>
      </w:r>
      <w:hyperlink r:id="rId128">
        <w:r>
          <w:rPr>
            <w:rStyle w:val="Hyperlink"/>
          </w:rPr>
          <w:t xml:space="preserve">Velociraptor</w:t>
        </w:r>
      </w:hyperlink>
    </w:p>
    <w:p>
      <w:pPr>
        <w:pStyle w:val="BodyText"/>
      </w:pPr>
      <w:r>
        <w:t xml:space="preserve">Início rápido seguro: Use um laboratório autorizado isolado, colete um artefato estreito, alcance de registro e acesso, verifique os resultados e remova os dados de laboratório mantidos de acordo com a política.</w:t>
      </w:r>
    </w:p>
    <w:p>
      <w:pPr>
        <w:pStyle w:val="BodyText"/>
      </w:pPr>
      <w:r>
        <w:t xml:space="preserve">Provas: autoridade escrita e âmbito, identidade da fonte, data/hora/zona de tempo, ferramenta e versão, configuração/consulta, hashes quando apropriado, resultado bruto, validação do analista, limitação, ação e revisão. Restrinja o acesso e preserve uma cópia de origem inalterada quando necessário.</w:t>
      </w:r>
    </w:p>
    <w:bookmarkEnd w:id="129"/>
    <w:bookmarkStart w:id="131" w:name="volatilidade-3"/>
    <w:p>
      <w:pPr>
        <w:pStyle w:val="Heading1"/>
      </w:pPr>
      <w:r>
        <w:t xml:space="preserve"># 26.6 Volatilidade 3</w:t>
      </w:r>
    </w:p>
    <w:p>
      <w:pPr>
        <w:pStyle w:val="FirstParagraph"/>
      </w:pPr>
      <w:r>
        <w:t xml:space="preserve">Objetivo: Perícia de memória. Projecto oficial:</w:t>
      </w:r>
      <w:r>
        <w:t xml:space="preserve"> </w:t>
      </w:r>
      <w:hyperlink r:id="rId130">
        <w:r>
          <w:rPr>
            <w:rStyle w:val="Hyperlink"/>
          </w:rPr>
          <w:t xml:space="preserve">Volatilidade 3</w:t>
        </w:r>
      </w:hyperlink>
    </w:p>
    <w:p>
      <w:pPr>
        <w:pStyle w:val="BodyText"/>
      </w:pPr>
      <w:r>
        <w:t xml:space="preserve">Início rápido seguro: Analise uma imagem de memória de treinamento legalmente obtida, registre hashes e versão da ferramenta, execute plugins focados, valide descobertas e preserve notas.</w:t>
      </w:r>
    </w:p>
    <w:p>
      <w:pPr>
        <w:pStyle w:val="BodyText"/>
      </w:pPr>
      <w:r>
        <w:t xml:space="preserve">Provas: autoridade escrita e âmbito, identidade da fonte, data/hora/zona de tempo, ferramenta e versão, configuração/consulta, hashes quando apropriado, resultado bruto, validação do analista, limitação, ação e revisão. Restrinja o acesso e preserve uma cópia de origem inalterada quando necessário.</w:t>
      </w:r>
    </w:p>
    <w:bookmarkEnd w:id="131"/>
    <w:bookmarkStart w:id="133" w:name="autópsia"/>
    <w:p>
      <w:pPr>
        <w:pStyle w:val="Heading1"/>
      </w:pPr>
      <w:r>
        <w:t xml:space="preserve"># 26,7 Autópsia</w:t>
      </w:r>
    </w:p>
    <w:p>
      <w:pPr>
        <w:pStyle w:val="FirstParagraph"/>
      </w:pPr>
      <w:r>
        <w:t xml:space="preserve">Objetivo: Análise forense de disco e sistema de arquivos. Projecto oficial:</w:t>
      </w:r>
      <w:r>
        <w:t xml:space="preserve"> </w:t>
      </w:r>
      <w:hyperlink r:id="rId132">
        <w:r>
          <w:rPr>
            <w:rStyle w:val="Hyperlink"/>
          </w:rPr>
          <w:t xml:space="preserve">Autopsia</w:t>
        </w:r>
      </w:hyperlink>
    </w:p>
    <w:p>
      <w:pPr>
        <w:pStyle w:val="BodyText"/>
      </w:pPr>
      <w:r>
        <w:t xml:space="preserve">Início rápido seguro: Crie um caso a partir de uma imagem de treinamento, verifique o hash fonte, use análise somente leitura, tag evidence, exporte um relatório e proteja o caso.</w:t>
      </w:r>
    </w:p>
    <w:p>
      <w:pPr>
        <w:pStyle w:val="BodyText"/>
      </w:pPr>
      <w:r>
        <w:t xml:space="preserve">Provas: autoridade escrita e âmbito, identidade da fonte, data/hora/zona de tempo, ferramenta e versão, configuração/consulta, hashes quando apropriado, resultado bruto, validação do analista, limitação, ação e revisão. Restrinja o acesso e preserve uma cópia de origem inalterada quando necessário.</w:t>
      </w:r>
    </w:p>
    <w:bookmarkEnd w:id="133"/>
    <w:bookmarkStart w:id="135" w:name="timesketch"/>
    <w:p>
      <w:pPr>
        <w:pStyle w:val="Heading1"/>
      </w:pPr>
      <w:r>
        <w:t xml:space="preserve"># 26.8 Timesketch</w:t>
      </w:r>
    </w:p>
    <w:p>
      <w:pPr>
        <w:pStyle w:val="FirstParagraph"/>
      </w:pPr>
      <w:r>
        <w:t xml:space="preserve">Objetivo: Tempos forenses colaborativos. Projeto oficial:</w:t>
      </w:r>
      <w:r>
        <w:t xml:space="preserve"> </w:t>
      </w:r>
      <w:hyperlink r:id="rId134">
        <w:r>
          <w:rPr>
            <w:rStyle w:val="Hyperlink"/>
          </w:rPr>
          <w:t xml:space="preserve">Timesketch</w:t>
        </w:r>
      </w:hyperlink>
    </w:p>
    <w:p>
      <w:pPr>
        <w:pStyle w:val="BodyText"/>
      </w:pPr>
      <w:r>
        <w:t xml:space="preserve">Início rápido e seguro: Importar uma linha do tempo sintética, rotular eventos-chave, hipóteses de pesquisa, conclusões de analista de registros e incerteza e controlar o acesso.</w:t>
      </w:r>
    </w:p>
    <w:p>
      <w:pPr>
        <w:pStyle w:val="BodyText"/>
      </w:pPr>
      <w:r>
        <w:t xml:space="preserve">Provas: autoridade escrita e âmbito, identidade da fonte, data/hora/zona de tempo, ferramenta e versão, configuração/consulta, hashes quando apropriado, resultado bruto, validação do analista, limitação, ação e revisão. Restrinja o acesso e preserve uma cópia de origem inalterada quando necessário.</w:t>
      </w:r>
    </w:p>
    <w:bookmarkEnd w:id="135"/>
    <w:bookmarkStart w:id="137" w:name="plaso-log2timeline"/>
    <w:p>
      <w:pPr>
        <w:pStyle w:val="Heading1"/>
      </w:pPr>
      <w:r>
        <w:t xml:space="preserve"># 26.9 Plaso / log2timeline</w:t>
      </w:r>
    </w:p>
    <w:p>
      <w:pPr>
        <w:pStyle w:val="FirstParagraph"/>
      </w:pPr>
      <w:r>
        <w:t xml:space="preserve">Objetivo: Extração temporal de artefatos forenses. Projeto oficial:</w:t>
      </w:r>
      <w:r>
        <w:t xml:space="preserve"> </w:t>
      </w:r>
      <w:hyperlink r:id="rId136">
        <w:r>
          <w:rPr>
            <w:rStyle w:val="Hyperlink"/>
          </w:rPr>
          <w:t xml:space="preserve">Plaso / log2timeline</w:t>
        </w:r>
      </w:hyperlink>
    </w:p>
    <w:p>
      <w:pPr>
        <w:pStyle w:val="BodyText"/>
      </w:pPr>
      <w:r>
        <w:t xml:space="preserve">Início rápido e seguro: Processe uma imagem de treinamento ou o conjunto de artefato aprovado, o analisador de documentos e as escolhas de fuso horário, exporte uma linha do tempo e valide eventos chave.</w:t>
      </w:r>
    </w:p>
    <w:p>
      <w:pPr>
        <w:pStyle w:val="BodyText"/>
      </w:pPr>
      <w:r>
        <w:t xml:space="preserve">Provas: autoridade escrita e âmbito, identidade da fonte, data/hora/zona de tempo, ferramenta e versão, configuração/consulta, hashes quando apropriado, resultado bruto, validação do analista, limitação, ação e revisão. Restrinja o acesso e preserve uma cópia de origem inalterada quando necessário.</w:t>
      </w:r>
    </w:p>
    <w:bookmarkEnd w:id="137"/>
    <w:bookmarkStart w:id="139" w:name="osquery"/>
    <w:p>
      <w:pPr>
        <w:pStyle w:val="Heading1"/>
      </w:pPr>
      <w:r>
        <w:t xml:space="preserve"># 26.10 Osquery</w:t>
      </w:r>
    </w:p>
    <w:p>
      <w:pPr>
        <w:pStyle w:val="FirstParagraph"/>
      </w:pPr>
      <w:r>
        <w:t xml:space="preserve">Finalidade: Endpoint state e consultas de caça à ameaça. Projeto oficial:</w:t>
      </w:r>
      <w:r>
        <w:t xml:space="preserve"> </w:t>
      </w:r>
      <w:hyperlink r:id="rId138">
        <w:r>
          <w:rPr>
            <w:rStyle w:val="Hyperlink"/>
          </w:rPr>
          <w:t xml:space="preserve">osquery</w:t>
        </w:r>
      </w:hyperlink>
    </w:p>
    <w:p>
      <w:pPr>
        <w:pStyle w:val="BodyText"/>
      </w:pPr>
      <w:r>
        <w:t xml:space="preserve">Início rápido seguro: Execute consultas somente de leitura em um laboratório, documente a consulta e população, compare endpoints, valide anomalias e evite coleta descontrolada.</w:t>
      </w:r>
    </w:p>
    <w:p>
      <w:pPr>
        <w:pStyle w:val="BodyText"/>
      </w:pPr>
      <w:r>
        <w:t xml:space="preserve">Provas: autoridade escrita e âmbito, identidade da fonte, data/hora/zona de tempo, ferramenta e versão, configuração/consulta, hashes quando apropriado, resultado bruto, validação do analista, limitação, ação e revisão. Restrinja o acesso e preserve uma cópia de origem inalterada quando necessário.</w:t>
      </w:r>
    </w:p>
    <w:bookmarkEnd w:id="139"/>
    <w:bookmarkStart w:id="141" w:name="zeek"/>
    <w:p>
      <w:pPr>
        <w:pStyle w:val="Heading1"/>
      </w:pPr>
      <w:r>
        <w:t xml:space="preserve"># 26.11 Zeek</w:t>
      </w:r>
    </w:p>
    <w:p>
      <w:pPr>
        <w:pStyle w:val="FirstParagraph"/>
      </w:pPr>
      <w:r>
        <w:t xml:space="preserve">Objetivo: Telemetria de segurança de rede e metadados de protocolo. Projeto oficial:</w:t>
      </w:r>
      <w:r>
        <w:t xml:space="preserve"> </w:t>
      </w:r>
      <w:hyperlink r:id="rId140">
        <w:r>
          <w:rPr>
            <w:rStyle w:val="Hyperlink"/>
          </w:rPr>
          <w:t xml:space="preserve">Zeek</w:t>
        </w:r>
      </w:hyperlink>
    </w:p>
    <w:p>
      <w:pPr>
        <w:pStyle w:val="BodyText"/>
      </w:pPr>
      <w:r>
        <w:t xml:space="preserve">Início rápido e seguro: Use um sensor de laboratório ou uma captura aprovada de pacotes, gere tráfego seguro, inspecione registros, crie uma linha do tempo e registre limites de tráfego criptografados.</w:t>
      </w:r>
    </w:p>
    <w:p>
      <w:pPr>
        <w:pStyle w:val="BodyText"/>
      </w:pPr>
      <w:r>
        <w:t xml:space="preserve">Provas: autoridade escrita e âmbito, identidade da fonte, data/hora/zona de tempo, ferramenta e versão, configuração/consulta, hashes quando apropriado, resultado bruto, validação do analista, limitação, ação e revisão. Restrinja o acesso e preserve uma cópia de origem inalterada quando necessário.</w:t>
      </w:r>
    </w:p>
    <w:bookmarkEnd w:id="141"/>
    <w:bookmarkStart w:id="143" w:name="suricata"/>
    <w:p>
      <w:pPr>
        <w:pStyle w:val="Heading1"/>
      </w:pPr>
      <w:r>
        <w:t xml:space="preserve"># 26.12 Suricata</w:t>
      </w:r>
    </w:p>
    <w:p>
      <w:pPr>
        <w:pStyle w:val="FirstParagraph"/>
      </w:pPr>
      <w:r>
        <w:t xml:space="preserve">Objecto: Detecção e prevenção de intrusões em rede. Projeto oficial:</w:t>
      </w:r>
      <w:r>
        <w:t xml:space="preserve"> </w:t>
      </w:r>
      <w:hyperlink r:id="rId142">
        <w:r>
          <w:rPr>
            <w:rStyle w:val="Hyperlink"/>
          </w:rPr>
          <w:t xml:space="preserve">Suricata</w:t>
        </w:r>
      </w:hyperlink>
    </w:p>
    <w:p>
      <w:pPr>
        <w:pStyle w:val="BodyText"/>
      </w:pPr>
      <w:r>
        <w:t xml:space="preserve">Início rápido e seguro: Use uma interface de laboratório, atualize regras aprovadas, gere tráfego de teste, valide alertas, ajuste com controle de mudança e preserve versões.</w:t>
      </w:r>
    </w:p>
    <w:p>
      <w:pPr>
        <w:pStyle w:val="BodyText"/>
      </w:pPr>
      <w:r>
        <w:t xml:space="preserve">Provas: autoridade escrita e âmbito, identidade da fonte, data/hora/zona de tempo, ferramenta e versão, configuração/consulta, hashes quando apropriado, resultado bruto, validação do analista, limitação, ação e revisão. Restrinja o acesso e preserve uma cópia de origem inalterada quando necessário.</w:t>
      </w:r>
    </w:p>
    <w:bookmarkEnd w:id="143"/>
    <w:bookmarkStart w:id="145" w:name="yara"/>
    <w:p>
      <w:pPr>
        <w:pStyle w:val="Heading1"/>
      </w:pPr>
      <w:r>
        <w:t xml:space="preserve"># 26.13 YARA</w:t>
      </w:r>
    </w:p>
    <w:p>
      <w:pPr>
        <w:pStyle w:val="FirstParagraph"/>
      </w:pPr>
      <w:r>
        <w:t xml:space="preserve">Finalidade: Padrão de correspondência para arquivos e memória. Projeto oficial:</w:t>
      </w:r>
      <w:r>
        <w:t xml:space="preserve"> </w:t>
      </w:r>
      <w:hyperlink r:id="rId144">
        <w:r>
          <w:rPr>
            <w:rStyle w:val="Hyperlink"/>
          </w:rPr>
          <w:t xml:space="preserve">YARA</w:t>
        </w:r>
      </w:hyperlink>
    </w:p>
    <w:p>
      <w:pPr>
        <w:pStyle w:val="BodyText"/>
      </w:pPr>
      <w:r>
        <w:t xml:space="preserve">Início rápido seguro: Teste uma regra estreita contra amostras inofensivas, fonte de regras do documento e falsos positivos, reveja-o por pares e escaneie apenas dados autorizados.</w:t>
      </w:r>
    </w:p>
    <w:p>
      <w:pPr>
        <w:pStyle w:val="BodyText"/>
      </w:pPr>
      <w:r>
        <w:t xml:space="preserve">Provas: autoridade escrita e âmbito, identidade da fonte, data/hora/zona de tempo, ferramenta e versão, configuração/consulta, hashes quando apropriado, resultado bruto, validação do analista, limitação, ação e revisão. Restrinja o acesso e preserve uma cópia de origem inalterada quando necessário.</w:t>
      </w:r>
    </w:p>
    <w:bookmarkEnd w:id="145"/>
    <w:bookmarkStart w:id="147" w:name="sigma"/>
    <w:p>
      <w:pPr>
        <w:pStyle w:val="Heading1"/>
      </w:pPr>
      <w:r>
        <w:t xml:space="preserve"># 26.14 Sigma</w:t>
      </w:r>
    </w:p>
    <w:p>
      <w:pPr>
        <w:pStyle w:val="FirstParagraph"/>
      </w:pPr>
      <w:r>
        <w:t xml:space="preserve">Objetivo: Regras portáteis de detecção de log. Projeto oficial:</w:t>
      </w:r>
      <w:r>
        <w:t xml:space="preserve"> </w:t>
      </w:r>
      <w:hyperlink r:id="rId146">
        <w:r>
          <w:rPr>
            <w:rStyle w:val="Hyperlink"/>
          </w:rPr>
          <w:t xml:space="preserve">Sigma</w:t>
        </w:r>
      </w:hyperlink>
    </w:p>
    <w:p>
      <w:pPr>
        <w:pStyle w:val="BodyText"/>
      </w:pPr>
      <w:r>
        <w:t xml:space="preserve">Início rápido e seguro: Selecione uma regra, mapeie-a para campos disponíveis, converta-a para uma plataforma de laboratório, teste com registros sintéticos, afinação, revisão por pares e versões de faixas.</w:t>
      </w:r>
    </w:p>
    <w:p>
      <w:pPr>
        <w:pStyle w:val="BodyText"/>
      </w:pPr>
      <w:r>
        <w:t xml:space="preserve">Provas: autoridade escrita e âmbito, identidade da fonte, data/hora/zona de tempo, ferramenta e versão, configuração/consulta, hashes quando apropriado, resultado bruto, validação do analista, limitação, ação e revisão. Restrinja o acesso e preserve uma cópia de origem inalterada quando necessário.</w:t>
      </w:r>
    </w:p>
    <w:bookmarkEnd w:id="147"/>
    <w:bookmarkStart w:id="149" w:name="dfir-iris"/>
    <w:p>
      <w:pPr>
        <w:pStyle w:val="Heading1"/>
      </w:pPr>
      <w:r>
        <w:t xml:space="preserve"># 26.15 DFIR-IRIS</w:t>
      </w:r>
    </w:p>
    <w:p>
      <w:pPr>
        <w:pStyle w:val="FirstParagraph"/>
      </w:pPr>
      <w:r>
        <w:t xml:space="preserve">Objetivo: Resposta a incidentes e gestão de casos de investigação. Projecto oficial:</w:t>
      </w:r>
      <w:r>
        <w:t xml:space="preserve"> </w:t>
      </w:r>
      <w:hyperlink r:id="rId148">
        <w:r>
          <w:rPr>
            <w:rStyle w:val="Hyperlink"/>
          </w:rPr>
          <w:t xml:space="preserve">DFIR-IRIS</w:t>
        </w:r>
      </w:hyperlink>
    </w:p>
    <w:p>
      <w:pPr>
        <w:pStyle w:val="BodyText"/>
      </w:pPr>
      <w:r>
        <w:t xml:space="preserve">Início rápido seguro: Crie um caso fictício, atribua tarefas, registre timeline e evidências, restrinja papéis, gere um relatório e teste backup/exportação.</w:t>
      </w:r>
    </w:p>
    <w:p>
      <w:pPr>
        <w:pStyle w:val="BodyText"/>
      </w:pPr>
      <w:r>
        <w:t xml:space="preserve">Provas: autoridade escrita e âmbito, identidade da fonte, data/hora/zona de tempo, ferramenta e versão, configuração/consulta, hashes quando apropriado, resultado bruto, validação do analista, limitação, ação e revisão. Restrinja o acesso e preserve uma cópia de origem inalterada quando necessário.</w:t>
      </w:r>
    </w:p>
    <w:bookmarkEnd w:id="149"/>
    <w:bookmarkStart w:id="151" w:name="grr-resposta-rápida"/>
    <w:p>
      <w:pPr>
        <w:pStyle w:val="Heading1"/>
      </w:pPr>
      <w:r>
        <w:t xml:space="preserve"># 26.16 GRR Resposta Rápida</w:t>
      </w:r>
    </w:p>
    <w:p>
      <w:pPr>
        <w:pStyle w:val="FirstParagraph"/>
      </w:pPr>
      <w:r>
        <w:t xml:space="preserve">Finalidade: Perícias remotas em escala de endpoint. Projecto oficial:</w:t>
      </w:r>
      <w:r>
        <w:t xml:space="preserve"> </w:t>
      </w:r>
      <w:hyperlink r:id="rId150">
        <w:r>
          <w:rPr>
            <w:rStyle w:val="Hyperlink"/>
          </w:rPr>
          <w:t xml:space="preserve">GRR Resposta rápida</w:t>
        </w:r>
      </w:hyperlink>
    </w:p>
    <w:p>
      <w:pPr>
        <w:pStyle w:val="BodyText"/>
      </w:pPr>
      <w:r>
        <w:t xml:space="preserve">Início rápido seguro: Implantar apenas em um ambiente autorizado isolado, aprovar um fluxo de coleta estreito, verificar registros de auditoria e controlar os resultados retidos.</w:t>
      </w:r>
    </w:p>
    <w:p>
      <w:pPr>
        <w:pStyle w:val="BodyText"/>
      </w:pPr>
      <w:r>
        <w:t xml:space="preserve">Provas: autoridade escrita e âmbito, identidade da fonte, data/hora/zona de tempo, ferramenta e versão, configuração/consulta, hashes quando apropriado, resultado bruto, validação do analista, limitação, ação e revisão. Restrinja o acesso e preserve uma cópia de origem inalterada quando necessário.</w:t>
      </w:r>
    </w:p>
    <w:bookmarkEnd w:id="151"/>
    <w:bookmarkStart w:id="153" w:name="shuffle"/>
    <w:p>
      <w:pPr>
        <w:pStyle w:val="Heading1"/>
      </w:pPr>
      <w:r>
        <w:t xml:space="preserve"># 26.17 Shuffle</w:t>
      </w:r>
    </w:p>
    <w:p>
      <w:pPr>
        <w:pStyle w:val="FirstParagraph"/>
      </w:pPr>
      <w:r>
        <w:t xml:space="preserve">Objetivo: Orquestração de segurança e automação. Projeto oficial:</w:t>
      </w:r>
      <w:r>
        <w:t xml:space="preserve"> </w:t>
      </w:r>
      <w:hyperlink r:id="rId152">
        <w:r>
          <w:rPr>
            <w:rStyle w:val="Hyperlink"/>
          </w:rPr>
          <w:t xml:space="preserve">Shuffle</w:t>
        </w:r>
      </w:hyperlink>
    </w:p>
    <w:p>
      <w:pPr>
        <w:pStyle w:val="BodyText"/>
      </w:pPr>
      <w:r>
        <w:t xml:space="preserve">Início rápido e seguro: Crie um fluxo de trabalho de laboratório com entradas e portões de aprovação inofensivos, caminhos de falha de teste, registre cada ação e mantenha ações destrutivas desabilitadas.</w:t>
      </w:r>
    </w:p>
    <w:p>
      <w:pPr>
        <w:pStyle w:val="BodyText"/>
      </w:pPr>
      <w:r>
        <w:t xml:space="preserve">Provas: autoridade escrita e âmbito, identidade da fonte, data/hora/zona de tempo, ferramenta e versão, configuração/consulta, hashes quando apropriado, resultado bruto, validação do analista, limitação, ação e revisão. Restrinja o acesso e preserve uma cópia de origem inalterada quando necessário.</w:t>
      </w:r>
    </w:p>
    <w:bookmarkEnd w:id="153"/>
    <w:bookmarkStart w:id="155" w:name="opensearch"/>
    <w:p>
      <w:pPr>
        <w:pStyle w:val="Heading1"/>
      </w:pPr>
      <w:r>
        <w:t xml:space="preserve"># 26.18 OpenSearch</w:t>
      </w:r>
    </w:p>
    <w:p>
      <w:pPr>
        <w:pStyle w:val="FirstParagraph"/>
      </w:pPr>
      <w:r>
        <w:t xml:space="preserve">Objetivo: Pesquisa, análise, painéis e registros de segurança. Projeto oficial:</w:t>
      </w:r>
      <w:r>
        <w:t xml:space="preserve"> </w:t>
      </w:r>
      <w:hyperlink r:id="rId154">
        <w:r>
          <w:rPr>
            <w:rStyle w:val="Hyperlink"/>
          </w:rPr>
          <w:t xml:space="preserve">OpenSearch</w:t>
        </w:r>
      </w:hyperlink>
    </w:p>
    <w:p>
      <w:pPr>
        <w:pStyle w:val="BodyText"/>
      </w:pPr>
      <w:r>
        <w:t xml:space="preserve">Início rápido e seguro: Ingera registros sintéticos, normalize o tempo e os campos, crie uma consulta focada e painel, restrinja o acesso e a retenção de documentos.</w:t>
      </w:r>
    </w:p>
    <w:p>
      <w:pPr>
        <w:pStyle w:val="BodyText"/>
      </w:pPr>
      <w:r>
        <w:t xml:space="preserve">Provas: autoridade escrita e âmbito, identidade da fonte, data/hora/zona de tempo, ferramenta e versão, configuração/consulta, hashes quando apropriado, resultado bruto, validação do analista, limitação, ação e revisão. Restrinja o acesso e preserve uma cópia de origem inalterada quando necessário.</w:t>
      </w:r>
    </w:p>
    <w:bookmarkEnd w:id="155"/>
    <w:bookmarkStart w:id="158" w:name="manual-de-resiliência-para-gerentes"/>
    <w:p>
      <w:pPr>
        <w:pStyle w:val="Heading1"/>
      </w:pPr>
      <w:r>
        <w:t xml:space="preserve">27. Manual de resiliência para gerentes</w:t>
      </w:r>
    </w:p>
    <w:p>
      <w:pPr>
        <w:numPr>
          <w:ilvl w:val="0"/>
          <w:numId w:val="1055"/>
        </w:numPr>
        <w:pStyle w:val="Compact"/>
      </w:pPr>
      <w:r>
        <w:t xml:space="preserve">Os gestores criam resiliência, definindo autoridade, preparando financiamento, desafiando evidências e removendo bloqueadores.*</w:t>
      </w:r>
    </w:p>
    <w:bookmarkStart w:id="156" w:name="section-1"/>
    <w:p>
      <w:pPr>
        <w:pStyle w:val="Heading2"/>
      </w:pPr>
      <w:r>
        <w:t xml:space="preserve">* * * * * * * * * * * * * * * * * * * * * * * * * * * * * * * * * * * * * * * * * *</w:t>
      </w:r>
    </w:p>
    <w:p>
      <w:pPr>
        <w:pStyle w:val="FirstParagraph"/>
      </w:pPr>
      <w:r>
        <w:t xml:space="preserve">□ Governança □ São claras as mudanças de autoridade, alternativas, severidade, escalada, gastos e emergência? □ Nenhum tomador de decisão após o horário</w:t>
      </w:r>
      <w:r>
        <w:t xml:space="preserve"> </w:t>
      </w:r>
      <w:r>
        <w:t xml:space="preserve">• Prontos: inventários, logs, contatos, acesso, ferramentas, comunicações e recursos de recuperação limpos são testados? Plano existe mas o acesso falha</w:t>
      </w:r>
      <w:r>
        <w:t xml:space="preserve"> </w:t>
      </w:r>
      <w:r>
        <w:t xml:space="preserve">• Resposta: Os fatos, incerteza, objetivos, ações, evidências e próxima atualização são controlados? □ Equipas conflitantes ou decisões não documentadas</w:t>
      </w:r>
      <w:r>
        <w:t xml:space="preserve"> </w:t>
      </w:r>
      <w:r>
        <w:t xml:space="preserve">Continuidade Pode a saída crítica continuar dentro do impacto tolerável? A solução ignora a segurança, privacidade ou reconciliação</w:t>
      </w:r>
      <w:r>
        <w:t xml:space="preserve"> </w:t>
      </w:r>
      <w:r>
        <w:t xml:space="preserve">Recuperação , pode completar serviços atender RTO / RPO testado de fontes confiáveis? Sucesso de backup relatado sem prova de restauração</w:t>
      </w:r>
      <w:r>
        <w:t xml:space="preserve"> </w:t>
      </w:r>
      <w:r>
        <w:t xml:space="preserve">Os fornecedores são contatos críticos, deveres, dependências e alternativas exercidas? □ Um provedor é uma dependência comum oculta</w:t>
      </w:r>
      <w:r>
        <w:t xml:space="preserve"> </w:t>
      </w:r>
      <w:r>
        <w:t xml:space="preserve">As pessoas são turnos, transferências, descanso, segurança e tensão psicológica gerenciados? Os respondedores exaustos tomam decisões críticas</w:t>
      </w:r>
      <w:r>
        <w:t xml:space="preserve"> </w:t>
      </w:r>
      <w:r>
        <w:t xml:space="preserve">□ Melhoria □ São ações severas financiadas, possuídas, medidas e retestadas? □ O mesmo gap aparece em exercícios/incidentes posteriores</w:t>
      </w:r>
    </w:p>
    <w:bookmarkEnd w:id="156"/>
    <w:bookmarkStart w:id="157" w:name="perguntas-executivas"/>
    <w:p>
      <w:pPr>
        <w:pStyle w:val="Heading2"/>
      </w:pPr>
      <w:r>
        <w:t xml:space="preserve">27.1 Perguntas executivas</w:t>
      </w:r>
    </w:p>
    <w:p>
      <w:pPr>
        <w:numPr>
          <w:ilvl w:val="0"/>
          <w:numId w:val="1056"/>
        </w:numPr>
      </w:pPr>
      <w:r>
        <w:t xml:space="preserve">Qual é o actual impacto nos negócios e na segurança?</w:t>
      </w:r>
    </w:p>
    <w:p>
      <w:pPr>
        <w:numPr>
          <w:ilvl w:val="0"/>
          <w:numId w:val="1056"/>
        </w:numPr>
      </w:pPr>
      <w:r>
        <w:t xml:space="preserve">Que factos apoiam a conclusão, e o que permanece incerto?</w:t>
      </w:r>
    </w:p>
    <w:p>
      <w:pPr>
        <w:pStyle w:val="FirstParagraph"/>
      </w:pPr>
      <w:r>
        <w:t xml:space="preserve">Quais são as próximas duas decisões, quem as possui, e quando são necessárias?</w:t>
      </w:r>
    </w:p>
    <w:p>
      <w:pPr>
        <w:numPr>
          <w:ilvl w:val="0"/>
          <w:numId w:val="1057"/>
        </w:numPr>
      </w:pPr>
      <w:r>
        <w:t xml:space="preserve">Que acção pode criar danos irreversíveis ou destruir provas?</w:t>
      </w:r>
    </w:p>
    <w:p>
      <w:pPr>
        <w:numPr>
          <w:ilvl w:val="0"/>
          <w:numId w:val="1057"/>
        </w:numPr>
      </w:pPr>
      <w:r>
        <w:t xml:space="preserve">Os serviços críticos podem continuar?</w:t>
      </w:r>
    </w:p>
    <w:p>
      <w:pPr>
        <w:numPr>
          <w:ilvl w:val="0"/>
          <w:numId w:val="1057"/>
        </w:numPr>
      </w:pPr>
      <w:r>
        <w:t xml:space="preserve">As obrigações legais, de privacidade, contratuais, seguradoras, clientes e autoridades estão sendo monitoradas?</w:t>
      </w:r>
    </w:p>
    <w:p>
      <w:pPr>
        <w:numPr>
          <w:ilvl w:val="0"/>
          <w:numId w:val="1057"/>
        </w:numPr>
      </w:pPr>
      <w:r>
        <w:t xml:space="preserve">Que recursos ou escolha de negócio está bloqueando contenção ou recuperação?</w:t>
      </w:r>
    </w:p>
    <w:p>
      <w:pPr>
        <w:numPr>
          <w:ilvl w:val="0"/>
          <w:numId w:val="1057"/>
        </w:numPr>
      </w:pPr>
      <w:r>
        <w:t xml:space="preserve">Como vamos verificar a recuperação e evitar a recorrência?</w:t>
      </w:r>
    </w:p>
    <w:bookmarkEnd w:id="157"/>
    <w:bookmarkEnd w:id="158"/>
    <w:bookmarkStart w:id="162" w:name="X3ac34a543331e4bf913bf655080aae44e00573f"/>
    <w:p>
      <w:pPr>
        <w:pStyle w:val="Heading1"/>
      </w:pPr>
      <w:r>
        <w:t xml:space="preserve">28. Guia de Carreira de Analista Júnior e Laboratório de Portfólio</w:t>
      </w:r>
    </w:p>
    <w:p>
      <w:pPr>
        <w:pStyle w:val="FirstParagraph"/>
      </w:pPr>
      <w:r>
        <w:rPr>
          <w:iCs/>
          <w:i/>
        </w:rPr>
        <w:t xml:space="preserve">Analistas juniores ganham confiança através de registros de casos disciplinados, manipulação de evidências, curiosidade técnica e escrita clara.</w:t>
      </w:r>
    </w:p>
    <w:p>
      <w:pPr>
        <w:pStyle w:val="CaptionedFigure"/>
      </w:pPr>
      <w:r>
        <w:drawing>
          <wp:inline>
            <wp:extent cx="5334000" cy="2945449"/>
            <wp:effectExtent b="0" l="0" r="0" t="0"/>
            <wp:docPr descr="Construir práticas seguras desde quadros até evidências, casos, documentos de trabalho e histórias de entrevista." title="" id="160" name="Picture"/>
            <a:graphic>
              <a:graphicData uri="http://schemas.openxmlformats.org/drawingml/2006/picture">
                <pic:pic>
                  <pic:nvPicPr>
                    <pic:cNvPr descr="media/image10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5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Construir práticas seguras desde quadros até evidências, casos, documentos de trabalho e histórias de entrevista.</w:t>
      </w:r>
    </w:p>
    <w:p>
      <w:pPr>
        <w:pStyle w:val="BodyText"/>
      </w:pPr>
      <w:r>
        <w:t xml:space="preserve">Figura 10. Caminho do analista de resiliência júnior</w:t>
      </w:r>
    </w:p>
    <w:bookmarkEnd w:id="162"/>
    <w:bookmarkStart w:id="163" w:name="funções-comuns"/>
    <w:p>
      <w:pPr>
        <w:pStyle w:val="Heading1"/>
      </w:pPr>
      <w:r>
        <w:t xml:space="preserve"># 28.1 Funções comuns</w:t>
      </w:r>
    </w:p>
    <w:p>
      <w:pPr>
        <w:numPr>
          <w:ilvl w:val="0"/>
          <w:numId w:val="1058"/>
        </w:numPr>
      </w:pPr>
      <w:r>
        <w:t xml:space="preserve">Analisador de Resposta a Incidentes Júnior</w:t>
      </w:r>
    </w:p>
    <w:p>
      <w:pPr>
        <w:numPr>
          <w:ilvl w:val="0"/>
          <w:numId w:val="1058"/>
        </w:numPr>
      </w:pPr>
      <w:r>
        <w:t xml:space="preserve">SOC Analisador</w:t>
      </w:r>
    </w:p>
    <w:p>
      <w:pPr>
        <w:numPr>
          <w:ilvl w:val="0"/>
          <w:numId w:val="1058"/>
        </w:numPr>
      </w:pPr>
      <w:r>
        <w:t xml:space="preserve">Analista de Operações de Cibersegurança</w:t>
      </w:r>
    </w:p>
    <w:p>
      <w:pPr>
        <w:numPr>
          <w:ilvl w:val="0"/>
          <w:numId w:val="1058"/>
        </w:numPr>
      </w:pPr>
      <w:r>
        <w:t xml:space="preserve">Analisador DFIR (junior)</w:t>
      </w:r>
    </w:p>
    <w:p>
      <w:pPr>
        <w:numPr>
          <w:ilvl w:val="0"/>
          <w:numId w:val="1058"/>
        </w:numPr>
      </w:pPr>
      <w:r>
        <w:t xml:space="preserve">Analista de continuidade de negócios</w:t>
      </w:r>
    </w:p>
    <w:p>
      <w:pPr>
        <w:numPr>
          <w:ilvl w:val="0"/>
          <w:numId w:val="1058"/>
        </w:numPr>
      </w:pPr>
      <w:r>
        <w:t xml:space="preserve">Analista de Recuperação de Desastres</w:t>
      </w:r>
    </w:p>
    <w:p>
      <w:pPr>
        <w:numPr>
          <w:ilvl w:val="0"/>
          <w:numId w:val="1058"/>
        </w:numPr>
      </w:pPr>
      <w:r>
        <w:t xml:space="preserve">Analista de resistência cibernética</w:t>
      </w:r>
    </w:p>
    <w:p>
      <w:pPr>
        <w:numPr>
          <w:ilvl w:val="0"/>
          <w:numId w:val="1058"/>
        </w:numPr>
      </w:pPr>
      <w:r>
        <w:t xml:space="preserve">Analisador de risco GRC / TI</w:t>
      </w:r>
    </w:p>
    <w:bookmarkEnd w:id="163"/>
    <w:bookmarkStart w:id="164" w:name="trabalho-típico"/>
    <w:p>
      <w:pPr>
        <w:pStyle w:val="Heading1"/>
      </w:pPr>
      <w:r>
        <w:t xml:space="preserve"># 28.2 Trabalho típico</w:t>
      </w:r>
    </w:p>
    <w:p>
      <w:pPr>
        <w:numPr>
          <w:ilvl w:val="0"/>
          <w:numId w:val="1059"/>
        </w:numPr>
      </w:pPr>
      <w:r>
        <w:t xml:space="preserve">Validar e enriquecer alertas; abrir casos precisos; separar fatos das suposições.</w:t>
      </w:r>
    </w:p>
    <w:p>
      <w:pPr>
        <w:numPr>
          <w:ilvl w:val="0"/>
          <w:numId w:val="1059"/>
        </w:numPr>
      </w:pPr>
      <w:r>
        <w:t xml:space="preserve">Construir timelines, populações afetadas por escopo, preservar evidências aprovadas e registrar consultas/ações.</w:t>
      </w:r>
    </w:p>
    <w:p>
      <w:pPr>
        <w:numPr>
          <w:ilvl w:val="0"/>
          <w:numId w:val="1059"/>
        </w:numPr>
      </w:pPr>
      <w:r>
        <w:t xml:space="preserve">Siga os playbooks, aumente a gravidade, coordene tarefas e prepare resumos de status.</w:t>
      </w:r>
    </w:p>
    <w:p>
      <w:pPr>
        <w:numPr>
          <w:ilvl w:val="0"/>
          <w:numId w:val="1059"/>
        </w:numPr>
      </w:pPr>
      <w:r>
        <w:t xml:space="preserve">Retenção, remediação, provas de recuperação, acções correctivas e retestes.</w:t>
      </w:r>
    </w:p>
    <w:p>
      <w:pPr>
        <w:numPr>
          <w:ilvl w:val="0"/>
          <w:numId w:val="1059"/>
        </w:numPr>
      </w:pPr>
      <w:r>
        <w:t xml:space="preserve">Mantenha contatos, planos, dados BIA/dependência, runbooks de recuperação, registros de exercícios e métricas.</w:t>
      </w:r>
    </w:p>
    <w:p>
      <w:pPr>
        <w:numPr>
          <w:ilvl w:val="0"/>
          <w:numId w:val="1059"/>
        </w:numPr>
      </w:pPr>
      <w:r>
        <w:t xml:space="preserve">Use ferramentas de código aberto autorizadas em um laboratório e explique limitações.</w:t>
      </w:r>
    </w:p>
    <w:bookmarkEnd w:id="164"/>
    <w:bookmarkStart w:id="165" w:name="laboratório-de-portfólio-fictício"/>
    <w:p>
      <w:pPr>
        <w:pStyle w:val="Heading1"/>
      </w:pPr>
      <w:r>
        <w:t xml:space="preserve"># 28.3 Laboratório de portfólio fictício</w:t>
      </w:r>
    </w:p>
    <w:p>
      <w:pPr>
        <w:numPr>
          <w:ilvl w:val="0"/>
          <w:numId w:val="1060"/>
        </w:numPr>
      </w:pPr>
      <w:r>
        <w:t xml:space="preserve">Criar uma organização fictícia de 80 pessoas com e-mail na nuvem, endpoints, CRM SaaS, aplicação web, dados do cliente, fornecedores e um processo de faturamento crítico.</w:t>
      </w:r>
    </w:p>
    <w:p>
      <w:pPr>
        <w:numPr>
          <w:ilvl w:val="0"/>
          <w:numId w:val="1060"/>
        </w:numPr>
      </w:pPr>
      <w:r>
        <w:t xml:space="preserve">Escreva uma BIA com impacto ao longo do tempo, dependências, MTPD, RTO, RPO e nível mínimo de serviço.</w:t>
      </w:r>
    </w:p>
    <w:p>
      <w:pPr>
        <w:numPr>
          <w:ilvl w:val="0"/>
          <w:numId w:val="1060"/>
        </w:numPr>
      </w:pPr>
      <w:r>
        <w:t xml:space="preserve">Construir política de incidentes, RACI, matriz de gravidade, contatos, comunicações, ransomware, identidade, nuvem e playbooks de fornecedores.</w:t>
      </w:r>
    </w:p>
    <w:p>
      <w:pPr>
        <w:numPr>
          <w:ilvl w:val="0"/>
          <w:numId w:val="1060"/>
        </w:numPr>
      </w:pPr>
      <w:r>
        <w:t xml:space="preserve">Use registros sintéticos para investigar uma conta ficcional comprometida; crie uma linha do tempo, memorando de escopo, registro de contenção e atualização do gerente.</w:t>
      </w:r>
    </w:p>
    <w:p>
      <w:pPr>
        <w:numPr>
          <w:ilvl w:val="0"/>
          <w:numId w:val="1060"/>
        </w:numPr>
      </w:pPr>
      <w:r>
        <w:t xml:space="preserve">Analise um disco de treinamento legal ou imagem de memória com Autópsia ou Volatilidade; fonte de documento, hash, método, achados e limites.</w:t>
      </w:r>
    </w:p>
    <w:p>
      <w:pPr>
        <w:numPr>
          <w:ilvl w:val="0"/>
          <w:numId w:val="1060"/>
        </w:numPr>
      </w:pPr>
      <w:r>
        <w:t xml:space="preserve">Crie um DR runbook e realize um teste de restauração seguro com timings reais e validação de dados.</w:t>
      </w:r>
    </w:p>
    <w:p>
      <w:pPr>
        <w:numPr>
          <w:ilvl w:val="0"/>
          <w:numId w:val="1060"/>
        </w:numPr>
      </w:pPr>
      <w:r>
        <w:t xml:space="preserve">Execute uma tabela e produza um relatório pós-ação com melhorias rastreadas e retestadas.</w:t>
      </w:r>
    </w:p>
    <w:p>
      <w:pPr>
        <w:numPr>
          <w:ilvl w:val="0"/>
          <w:numId w:val="1060"/>
        </w:numPr>
      </w:pPr>
      <w:r>
        <w:t xml:space="preserve">Publicar apenas artefatos ficcionais higienizados e afirmar que o trabalho é educacional, não uma investigação real ou certificação.</w:t>
      </w:r>
    </w:p>
    <w:bookmarkEnd w:id="165"/>
    <w:bookmarkStart w:id="167" w:name="X1ac31f8b5089a4fa0e4514340e1fed6fc447af7"/>
    <w:p>
      <w:pPr>
        <w:pStyle w:val="Heading1"/>
      </w:pPr>
      <w:r>
        <w:t xml:space="preserve">29. Preparação do Plano e Entrevista de Trinta Dias</w:t>
      </w:r>
    </w:p>
    <w:p>
      <w:pPr>
        <w:numPr>
          <w:ilvl w:val="0"/>
          <w:numId w:val="1061"/>
        </w:numPr>
      </w:pPr>
      <w:r>
        <w:t xml:space="preserve">Um mês focado pode construir incidente de nível de entrada e capacidade de resiliência.*</w:t>
      </w:r>
    </w:p>
    <w:p>
      <w:pPr>
        <w:numPr>
          <w:ilvl w:val="0"/>
          <w:numId w:val="1061"/>
        </w:numPr>
        <w:pStyle w:val="Heading2"/>
      </w:pPr>
      <w:bookmarkStart w:id="166" w:name="dias-foco-entrega"/>
      <w:r>
        <w:t xml:space="preserve">Dias** * Foco** * Entrega**</w:t>
      </w:r>
      <w:bookmarkEnd w:id="166"/>
    </w:p>
    <w:p>
      <w:pPr>
        <w:numPr>
          <w:ilvl w:val="0"/>
          <w:numId w:val="1000"/>
        </w:numPr>
      </w:pPr>
      <w:r>
        <w:t xml:space="preserve">1–3 conceitos IR/BC/DR/crise e modelo NIST atual □ Mapa de conceito e RACI</w:t>
      </w:r>
      <w:r>
        <w:t xml:space="preserve"> </w:t>
      </w:r>
      <w:r>
        <w:t xml:space="preserve">. . . . . . . .</w:t>
      </w:r>
      <w:r>
        <w:t xml:space="preserve"> </w:t>
      </w:r>
      <w:r>
        <w:t xml:space="preserve">Preparação, registro, contatos, playbooks, lista de verificação de prontidão e dois playbooks</w:t>
      </w:r>
      <w:r>
        <w:t xml:space="preserve"> </w:t>
      </w:r>
      <w:r>
        <w:t xml:space="preserve">Detecção, triagem, gravidade, casos</w:t>
      </w:r>
      <w:r>
        <w:t xml:space="preserve"> </w:t>
      </w:r>
      <w:r>
        <w:t xml:space="preserve">Investigação, linha do tempo, evidência</w:t>
      </w:r>
      <w:r>
        <w:t xml:space="preserve"> </w:t>
      </w:r>
      <w:r>
        <w:t xml:space="preserve">• 16–18 • Contenção, erradicação, recuperação</w:t>
      </w:r>
    </w:p>
    <w:p>
      <w:pPr>
        <w:numPr>
          <w:ilvl w:val="0"/>
          <w:numId w:val="1061"/>
        </w:numPr>
      </w:pPr>
      <w:r>
        <w:t xml:space="preserve">19–21 * Continuidade, DR, restauração de backup * Procedimento de continuidade e teste de restauração *</w:t>
      </w:r>
      <w:r>
        <w:t xml:space="preserve"> </w:t>
      </w:r>
      <w:r>
        <w:t xml:space="preserve">Nuvem, identidade, ransomware, fornecedores</w:t>
      </w:r>
      <w:r>
        <w:t xml:space="preserve"> </w:t>
      </w:r>
      <w:r>
        <w:t xml:space="preserve">• 25–27 • Exercício e revisão pós-acção • Pacote de tabela e plano de melhoria</w:t>
      </w:r>
      <w:r>
        <w:t xml:space="preserve"> </w:t>
      </w:r>
      <w:r>
        <w:t xml:space="preserve">28–30 □ Metrics, portfolio, entrevistas □ Dashboard e cinco histórias de STAR</w:t>
      </w:r>
    </w:p>
    <w:bookmarkEnd w:id="167"/>
    <w:bookmarkStart w:id="168" w:name="qual-é-a-diferença-entre-ir-bc-e-dr"/>
    <w:p>
      <w:pPr>
        <w:pStyle w:val="Heading1"/>
      </w:pPr>
      <w:r>
        <w:t xml:space="preserve"># 29,2 Qual é a diferença entre IR, BC e DR?</w:t>
      </w:r>
    </w:p>
    <w:p>
      <w:pPr>
        <w:pStyle w:val="FirstParagraph"/>
      </w:pPr>
      <w:r>
        <w:t xml:space="preserve">IR gerencia incidentes cibernéticos, BC mantém saídas de negócios críticas durante a interrupção, e DR restaura tecnologia e dados. Eles coordenam, mas têm objetivos diferentes.</w:t>
      </w:r>
    </w:p>
    <w:bookmarkEnd w:id="168"/>
    <w:bookmarkStart w:id="175" w:name="o-que-é-nist-sp-800-61-rev.-3"/>
    <w:p>
      <w:pPr>
        <w:pStyle w:val="Heading1"/>
      </w:pPr>
      <w:r>
        <w:t xml:space="preserve"># 29.3 O que é NIST SP 800-61 Rev. 3?</w:t>
      </w:r>
    </w:p>
    <w:p>
      <w:pPr>
        <w:pStyle w:val="FirstParagraph"/>
      </w:pPr>
      <w:r>
        <w:t xml:space="preserve">A atual orientação de resposta a incidentes NIST, finalizada em 2025, expressa como um perfil comunitário CSF 2.0 através do governo, identificar, proteger, detectar, responder e recuperar.</w:t>
      </w:r>
    </w:p>
    <w:bookmarkStart w:id="169" w:name="rto-versus-rpo"/>
    <w:p>
      <w:pPr>
        <w:pStyle w:val="Heading2"/>
      </w:pPr>
      <w:r>
        <w:t xml:space="preserve">29.4 RTO versus RPO?</w:t>
      </w:r>
    </w:p>
    <w:p>
      <w:pPr>
        <w:pStyle w:val="FirstParagraph"/>
      </w:pPr>
      <w:r>
        <w:t xml:space="preserve">RTO é o tempo-alvo para restaurar; RPO é a perda de dados máxima tolerável medida no tempo.</w:t>
      </w:r>
    </w:p>
    <w:bookmarkEnd w:id="169"/>
    <w:bookmarkStart w:id="170" w:name="como-se-analisa-um-incidente"/>
    <w:p>
      <w:pPr>
        <w:pStyle w:val="Heading2"/>
      </w:pPr>
      <w:r>
        <w:t xml:space="preserve">29.5 Como se analisa um incidente?</w:t>
      </w:r>
    </w:p>
    <w:p>
      <w:pPr>
        <w:pStyle w:val="FirstParagraph"/>
      </w:pPr>
      <w:r>
        <w:t xml:space="preserve">Validar o sinal, avaliar o impacto funcional e de informação, recuperabilidade, ameaça, escopo, obrigações e incerteza, então atribuir gravidade e escalada sob critérios aprovados.</w:t>
      </w:r>
    </w:p>
    <w:bookmarkEnd w:id="170"/>
    <w:bookmarkStart w:id="171" w:name="o-que-torna-as-provas-confiáveis"/>
    <w:p>
      <w:pPr>
        <w:pStyle w:val="Heading2"/>
      </w:pPr>
      <w:r>
        <w:t xml:space="preserve">29.6 O que torna as provas confiáveis?</w:t>
      </w:r>
    </w:p>
    <w:p>
      <w:pPr>
        <w:pStyle w:val="FirstParagraph"/>
      </w:pPr>
      <w:r>
        <w:t xml:space="preserve">Fonte conhecida, coleta autorizada repetível, integridade preservada, horários, hashes quando apropriado, custódia, armazenamento protegido e limitações documentadas.</w:t>
      </w:r>
    </w:p>
    <w:bookmarkEnd w:id="171"/>
    <w:bookmarkStart w:id="172" w:name="quando-é-a-recuperação-completa"/>
    <w:p>
      <w:pPr>
        <w:pStyle w:val="Heading2"/>
      </w:pPr>
      <w:r>
        <w:t xml:space="preserve">29.7 Quando é a recuperação completa?</w:t>
      </w:r>
    </w:p>
    <w:p>
      <w:pPr>
        <w:pStyle w:val="FirstParagraph"/>
      </w:pPr>
      <w:r>
        <w:t xml:space="preserve">Quando a remoção da ameaça é estável, a restauração confiável e os testes de segurança/funcional/dados têm sucesso, o monitoramento é ativo, e proprietários de negócios e técnicos autorizados aceitam o retorno ao serviço.</w:t>
      </w:r>
    </w:p>
    <w:bookmarkEnd w:id="172"/>
    <w:bookmarkStart w:id="173" w:name="como-se-fecha-uma-melhoria"/>
    <w:p>
      <w:pPr>
        <w:pStyle w:val="Heading2"/>
      </w:pPr>
      <w:r>
        <w:t xml:space="preserve">29.8 Como se fecha uma melhoria?</w:t>
      </w:r>
    </w:p>
    <w:p>
      <w:pPr>
        <w:pStyle w:val="FirstParagraph"/>
      </w:pPr>
      <w:r>
        <w:t xml:space="preserve">Implementar a ação específica e testar novamente a capacidade falhada contra critérios definidos de sucesso.</w:t>
      </w:r>
    </w:p>
    <w:bookmarkEnd w:id="173"/>
    <w:bookmarkStart w:id="174" w:name="o-que-deve-um-analista-júnior-evitar"/>
    <w:p>
      <w:pPr>
        <w:pStyle w:val="Heading2"/>
      </w:pPr>
      <w:r>
        <w:t xml:space="preserve">29.9 O que deve um analista júnior evitar?</w:t>
      </w:r>
    </w:p>
    <w:p>
      <w:pPr>
        <w:pStyle w:val="FirstParagraph"/>
      </w:pPr>
      <w:r>
        <w:t xml:space="preserve">Acesso não autorizado, ação destrutiva, conclusões não apoiadas, mudança de evidência original, escondendo incerteza, ou resultados jurídicos promissores.</w:t>
      </w:r>
    </w:p>
    <w:bookmarkEnd w:id="174"/>
    <w:bookmarkEnd w:id="175"/>
    <w:bookmarkStart w:id="176" w:name="perguntas-para-fazer-ao-empregador"/>
    <w:p>
      <w:pPr>
        <w:pStyle w:val="Heading1"/>
      </w:pPr>
      <w:r>
        <w:t xml:space="preserve"># 29.10 Perguntas para fazer ao empregador</w:t>
      </w:r>
    </w:p>
    <w:p>
      <w:pPr>
        <w:numPr>
          <w:ilvl w:val="0"/>
          <w:numId w:val="1062"/>
        </w:numPr>
      </w:pPr>
      <w:r>
        <w:t xml:space="preserve">Que cenários de incidente e resiliência importam mais?</w:t>
      </w:r>
    </w:p>
    <w:p>
      <w:pPr>
        <w:numPr>
          <w:ilvl w:val="0"/>
          <w:numId w:val="1062"/>
        </w:numPr>
      </w:pPr>
      <w:r>
        <w:t xml:space="preserve">Como a gravidade, o comando, o escalonamento pós-hora e a aceitação de negócios são tratados?</w:t>
      </w:r>
    </w:p>
    <w:p>
      <w:pPr>
        <w:pStyle w:val="FirstParagraph"/>
      </w:pPr>
      <w:r>
        <w:t xml:space="preserve">Que ferramentas de telemetria, caso, forense, continuidade e recuperação são aprovadas?</w:t>
      </w:r>
    </w:p>
    <w:p>
      <w:pPr>
        <w:numPr>
          <w:ilvl w:val="0"/>
          <w:numId w:val="1063"/>
        </w:numPr>
      </w:pPr>
      <w:r>
        <w:t xml:space="preserve">Com que frequência são exercidas restaurações críticas e incidentes de fornecedores?</w:t>
      </w:r>
    </w:p>
    <w:p>
      <w:pPr>
        <w:numPr>
          <w:ilvl w:val="0"/>
          <w:numId w:val="1063"/>
        </w:numPr>
      </w:pPr>
      <w:r>
        <w:t xml:space="preserve">Como as ações júnior são revisadas e as provas protegidas?</w:t>
      </w:r>
    </w:p>
    <w:p>
      <w:pPr>
        <w:numPr>
          <w:ilvl w:val="0"/>
          <w:numId w:val="1063"/>
        </w:numPr>
      </w:pPr>
      <w:r>
        <w:t xml:space="preserve">Como seria o sucesso nos primeiros 90 dias?</w:t>
      </w:r>
    </w:p>
    <w:bookmarkEnd w:id="176"/>
    <w:bookmarkStart w:id="177" w:name="modelos-glossário-índice-e-referências"/>
    <w:p>
      <w:pPr>
        <w:pStyle w:val="Heading1"/>
      </w:pPr>
      <w:r>
        <w:t xml:space="preserve">30. Modelos, Glossário, Índice e Referências</w:t>
      </w:r>
    </w:p>
    <w:p>
      <w:pPr>
        <w:numPr>
          <w:ilvl w:val="0"/>
          <w:numId w:val="1064"/>
        </w:numPr>
        <w:pStyle w:val="Compact"/>
      </w:pPr>
      <w:r>
        <w:t xml:space="preserve">Estruturas de trabalho reutilizáveis, termos-chave, índice de assunto e fontes oficiais.*</w:t>
      </w:r>
    </w:p>
    <w:bookmarkEnd w:id="177"/>
    <w:bookmarkStart w:id="178" w:name="registro-de-caso-de-incidente"/>
    <w:p>
      <w:pPr>
        <w:pStyle w:val="Heading1"/>
      </w:pPr>
      <w:r>
        <w:t xml:space="preserve"># 30.1 Registro de caso de incidente</w:t>
      </w:r>
    </w:p>
    <w:p>
      <w:pPr>
        <w:numPr>
          <w:ilvl w:val="0"/>
          <w:numId w:val="1065"/>
        </w:numPr>
        <w:pStyle w:val="Compact"/>
      </w:pPr>
      <w:r>
        <w:t xml:space="preserve">Campo** * Entrada**</w:t>
      </w:r>
      <w:r>
        <w:t xml:space="preserve"> </w:t>
      </w:r>
      <w:r>
        <w:t xml:space="preserve">□—————————————————————————————————————-</w:t>
      </w:r>
      <w:r>
        <w:t xml:space="preserve"> </w:t>
      </w:r>
      <w:r>
        <w:t xml:space="preserve">Caso/comandante/severidade</w:t>
      </w:r>
      <w:r>
        <w:t xml:space="preserve"> </w:t>
      </w:r>
      <w:r>
        <w:t xml:space="preserve">• Ativar/detectado/começo conhecido</w:t>
      </w:r>
      <w:r>
        <w:t xml:space="preserve"> </w:t>
      </w:r>
      <w:r>
        <w:t xml:space="preserve">Factos/suposições/hipóteses</w:t>
      </w:r>
      <w:r>
        <w:t xml:space="preserve"> </w:t>
      </w:r>
      <w:r>
        <w:t xml:space="preserve">• Âmbito de aplicação afectado e potencial</w:t>
      </w:r>
      <w:r>
        <w:t xml:space="preserve"> </w:t>
      </w:r>
      <w:r>
        <w:t xml:space="preserve">• Impacto empresarial/dados/segurança</w:t>
      </w:r>
      <w:r>
        <w:t xml:space="preserve"> </w:t>
      </w:r>
      <w:r>
        <w:t xml:space="preserve">• Provas/linha do tempo/custódia</w:t>
      </w:r>
      <w:r>
        <w:t xml:space="preserve"> </w:t>
      </w:r>
      <w:r>
        <w:t xml:space="preserve">Objectivos/decisões/acções</w:t>
      </w:r>
    </w:p>
    <w:p>
      <w:pPr>
        <w:numPr>
          <w:ilvl w:val="0"/>
          <w:numId w:val="1065"/>
        </w:numPr>
        <w:pStyle w:val="Compact"/>
      </w:pPr>
      <w:r>
        <w:t xml:space="preserve">Contenção/erradicação</w:t>
      </w:r>
      <w:r>
        <w:t xml:space="preserve"> </w:t>
      </w:r>
      <w:r>
        <w:t xml:space="preserve">Recuperação/validação/aceitação</w:t>
      </w:r>
      <w:r>
        <w:t xml:space="preserve"> </w:t>
      </w:r>
      <w:r>
        <w:t xml:space="preserve">Comunicação/obrigações</w:t>
      </w:r>
      <w:r>
        <w:t xml:space="preserve"> </w:t>
      </w:r>
      <w:r>
        <w:t xml:space="preserve">Lições/acção/reteste</w:t>
      </w:r>
    </w:p>
    <w:bookmarkEnd w:id="178"/>
    <w:bookmarkStart w:id="183" w:name="bia-e-registro-de-continuidade"/>
    <w:p>
      <w:pPr>
        <w:pStyle w:val="Heading1"/>
      </w:pPr>
      <w:r>
        <w:t xml:space="preserve"># 30.2 BIA e registro de continuidade</w:t>
      </w:r>
    </w:p>
    <w:p>
      <w:pPr>
        <w:numPr>
          <w:ilvl w:val="0"/>
          <w:numId w:val="1066"/>
        </w:numPr>
        <w:pStyle w:val="Compact"/>
      </w:pPr>
      <w:r>
        <w:t xml:space="preserve">Campo** * Entrada**</w:t>
      </w:r>
      <w:r>
        <w:t xml:space="preserve"> </w:t>
      </w:r>
      <w:r>
        <w:t xml:space="preserve">□————————————————————————————————————————————————–</w:t>
      </w:r>
      <w:r>
        <w:t xml:space="preserve"> </w:t>
      </w:r>
      <w:r>
        <w:t xml:space="preserve">• Produto/serviço/processo/proprietário</w:t>
      </w:r>
      <w:r>
        <w:t xml:space="preserve"> </w:t>
      </w:r>
      <w:r>
        <w:t xml:space="preserve">O resultado mínimo aceitável é:</w:t>
      </w:r>
    </w:p>
    <w:p>
      <w:pPr>
        <w:numPr>
          <w:ilvl w:val="0"/>
          <w:numId w:val="1066"/>
        </w:numPr>
        <w:pStyle w:val="Compact"/>
      </w:pPr>
      <w:r>
        <w:t xml:space="preserve">Impacto pelo tempo / MTPD</w:t>
      </w:r>
      <w:r>
        <w:t xml:space="preserve"> </w:t>
      </w:r>
      <w:r>
        <w:t xml:space="preserve">RTO / RPO</w:t>
      </w:r>
    </w:p>
    <w:p>
      <w:pPr>
        <w:numPr>
          <w:ilvl w:val="0"/>
          <w:numId w:val="1066"/>
        </w:numPr>
        <w:pStyle w:val="Compact"/>
      </w:pPr>
      <w:r>
        <w:t xml:space="preserve">Pessoas/facilidade/tecnologia *                                                 </w:t>
      </w:r>
      <w:r>
        <w:t xml:space="preserve"> </w:t>
      </w:r>
      <w:r>
        <w:t xml:space="preserve">• Dependências de dados/fornecimento/utilização</w:t>
      </w:r>
    </w:p>
    <w:p>
      <w:pPr>
        <w:numPr>
          <w:ilvl w:val="0"/>
          <w:numId w:val="1066"/>
        </w:numPr>
        <w:pStyle w:val="Compact"/>
      </w:pPr>
      <w:r>
        <w:t xml:space="preserve">Estratégia de continuidade/trabalho em torno de :                                                 </w:t>
      </w:r>
      <w:r>
        <w:t xml:space="preserve"> </w:t>
      </w:r>
      <w:r>
        <w:t xml:space="preserve">Ativação/comunicação</w:t>
      </w:r>
    </w:p>
    <w:p>
      <w:pPr>
        <w:numPr>
          <w:ilvl w:val="0"/>
          <w:numId w:val="1066"/>
        </w:numPr>
        <w:pStyle w:val="Compact"/>
      </w:pPr>
      <w:r>
        <w:t xml:space="preserve">Regresso/reconciliação</w:t>
      </w:r>
    </w:p>
    <w:p>
      <w:pPr>
        <w:numPr>
          <w:ilvl w:val="0"/>
          <w:numId w:val="1066"/>
        </w:numPr>
        <w:pStyle w:val="Compact"/>
      </w:pPr>
      <w:r>
        <w:t xml:space="preserve">Teste/resultado/melhoramento</w:t>
      </w:r>
    </w:p>
    <w:bookmarkStart w:id="180" w:name="provas-e-registo-da-cadeia-de-custódia"/>
    <w:p>
      <w:pPr>
        <w:pStyle w:val="Heading2"/>
      </w:pPr>
      <w:r>
        <w:t xml:space="preserve">30.3 Provas e registo da cadeia de custódia</w:t>
      </w:r>
    </w:p>
    <w:p>
      <w:pPr>
        <w:numPr>
          <w:ilvl w:val="0"/>
          <w:numId w:val="1067"/>
        </w:numPr>
        <w:pStyle w:val="Heading2"/>
      </w:pPr>
      <w:bookmarkStart w:id="179" w:name="campo-entrada"/>
      <w:r>
        <w:t xml:space="preserve">Campo** * Entrada**</w:t>
      </w:r>
      <w:bookmarkEnd w:id="179"/>
    </w:p>
    <w:p>
      <w:pPr>
        <w:numPr>
          <w:ilvl w:val="0"/>
          <w:numId w:val="1000"/>
        </w:numPr>
        <w:pStyle w:val="Compact"/>
      </w:pPr>
      <w:r>
        <w:t xml:space="preserve">ID/descrição do item / fonte</w:t>
      </w:r>
      <w:r>
        <w:t xml:space="preserve"> </w:t>
      </w:r>
      <w:r>
        <w:t xml:space="preserve">□ Autoridade/função :                                                  </w:t>
      </w:r>
    </w:p>
    <w:p>
      <w:pPr>
        <w:numPr>
          <w:ilvl w:val="0"/>
          <w:numId w:val="1067"/>
        </w:numPr>
        <w:pStyle w:val="Compact"/>
      </w:pPr>
      <w:r>
        <w:t xml:space="preserve">Colector/data / fuso horário</w:t>
      </w:r>
    </w:p>
    <w:p>
      <w:pPr>
        <w:numPr>
          <w:ilvl w:val="0"/>
          <w:numId w:val="1067"/>
        </w:numPr>
        <w:pStyle w:val="Compact"/>
      </w:pPr>
      <w:r>
        <w:t xml:space="preserve">Método/ferramenta / versão</w:t>
      </w:r>
    </w:p>
    <w:p>
      <w:pPr>
        <w:numPr>
          <w:ilvl w:val="0"/>
          <w:numId w:val="1067"/>
        </w:numPr>
        <w:pStyle w:val="Compact"/>
      </w:pPr>
      <w:r>
        <w:t xml:space="preserve">Copia original de haxixe/trabalhador</w:t>
      </w:r>
    </w:p>
    <w:p>
      <w:pPr>
        <w:numPr>
          <w:ilvl w:val="0"/>
          <w:numId w:val="1067"/>
        </w:numPr>
        <w:pStyle w:val="Compact"/>
      </w:pPr>
      <w:r>
        <w:t xml:space="preserve">Armazenamento/acesso/privacidade</w:t>
      </w:r>
      <w:r>
        <w:t xml:space="preserve"> </w:t>
      </w:r>
      <w:r>
        <w:t xml:space="preserve">Transferência de/para/propósito</w:t>
      </w:r>
      <w:r>
        <w:t xml:space="preserve"> </w:t>
      </w:r>
      <w:r>
        <w:t xml:space="preserve">• Análise/resultado/limitações</w:t>
      </w:r>
    </w:p>
    <w:p>
      <w:pPr>
        <w:numPr>
          <w:ilvl w:val="0"/>
          <w:numId w:val="1067"/>
        </w:numPr>
        <w:pStyle w:val="Compact"/>
      </w:pPr>
      <w:r>
        <w:t xml:space="preserve">Retenção / detenção legal</w:t>
      </w:r>
      <w:r>
        <w:t xml:space="preserve"> </w:t>
      </w:r>
      <w:r>
        <w:t xml:space="preserve">Revisão/disposição</w:t>
      </w:r>
    </w:p>
    <w:bookmarkEnd w:id="180"/>
    <w:bookmarkStart w:id="182" w:name="exercício-e-registro-de-ação-corretiva"/>
    <w:p>
      <w:pPr>
        <w:pStyle w:val="Heading2"/>
      </w:pPr>
      <w:r>
        <w:t xml:space="preserve">30.4 Exercício e registro de ação corretiva</w:t>
      </w:r>
    </w:p>
    <w:p>
      <w:pPr>
        <w:numPr>
          <w:ilvl w:val="0"/>
          <w:numId w:val="1068"/>
        </w:numPr>
        <w:pStyle w:val="Heading2"/>
      </w:pPr>
      <w:bookmarkStart w:id="181" w:name="campo-entrada-1"/>
      <w:r>
        <w:t xml:space="preserve">Campo** * Entrada**</w:t>
      </w:r>
      <w:bookmarkEnd w:id="181"/>
    </w:p>
    <w:p>
      <w:pPr>
        <w:numPr>
          <w:ilvl w:val="0"/>
          <w:numId w:val="1000"/>
        </w:numPr>
        <w:pStyle w:val="Compact"/>
      </w:pPr>
      <w:r>
        <w:t xml:space="preserve">Objectivo/Capacidade</w:t>
      </w:r>
      <w:r>
        <w:t xml:space="preserve"> </w:t>
      </w:r>
      <w:r>
        <w:t xml:space="preserve">Cenário/assunções/segurança</w:t>
      </w:r>
      <w:r>
        <w:t xml:space="preserve"> </w:t>
      </w:r>
      <w:r>
        <w:t xml:space="preserve">Participantes/observadores</w:t>
      </w:r>
    </w:p>
    <w:p>
      <w:pPr>
        <w:numPr>
          <w:ilvl w:val="0"/>
          <w:numId w:val="1068"/>
        </w:numPr>
        <w:pStyle w:val="Compact"/>
      </w:pPr>
      <w:r>
        <w:t xml:space="preserve">Critérios de sucesso esperados</w:t>
      </w:r>
      <w:r>
        <w:t xml:space="preserve"> </w:t>
      </w:r>
      <w:r>
        <w:t xml:space="preserve">O tempo real/decisões □                                                </w:t>
      </w:r>
      <w:r>
        <w:t xml:space="preserve"> </w:t>
      </w:r>
      <w:r>
        <w:t xml:space="preserve">Os pontos fortes/gaps/evidências</w:t>
      </w:r>
    </w:p>
    <w:p>
      <w:pPr>
        <w:numPr>
          <w:ilvl w:val="0"/>
          <w:numId w:val="1068"/>
        </w:numPr>
        <w:pStyle w:val="Compact"/>
      </w:pPr>
      <w:r>
        <w:t xml:space="preserve">Causa/risco/controlo interino</w:t>
      </w:r>
      <w:r>
        <w:t xml:space="preserve"> </w:t>
      </w:r>
      <w:r>
        <w:t xml:space="preserve">• Acção/proprietário / data limite</w:t>
      </w:r>
      <w:r>
        <w:t xml:space="preserve"> </w:t>
      </w:r>
      <w:r>
        <w:t xml:space="preserve">Reteste/evidência / resultado</w:t>
      </w:r>
      <w:r>
        <w:t xml:space="preserve"> </w:t>
      </w:r>
      <w:r>
        <w:t xml:space="preserve">Revisão da gestão</w:t>
      </w:r>
    </w:p>
    <w:bookmarkEnd w:id="182"/>
    <w:bookmarkEnd w:id="183"/>
    <w:bookmarkStart w:id="185" w:name="glossário"/>
    <w:p>
      <w:pPr>
        <w:pStyle w:val="Heading1"/>
      </w:pPr>
      <w:r>
        <w:t xml:space="preserve"># 30.5 Glossário</w:t>
      </w:r>
    </w:p>
    <w:bookmarkStart w:id="184" w:name="section-2"/>
    <w:p>
      <w:pPr>
        <w:pStyle w:val="Heading2"/>
      </w:pPr>
      <w:r>
        <w:t xml:space="preserve">* ** ** ** ** ** ** **</w:t>
      </w:r>
    </w:p>
    <w:p>
      <w:pPr>
        <w:pStyle w:val="FirstParagraph"/>
      </w:pPr>
      <w:r>
        <w:t xml:space="preserve">• Evento adverso Uma ocorrência que pode ter uma consequência negativa.</w:t>
      </w:r>
      <w:r>
        <w:t xml:space="preserve"> </w:t>
      </w:r>
      <w:r>
        <w:t xml:space="preserve">Sistema de gestão de continuidade de negócios.</w:t>
      </w:r>
      <w:r>
        <w:t xml:space="preserve"> </w:t>
      </w:r>
      <w:r>
        <w:t xml:space="preserve">Análise de impacto de negócios.</w:t>
      </w:r>
      <w:r>
        <w:t xml:space="preserve"> </w:t>
      </w:r>
      <w:r>
        <w:t xml:space="preserve">□ Continuidade do negócio • Capacidade para continuar a entrega de produtos e serviços com capacidade aceitável durante a interrupção.</w:t>
      </w:r>
      <w:r>
        <w:t xml:space="preserve"> </w:t>
      </w:r>
      <w:r>
        <w:t xml:space="preserve">• Cadeia de custódia – Documentado controle e histórico de transferência de evidências.</w:t>
      </w:r>
      <w:r>
        <w:t xml:space="preserve"> </w:t>
      </w:r>
      <w:r>
        <w:t xml:space="preserve">□ Contencioso • Acção para limitar a propagação ou o impacto do incidente.</w:t>
      </w:r>
      <w:r>
        <w:t xml:space="preserve"> </w:t>
      </w:r>
      <w:r>
        <w:t xml:space="preserve">• Gestão de crises • Liderança e coordenação de situações de alto impacto e incerteza. □</w:t>
      </w:r>
      <w:r>
        <w:t xml:space="preserve"> </w:t>
      </w:r>
      <w:r>
        <w:t xml:space="preserve">Recuperação de desastres . Restauração de tecnologia, dados e infraestrutura de suporte após interrupção. □</w:t>
      </w:r>
      <w:r>
        <w:t xml:space="preserve"> </w:t>
      </w:r>
      <w:r>
        <w:t xml:space="preserve">• Erradicação □ Remoção de causa, persistência, mudanças inseguras e fraquezas relacionadas. □</w:t>
      </w:r>
      <w:r>
        <w:t xml:space="preserve"> </w:t>
      </w:r>
      <w:r>
        <w:t xml:space="preserve">Ocorrência que compromete a confidencialidade, integridade, disponibilidade ou viola a política de segurança; use a definição aprovada da organização. □</w:t>
      </w:r>
      <w:r>
        <w:t xml:space="preserve"> </w:t>
      </w:r>
      <w:r>
        <w:t xml:space="preserve">* MTPD / MAO * Período máximo tolerável de interrupção / parada máxima aceitável.</w:t>
      </w:r>
      <w:r>
        <w:t xml:space="preserve"> </w:t>
      </w:r>
      <w:r>
        <w:t xml:space="preserve">□ Playbook □ Passos de resposta focados em cenários, decisões, autoridade e evidência.</w:t>
      </w:r>
      <w:r>
        <w:t xml:space="preserve"> </w:t>
      </w:r>
      <w:r>
        <w:t xml:space="preserve">Recuperação Recuperação e verificação de serviços e controles.</w:t>
      </w:r>
      <w:r>
        <w:t xml:space="preserve"> </w:t>
      </w:r>
      <w:r>
        <w:t xml:space="preserve">Perda máxima de dados toleráveis medida no tempo.</w:t>
      </w:r>
      <w:r>
        <w:t xml:space="preserve"> </w:t>
      </w:r>
      <w:r>
        <w:t xml:space="preserve">Tempo de destino para restaurar uma atividade ou recurso.</w:t>
      </w:r>
      <w:r>
        <w:t xml:space="preserve"> </w:t>
      </w:r>
      <w:r>
        <w:t xml:space="preserve">• Exercício de tabela □ Avaliação baseada em discussão utilizando um cenário e questões de decisão. □</w:t>
      </w:r>
    </w:p>
    <w:bookmarkEnd w:id="184"/>
    <w:bookmarkEnd w:id="185"/>
    <w:bookmarkStart w:id="200" w:name="índice-de-assunto"/>
    <w:p>
      <w:pPr>
        <w:pStyle w:val="Heading1"/>
      </w:pPr>
      <w:r>
        <w:t xml:space="preserve"># 30.6 Índice de assunto</w:t>
      </w:r>
    </w:p>
    <w:bookmarkStart w:id="186" w:name="sujeito-capítulo"/>
    <w:p>
      <w:pPr>
        <w:pStyle w:val="Heading2"/>
      </w:pPr>
      <w:r>
        <w:rPr>
          <w:bCs/>
          <w:b/>
        </w:rPr>
        <w:t xml:space="preserve">Sujeito</w:t>
      </w:r>
      <w:r>
        <w:t xml:space="preserve"> </w:t>
      </w:r>
      <w:r>
        <w:rPr>
          <w:bCs/>
          <w:b/>
        </w:rPr>
        <w:t xml:space="preserve">Capítulo</w:t>
      </w:r>
    </w:p>
    <w:p>
      <w:pPr>
        <w:pStyle w:val="FirstParagraph"/>
      </w:pPr>
      <w:r>
        <w:t xml:space="preserve">□ Cópias de segurança</w:t>
      </w:r>
      <w:r>
        <w:t xml:space="preserve"> </w:t>
      </w:r>
      <w:r>
        <w:t xml:space="preserve">3 , 20 ,</w:t>
      </w:r>
      <w:r>
        <w:t xml:space="preserve"> </w:t>
      </w:r>
      <w:r>
        <w:t xml:space="preserve">□ Continuidade das actividades □ 19–20</w:t>
      </w:r>
      <w:r>
        <w:t xml:space="preserve"> </w:t>
      </w:r>
      <w:r>
        <w:t xml:space="preserve">• Incidentes de nuvem</w:t>
      </w:r>
      <w:r>
        <w:t xml:space="preserve"> </w:t>
      </w:r>
      <w:r>
        <w:t xml:space="preserve">Comunicação , 13 , 23 ,</w:t>
      </w:r>
      <w:r>
        <w:t xml:space="preserve"> </w:t>
      </w:r>
      <w:r>
        <w:t xml:space="preserve">Contenção</w:t>
      </w:r>
      <w:r>
        <w:t xml:space="preserve"> </w:t>
      </w:r>
      <w:r>
        <w:t xml:space="preserve">Gestão de crises</w:t>
      </w:r>
      <w:r>
        <w:t xml:space="preserve"> </w:t>
      </w:r>
      <w:r>
        <w:t xml:space="preserve">• Detecção/triagem</w:t>
      </w:r>
      <w:r>
        <w:t xml:space="preserve"> </w:t>
      </w:r>
      <w:r>
        <w:t xml:space="preserve">• Evidência digital</w:t>
      </w:r>
      <w:r>
        <w:t xml:space="preserve"> </w:t>
      </w:r>
      <w:r>
        <w:t xml:space="preserve">Recuperação de desastres 21–22</w:t>
      </w:r>
      <w:r>
        <w:t xml:space="preserve"> </w:t>
      </w:r>
      <w:r>
        <w:t xml:space="preserve">Exercícios</w:t>
      </w:r>
      <w:r>
        <w:t xml:space="preserve"> </w:t>
      </w:r>
      <w:r>
        <w:t xml:space="preserve">• Incidentes de identidade</w:t>
      </w:r>
      <w:r>
        <w:t xml:space="preserve"> </w:t>
      </w:r>
      <w:r>
        <w:t xml:space="preserve">Investigação</w:t>
      </w:r>
      <w:r>
        <w:t xml:space="preserve"> </w:t>
      </w:r>
      <w:r>
        <w:t xml:space="preserve">Analistas júnior</w:t>
      </w:r>
      <w:r>
        <w:t xml:space="preserve"> </w:t>
      </w:r>
      <w:r>
        <w:t xml:space="preserve">Lições aprendidas</w:t>
      </w:r>
      <w:r>
        <w:t xml:space="preserve"> </w:t>
      </w:r>
      <w:r>
        <w:t xml:space="preserve">Gestor</w:t>
      </w:r>
      <w:r>
        <w:t xml:space="preserve"> </w:t>
      </w:r>
      <w:r>
        <w:t xml:space="preserve">. . . . . . . . .</w:t>
      </w:r>
      <w:r>
        <w:t xml:space="preserve"> </w:t>
      </w:r>
      <w:r>
        <w:t xml:space="preserve">NIST SP 800-61 Rev. 3 .</w:t>
      </w:r>
      <w:r>
        <w:t xml:space="preserve"> </w:t>
      </w:r>
      <w:r>
        <w:t xml:space="preserve">• Ferramentas de código aberto</w:t>
      </w:r>
      <w:r>
        <w:t xml:space="preserve"> </w:t>
      </w:r>
      <w:r>
        <w:t xml:space="preserve">Resgate 15</w:t>
      </w:r>
      <w:r>
        <w:t xml:space="preserve"> </w:t>
      </w:r>
      <w:r>
        <w:t xml:space="preserve">Recuperação 11, 21–22</w:t>
      </w:r>
      <w:r>
        <w:t xml:space="preserve"> </w:t>
      </w:r>
      <w:r>
        <w:t xml:space="preserve">. . . .</w:t>
      </w:r>
      <w:r>
        <w:t xml:space="preserve"> </w:t>
      </w:r>
      <w:r>
        <w:t xml:space="preserve">• Incidentes de fornecedor</w:t>
      </w:r>
    </w:p>
    <w:bookmarkEnd w:id="186"/>
    <w:bookmarkStart w:id="198" w:name="referências-oficiais"/>
    <w:p>
      <w:pPr>
        <w:pStyle w:val="Heading2"/>
      </w:pPr>
      <w:r>
        <w:t xml:space="preserve">30.7 Referências oficiais</w:t>
      </w:r>
    </w:p>
    <w:p>
      <w:pPr>
        <w:numPr>
          <w:ilvl w:val="0"/>
          <w:numId w:val="1069"/>
        </w:numPr>
      </w:pPr>
      <w:hyperlink r:id="rId187">
        <w:r>
          <w:rPr>
            <w:rStyle w:val="Hyperlink"/>
          </w:rPr>
          <w:t xml:space="preserve">NIST SP 800-61 Rev. 3 — Recomendações de resposta a incidentes</w:t>
        </w:r>
      </w:hyperlink>
    </w:p>
    <w:p>
      <w:pPr>
        <w:numPr>
          <w:ilvl w:val="0"/>
          <w:numId w:val="1069"/>
        </w:numPr>
      </w:pPr>
      <w:hyperlink r:id="rId188">
        <w:r>
          <w:rPr>
            <w:rStyle w:val="Hyperlink"/>
          </w:rPr>
          <w:t xml:space="preserve">NIST Projecto de Resposta a Incidentes</w:t>
        </w:r>
      </w:hyperlink>
    </w:p>
    <w:p>
      <w:pPr>
        <w:numPr>
          <w:ilvl w:val="0"/>
          <w:numId w:val="1069"/>
        </w:numPr>
      </w:pPr>
      <w:hyperlink r:id="rId189">
        <w:r>
          <w:rPr>
            <w:rStyle w:val="Hyperlink"/>
          </w:rPr>
          <w:t xml:space="preserve">NIST Cybersecurity Framework 2.0</w:t>
        </w:r>
      </w:hyperlink>
    </w:p>
    <w:p>
      <w:pPr>
        <w:numPr>
          <w:ilvl w:val="0"/>
          <w:numId w:val="1069"/>
        </w:numPr>
      </w:pPr>
      <w:hyperlink r:id="rId190">
        <w:r>
          <w:rPr>
            <w:rStyle w:val="Hyperlink"/>
          </w:rPr>
          <w:t xml:space="preserve">NIST SP 800-34 Rev. 1 Actualização 1 — Planeamento de Contingências</w:t>
        </w:r>
      </w:hyperlink>
    </w:p>
    <w:p>
      <w:pPr>
        <w:numPr>
          <w:ilvl w:val="0"/>
          <w:numId w:val="1069"/>
        </w:numPr>
      </w:pPr>
      <w:hyperlink r:id="rId191">
        <w:r>
          <w:rPr>
            <w:rStyle w:val="Hyperlink"/>
          </w:rPr>
          <w:t xml:space="preserve">Manuais de resposta a incidentes e vulnerabilidades de segurança cibernética da CISA</w:t>
        </w:r>
      </w:hyperlink>
    </w:p>
    <w:p>
      <w:pPr>
        <w:numPr>
          <w:ilvl w:val="0"/>
          <w:numId w:val="1069"/>
        </w:numPr>
      </w:pPr>
      <w:hyperlink r:id="rId192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Guia CISA StopRansomware</w:t>
        </w:r>
      </w:hyperlink>
    </w:p>
    <w:p>
      <w:pPr>
        <w:numPr>
          <w:ilvl w:val="0"/>
          <w:numId w:val="1069"/>
        </w:numPr>
      </w:pPr>
      <w:r>
        <w:t xml:space="preserve">[</w:t>
      </w:r>
      <w:r>
        <w:t xml:space="preserve">CSA Ransomware Response Checklist</w:t>
      </w:r>
      <w:r>
        <w:t xml:space="preserve">] (https://www.cisa.gov/ransomware-response-checklist)</w:t>
      </w:r>
    </w:p>
    <w:p>
      <w:pPr>
        <w:numPr>
          <w:ilvl w:val="0"/>
          <w:numId w:val="1069"/>
        </w:numPr>
      </w:pPr>
      <w:r>
        <w:t xml:space="preserve">[</w:t>
      </w:r>
      <w:r>
        <w:t xml:space="preserve">CISA Tabletop Exercise Packages</w:t>
      </w:r>
      <w:r>
        <w:t xml:space="preserve">] (https://www.cisa.gov/resources-tools/services/cisa-tabletop-exercise-packages)</w:t>
      </w:r>
    </w:p>
    <w:p>
      <w:pPr>
        <w:numPr>
          <w:ilvl w:val="0"/>
          <w:numId w:val="1069"/>
        </w:numPr>
      </w:pPr>
      <w:r>
        <w:t xml:space="preserve">[</w:t>
      </w:r>
      <w:r>
        <w:t xml:space="preserve"> </w:t>
      </w:r>
      <w:r>
        <w:t xml:space="preserve">Plano de Resposta ao Incidente CISA Basics</w:t>
      </w:r>
      <w:r>
        <w:t xml:space="preserve">] (https://www.cisa.gov/resources-tools/resources/incident-response-plan-irp-basics)</w:t>
      </w:r>
    </w:p>
    <w:p>
      <w:pPr>
        <w:numPr>
          <w:ilvl w:val="0"/>
          <w:numId w:val="1069"/>
        </w:numPr>
      </w:pPr>
      <w:hyperlink r:id="rId193">
        <w:r>
          <w:rPr>
            <w:rStyle w:val="Hyperlink"/>
          </w:rPr>
          <w:t xml:space="preserve">ISO 22301:2019</w:t>
        </w:r>
      </w:hyperlink>
    </w:p>
    <w:p>
      <w:pPr>
        <w:numPr>
          <w:ilvl w:val="0"/>
          <w:numId w:val="1069"/>
        </w:numPr>
      </w:pPr>
      <w:hyperlink r:id="rId194">
        <w:r>
          <w:rPr>
            <w:rStyle w:val="Hyperlink"/>
          </w:rPr>
          <w:t xml:space="preserve">ISO 22301:2019/Amd 1:2024</w:t>
        </w:r>
      </w:hyperlink>
    </w:p>
    <w:p>
      <w:pPr>
        <w:numPr>
          <w:ilvl w:val="0"/>
          <w:numId w:val="1069"/>
        </w:numPr>
      </w:pPr>
      <w:hyperlink r:id="rId195">
        <w:r>
          <w:rPr>
            <w:rStyle w:val="Hyperlink"/>
          </w:rPr>
          <w:t xml:space="preserve">ISO 22313:2020</w:t>
        </w:r>
      </w:hyperlink>
    </w:p>
    <w:p>
      <w:pPr>
        <w:numPr>
          <w:ilvl w:val="0"/>
          <w:numId w:val="1069"/>
        </w:numPr>
      </w:pPr>
      <w:hyperlink r:id="rId196">
        <w:r>
          <w:rPr>
            <w:rStyle w:val="Hyperlink"/>
          </w:rPr>
          <w:t xml:space="preserve">ISO/TS 22317:2021 — Orientação BIA</w:t>
        </w:r>
      </w:hyperlink>
    </w:p>
    <w:p>
      <w:pPr>
        <w:numPr>
          <w:ilvl w:val="0"/>
          <w:numId w:val="1069"/>
        </w:numPr>
      </w:pPr>
      <w:hyperlink r:id="rId197">
        <w:r>
          <w:rPr>
            <w:rStyle w:val="Hyperlink"/>
          </w:rPr>
          <w:t xml:space="preserve">NIST Computer Security Incident Handident Handling Guide resources</w:t>
        </w:r>
      </w:hyperlink>
    </w:p>
    <w:bookmarkEnd w:id="198"/>
    <w:bookmarkStart w:id="199" w:name="Xafd993959bc96593cc16a18737f0b9756488ade"/>
    <w:p>
      <w:pPr>
        <w:pStyle w:val="Heading2"/>
      </w:pPr>
      <w:r>
        <w:rPr>
          <w:bCs/>
          <w:b/>
        </w:rPr>
        <w:t xml:space="preserve">Lembramento final:</w:t>
      </w:r>
      <w:r>
        <w:t xml:space="preserve"> </w:t>
      </w:r>
      <w:r>
        <w:t xml:space="preserve">Ameaças, tecnologia, leis, contratos, normas, interpretações oficiais, ferramentas, contatos e dependências organizacionais mudam. Verificar fontes autoritárias atuais e planos aprovados antes de um incidente real ou decisão de recuperação. □</w:t>
      </w:r>
    </w:p>
    <w:bookmarkEnd w:id="199"/>
    <w:bookmarkEnd w:id="2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1"/>
  </w:num>
  <w:num w:numId="1015">
    <w:abstractNumId w:val="991"/>
  </w:num>
  <w:num w:numId="101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159" Target="media/rId159.png" /><Relationship Type="http://schemas.openxmlformats.org/officeDocument/2006/relationships/image" Id="rId30" Target="media/rId30.png" /><Relationship Type="http://schemas.openxmlformats.org/officeDocument/2006/relationships/image" Id="rId43" Target="media/rId43.png" /><Relationship Type="http://schemas.openxmlformats.org/officeDocument/2006/relationships/image" Id="rId50" Target="media/rId50.png" /><Relationship Type="http://schemas.openxmlformats.org/officeDocument/2006/relationships/image" Id="rId59" Target="media/rId59.png" /><Relationship Type="http://schemas.openxmlformats.org/officeDocument/2006/relationships/image" Id="rId71" Target="media/rId71.png" /><Relationship Type="http://schemas.openxmlformats.org/officeDocument/2006/relationships/image" Id="rId87" Target="media/rId87.png" /><Relationship Type="http://schemas.openxmlformats.org/officeDocument/2006/relationships/image" Id="rId99" Target="media/rId99.png" /><Relationship Type="http://schemas.openxmlformats.org/officeDocument/2006/relationships/image" Id="rId108" Target="media/rId108.png" /><Relationship Type="http://schemas.openxmlformats.org/officeDocument/2006/relationships/hyperlink" Id="rId197" Target="https://csrc.nist.gov/Projects/incident-response/publications" TargetMode="External" /><Relationship Type="http://schemas.openxmlformats.org/officeDocument/2006/relationships/hyperlink" Id="rId188" Target="https://csrc.nist.gov/projects/incident-response" TargetMode="External" /><Relationship Type="http://schemas.openxmlformats.org/officeDocument/2006/relationships/hyperlink" Id="rId190" Target="https://csrc.nist.gov/pubs/sp/800/34/r1/upd1/final" TargetMode="External" /><Relationship Type="http://schemas.openxmlformats.org/officeDocument/2006/relationships/hyperlink" Id="rId187" Target="https://csrc.nist.gov/pubs/sp/800/61/r3/final" TargetMode="External" /><Relationship Type="http://schemas.openxmlformats.org/officeDocument/2006/relationships/hyperlink" Id="rId148" Target="https://dfir-iris.org/" TargetMode="External" /><Relationship Type="http://schemas.openxmlformats.org/officeDocument/2006/relationships/hyperlink" Id="rId128" Target="https://docs.velociraptor.app/" TargetMode="External" /><Relationship Type="http://schemas.openxmlformats.org/officeDocument/2006/relationships/hyperlink" Id="rId122" Target="https://github.com/TheHive-Project/Cortex" TargetMode="External" /><Relationship Type="http://schemas.openxmlformats.org/officeDocument/2006/relationships/hyperlink" Id="rId150" Target="https://grr-doc.readthedocs.io/" TargetMode="External" /><Relationship Type="http://schemas.openxmlformats.org/officeDocument/2006/relationships/hyperlink" Id="rId154" Target="https://opensearch.org/" TargetMode="External" /><Relationship Type="http://schemas.openxmlformats.org/officeDocument/2006/relationships/hyperlink" Id="rId136" Target="https://plaso.readthedocs.io/" TargetMode="External" /><Relationship Type="http://schemas.openxmlformats.org/officeDocument/2006/relationships/hyperlink" Id="rId152" Target="https://shuffler.io/" TargetMode="External" /><Relationship Type="http://schemas.openxmlformats.org/officeDocument/2006/relationships/hyperlink" Id="rId146" Target="https://sigmahq.io/" TargetMode="External" /><Relationship Type="http://schemas.openxmlformats.org/officeDocument/2006/relationships/hyperlink" Id="rId142" Target="https://suricata.io/" TargetMode="External" /><Relationship Type="http://schemas.openxmlformats.org/officeDocument/2006/relationships/hyperlink" Id="rId120" Target="https://thehive-project.org/" TargetMode="External" /><Relationship Type="http://schemas.openxmlformats.org/officeDocument/2006/relationships/hyperlink" Id="rId134" Target="https://timesketch.org/" TargetMode="External" /><Relationship Type="http://schemas.openxmlformats.org/officeDocument/2006/relationships/hyperlink" Id="rId144" Target="https://virustotal.github.io/yara/" TargetMode="External" /><Relationship Type="http://schemas.openxmlformats.org/officeDocument/2006/relationships/hyperlink" Id="rId130" Target="https://volatility3.readthedocs.io/" TargetMode="External" /><Relationship Type="http://schemas.openxmlformats.org/officeDocument/2006/relationships/hyperlink" Id="rId126" Target="https://wazuh.com/" TargetMode="External" /><Relationship Type="http://schemas.openxmlformats.org/officeDocument/2006/relationships/hyperlink" Id="rId132" Target="https://www.autopsy.com/" TargetMode="External" /><Relationship Type="http://schemas.openxmlformats.org/officeDocument/2006/relationships/hyperlink" Id="rId191" Target="https://www.cisa.gov/news-events/news/federal-government-cybersecurity-incident-and-vulnerability-response-playbooks" TargetMode="External" /><Relationship Type="http://schemas.openxmlformats.org/officeDocument/2006/relationships/hyperlink" Id="rId192" Target="https://www.cisa.gov/stopransomware/ransomware-guide" TargetMode="External" /><Relationship Type="http://schemas.openxmlformats.org/officeDocument/2006/relationships/hyperlink" Id="rId193" Target="https://www.iso.org/standard/75106.html" TargetMode="External" /><Relationship Type="http://schemas.openxmlformats.org/officeDocument/2006/relationships/hyperlink" Id="rId195" Target="https://www.iso.org/standard/75107.html" TargetMode="External" /><Relationship Type="http://schemas.openxmlformats.org/officeDocument/2006/relationships/hyperlink" Id="rId196" Target="https://www.iso.org/standard/79000.html" TargetMode="External" /><Relationship Type="http://schemas.openxmlformats.org/officeDocument/2006/relationships/hyperlink" Id="rId194" Target="https://www.iso.org/standard/88412.html" TargetMode="External" /><Relationship Type="http://schemas.openxmlformats.org/officeDocument/2006/relationships/hyperlink" Id="rId124" Target="https://www.misp-project.org/" TargetMode="External" /><Relationship Type="http://schemas.openxmlformats.org/officeDocument/2006/relationships/hyperlink" Id="rId189" Target="https://www.nist.gov/cyberframework" TargetMode="External" /><Relationship Type="http://schemas.openxmlformats.org/officeDocument/2006/relationships/hyperlink" Id="rId138" Target="https://www.osquery.io/" TargetMode="External" /><Relationship Type="http://schemas.openxmlformats.org/officeDocument/2006/relationships/hyperlink" Id="rId140" Target="https://zeek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7" Target="https://csrc.nist.gov/Projects/incident-response/publications" TargetMode="External" /><Relationship Type="http://schemas.openxmlformats.org/officeDocument/2006/relationships/hyperlink" Id="rId188" Target="https://csrc.nist.gov/projects/incident-response" TargetMode="External" /><Relationship Type="http://schemas.openxmlformats.org/officeDocument/2006/relationships/hyperlink" Id="rId190" Target="https://csrc.nist.gov/pubs/sp/800/34/r1/upd1/final" TargetMode="External" /><Relationship Type="http://schemas.openxmlformats.org/officeDocument/2006/relationships/hyperlink" Id="rId187" Target="https://csrc.nist.gov/pubs/sp/800/61/r3/final" TargetMode="External" /><Relationship Type="http://schemas.openxmlformats.org/officeDocument/2006/relationships/hyperlink" Id="rId148" Target="https://dfir-iris.org/" TargetMode="External" /><Relationship Type="http://schemas.openxmlformats.org/officeDocument/2006/relationships/hyperlink" Id="rId128" Target="https://docs.velociraptor.app/" TargetMode="External" /><Relationship Type="http://schemas.openxmlformats.org/officeDocument/2006/relationships/hyperlink" Id="rId122" Target="https://github.com/TheHive-Project/Cortex" TargetMode="External" /><Relationship Type="http://schemas.openxmlformats.org/officeDocument/2006/relationships/hyperlink" Id="rId150" Target="https://grr-doc.readthedocs.io/" TargetMode="External" /><Relationship Type="http://schemas.openxmlformats.org/officeDocument/2006/relationships/hyperlink" Id="rId154" Target="https://opensearch.org/" TargetMode="External" /><Relationship Type="http://schemas.openxmlformats.org/officeDocument/2006/relationships/hyperlink" Id="rId136" Target="https://plaso.readthedocs.io/" TargetMode="External" /><Relationship Type="http://schemas.openxmlformats.org/officeDocument/2006/relationships/hyperlink" Id="rId152" Target="https://shuffler.io/" TargetMode="External" /><Relationship Type="http://schemas.openxmlformats.org/officeDocument/2006/relationships/hyperlink" Id="rId146" Target="https://sigmahq.io/" TargetMode="External" /><Relationship Type="http://schemas.openxmlformats.org/officeDocument/2006/relationships/hyperlink" Id="rId142" Target="https://suricata.io/" TargetMode="External" /><Relationship Type="http://schemas.openxmlformats.org/officeDocument/2006/relationships/hyperlink" Id="rId120" Target="https://thehive-project.org/" TargetMode="External" /><Relationship Type="http://schemas.openxmlformats.org/officeDocument/2006/relationships/hyperlink" Id="rId134" Target="https://timesketch.org/" TargetMode="External" /><Relationship Type="http://schemas.openxmlformats.org/officeDocument/2006/relationships/hyperlink" Id="rId144" Target="https://virustotal.github.io/yara/" TargetMode="External" /><Relationship Type="http://schemas.openxmlformats.org/officeDocument/2006/relationships/hyperlink" Id="rId130" Target="https://volatility3.readthedocs.io/" TargetMode="External" /><Relationship Type="http://schemas.openxmlformats.org/officeDocument/2006/relationships/hyperlink" Id="rId126" Target="https://wazuh.com/" TargetMode="External" /><Relationship Type="http://schemas.openxmlformats.org/officeDocument/2006/relationships/hyperlink" Id="rId132" Target="https://www.autopsy.com/" TargetMode="External" /><Relationship Type="http://schemas.openxmlformats.org/officeDocument/2006/relationships/hyperlink" Id="rId191" Target="https://www.cisa.gov/news-events/news/federal-government-cybersecurity-incident-and-vulnerability-response-playbooks" TargetMode="External" /><Relationship Type="http://schemas.openxmlformats.org/officeDocument/2006/relationships/hyperlink" Id="rId192" Target="https://www.cisa.gov/stopransomware/ransomware-guide" TargetMode="External" /><Relationship Type="http://schemas.openxmlformats.org/officeDocument/2006/relationships/hyperlink" Id="rId193" Target="https://www.iso.org/standard/75106.html" TargetMode="External" /><Relationship Type="http://schemas.openxmlformats.org/officeDocument/2006/relationships/hyperlink" Id="rId195" Target="https://www.iso.org/standard/75107.html" TargetMode="External" /><Relationship Type="http://schemas.openxmlformats.org/officeDocument/2006/relationships/hyperlink" Id="rId196" Target="https://www.iso.org/standard/79000.html" TargetMode="External" /><Relationship Type="http://schemas.openxmlformats.org/officeDocument/2006/relationships/hyperlink" Id="rId194" Target="https://www.iso.org/standard/88412.html" TargetMode="External" /><Relationship Type="http://schemas.openxmlformats.org/officeDocument/2006/relationships/hyperlink" Id="rId124" Target="https://www.misp-project.org/" TargetMode="External" /><Relationship Type="http://schemas.openxmlformats.org/officeDocument/2006/relationships/hyperlink" Id="rId189" Target="https://www.nist.gov/cyberframework" TargetMode="External" /><Relationship Type="http://schemas.openxmlformats.org/officeDocument/2006/relationships/hyperlink" Id="rId138" Target="https://www.osquery.io/" TargetMode="External" /><Relationship Type="http://schemas.openxmlformats.org/officeDocument/2006/relationships/hyperlink" Id="rId140" Target="https://zeek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2026-07-30T23:35:51Z</dcterms:created>
  <dcterms:modified xsi:type="dcterms:W3CDTF">2026-07-30T23:35:51Z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