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19 — FedRAMP / FISMA Controlled Implementation</w:t>
      </w:r>
    </w:p>
    <w:p>
      <w:r>
        <w:rPr>
          <w:b/>
        </w:rPr>
        <w:t>Controlled English master — development</w:t>
      </w:r>
    </w:p>
    <w:p>
      <w:pPr>
        <w:spacing w:after="120"/>
      </w:pPr>
      <w:r>
        <w:t>**Series order:** 19</w:t>
      </w:r>
    </w:p>
    <w:p>
      <w:pPr>
        <w:spacing w:after="120"/>
      </w:pPr>
      <w:r>
        <w:t>**Boundary:** Implementation guidance only. Keep FISMA statute, OMB/CISA policy, NIST guidance, FedRAMP program requirements, agency-specific requirements, and organizational procedures distinct. Do not claim that FedRAMP certification alone establishes agency authorization or blanket FISMA compliance.</w:t>
      </w:r>
    </w:p>
    <w:p>
      <w:pPr>
        <w:pStyle w:val="Heading2"/>
      </w:pPr>
      <w:r>
        <w:t>1. Federal governance, purpose, and applicability</w:t>
      </w:r>
    </w:p>
    <w:p>
      <w:pPr>
        <w:spacing w:after="120"/>
      </w:pPr>
      <w:r>
        <w:t>Define system/service scope, federal customer relationships, responsible organizations, applicable statutes/policies, authorization path, and accountable executives. Evidence: applicability memo, governance charter, source register, authorization-path decision. Reassess after customer, service, impact, or policy changes.</w:t>
      </w:r>
    </w:p>
    <w:p>
      <w:pPr>
        <w:pStyle w:val="Heading2"/>
      </w:pPr>
      <w:r>
        <w:t>2. FISMA statutory context</w:t>
      </w:r>
    </w:p>
    <w:p>
      <w:pPr>
        <w:spacing w:after="120"/>
      </w:pPr>
      <w:r>
        <w:t>Maintain a legal/policy source map identifying which obligations arise from FISMA and which arise from implementing policy or guidance. Assign legal/policy interpretation ownership. Evidence: statutory applicability analysis and policy cross-reference. Do not paraphrase guidance as statutory text.</w:t>
      </w:r>
    </w:p>
    <w:p>
      <w:pPr>
        <w:pStyle w:val="Heading2"/>
      </w:pPr>
      <w:r>
        <w:t>3. FedRAMP program and authorization context</w:t>
      </w:r>
    </w:p>
    <w:p>
      <w:pPr>
        <w:spacing w:after="120"/>
      </w:pPr>
      <w:r>
        <w:t>Determine whether the service follows a current Rev. 5 path, a FedRAMP 20x certification class, an agency-led authorization process, or another officially supported route. Evidence: pathway decision, sponsor/customer record, marketplace status, transition plan. Reverify the pathway before major submission milestones.</w:t>
      </w:r>
    </w:p>
    <w:p>
      <w:pPr>
        <w:pStyle w:val="Heading2"/>
      </w:pPr>
      <w:r>
        <w:t>4. NIST Risk Management Framework relationship</w:t>
      </w:r>
    </w:p>
    <w:p>
      <w:pPr>
        <w:spacing w:after="120"/>
      </w:pPr>
      <w:r>
        <w:t>Use the RMF as a risk-management lifecycle model while preserving agency and FedRAMP-specific decision authority. Map Prepare, Categorize, Select, Implement, Assess, Authorize, and Monitor activities to owners and evidence. Test that lifecycle decisions are traceable and current.</w:t>
      </w:r>
    </w:p>
    <w:p>
      <w:pPr>
        <w:pStyle w:val="Heading2"/>
      </w:pPr>
      <w:r>
        <w:t>5. SP 800-53 control-baseline relationship</w:t>
      </w:r>
    </w:p>
    <w:p>
      <w:pPr>
        <w:spacing w:after="120"/>
      </w:pPr>
      <w:r>
        <w:t>Maintain the applicable control baseline and parameter sources without reproducing protected or obsolete program material. Record tailoring, inheritance, overlays, organization-defined parameters, and rationale. Evidence: control matrix and baseline provenance.</w:t>
      </w:r>
    </w:p>
    <w:p>
      <w:pPr>
        <w:pStyle w:val="Heading2"/>
      </w:pPr>
      <w:r>
        <w:t>6. System categorization and impact analysis</w:t>
      </w:r>
    </w:p>
    <w:p>
      <w:pPr>
        <w:spacing w:after="120"/>
      </w:pPr>
      <w:r>
        <w:t>Document information types, confidentiality/integrity/availability impact analysis, categorization basis, and approving authority. Evidence: categorization worksheet, data inventory, impact rationale. Reassess after material data or mission changes.</w:t>
      </w:r>
    </w:p>
    <w:p>
      <w:pPr>
        <w:pStyle w:val="Heading2"/>
      </w:pPr>
      <w:r>
        <w:t>7. Authorization boundary and component inventory</w:t>
      </w:r>
    </w:p>
    <w:p>
      <w:pPr>
        <w:spacing w:after="120"/>
      </w:pPr>
      <w:r>
        <w:t>Define the authorization boundary, external services, interconnections, inherited services, environments, components, data flows, and excluded assets. Evidence: boundary diagram, inventory, interfaces, rationale. Test technical discovery against documentation.</w:t>
      </w:r>
    </w:p>
    <w:p>
      <w:pPr>
        <w:pStyle w:val="Heading2"/>
      </w:pPr>
      <w:r>
        <w:t>8. Control selection and tailoring</w:t>
      </w:r>
    </w:p>
    <w:p>
      <w:pPr>
        <w:spacing w:after="120"/>
      </w:pPr>
      <w:r>
        <w:t>Select controls based on applicable path, impact level/class, agency requirements, risk, and current FedRAMP rules. Record additions, removals, tailoring, parameters, inheritance, and approvals. Evidence: tailored control set and decision log.</w:t>
      </w:r>
    </w:p>
    <w:p>
      <w:pPr>
        <w:pStyle w:val="Heading2"/>
      </w:pPr>
      <w:r>
        <w:t>9. Overlays and agency-specific requirements</w:t>
      </w:r>
    </w:p>
    <w:p>
      <w:pPr>
        <w:spacing w:after="120"/>
      </w:pPr>
      <w:r>
        <w:t>Identify overlays and customer/agency-specific requirements separately from generally applicable program controls. Evidence: overlay register and contract/agency mapping. Prevent local requirements from being generalized across unrelated customers.</w:t>
      </w:r>
    </w:p>
    <w:p>
      <w:pPr>
        <w:pStyle w:val="Heading2"/>
      </w:pPr>
      <w:r>
        <w:t>10. Control implementation statements</w:t>
      </w:r>
    </w:p>
    <w:p>
      <w:pPr>
        <w:spacing w:after="120"/>
      </w:pPr>
      <w:r>
        <w:t>Write implementation statements that identify responsible component, procedure, frequency/trigger, evidence, inheritance, and exceptions. Avoid aspirational language unsupported by operating evidence. Test sampled statements against actual configurations and procedures.</w:t>
      </w:r>
    </w:p>
    <w:p>
      <w:pPr>
        <w:pStyle w:val="Heading2"/>
      </w:pPr>
      <w:r>
        <w:t>11. Roles, accountability, and segregation of duties</w:t>
      </w:r>
    </w:p>
    <w:p>
      <w:pPr>
        <w:spacing w:after="120"/>
      </w:pPr>
      <w:r>
        <w:t>Define CSP, agency, assessor, authorizing official, system owner, security, privacy, operations, engineering, and service-provider roles. Evidence: RACI, charters, delegations, conflict-of-interest controls. Preserve authorization and independent-assessment judgment boundaries.</w:t>
      </w:r>
    </w:p>
    <w:p>
      <w:pPr>
        <w:pStyle w:val="Heading2"/>
      </w:pPr>
      <w:r>
        <w:t>12. Identity, access, and privileged administration</w:t>
      </w:r>
    </w:p>
    <w:p>
      <w:pPr>
        <w:spacing w:after="120"/>
      </w:pPr>
      <w:r>
        <w:t>Implement identity lifecycle, least privilege, MFA, privileged access management, service-account governance, periodic review, and emergency access. Evidence: access records, PAM logs, MFA coverage, review results. Test dormant, excessive, and unmanaged access.</w:t>
      </w:r>
    </w:p>
    <w:p>
      <w:pPr>
        <w:pStyle w:val="Heading2"/>
      </w:pPr>
      <w:r>
        <w:t>13. Configuration and change management</w:t>
      </w:r>
    </w:p>
    <w:p>
      <w:pPr>
        <w:spacing w:after="120"/>
      </w:pPr>
      <w:r>
        <w:t>Maintain approved baselines, configuration standards, change approvals, emergency changes, drift detection, and rollback. Evidence: baselines, scans, change tickets, exceptions. Significant changes must trigger authorization-impact analysis.</w:t>
      </w:r>
    </w:p>
    <w:p>
      <w:pPr>
        <w:pStyle w:val="Heading2"/>
      </w:pPr>
      <w:r>
        <w:t>14. Vulnerability and patch management</w:t>
      </w:r>
    </w:p>
    <w:p>
      <w:pPr>
        <w:spacing w:after="120"/>
      </w:pPr>
      <w:r>
        <w:t>Define scanning coverage, severity/risk prioritization, remediation timelines, exception handling, validation, and reporting. Evidence: scan outputs, tickets, risk decisions, retests. Track aging and recurring vulnerabilities.</w:t>
      </w:r>
    </w:p>
    <w:p>
      <w:pPr>
        <w:pStyle w:val="Heading2"/>
      </w:pPr>
      <w:r>
        <w:t>15. Logging, monitoring, and detection</w:t>
      </w:r>
    </w:p>
    <w:p>
      <w:pPr>
        <w:spacing w:after="120"/>
      </w:pPr>
      <w:r>
        <w:t>Define required event sources, time synchronization, retention, protection, detection use cases, alert ownership, escalation, and evidence availability. Evidence: logging standard, SIEM coverage, alert/ticket samples. Test representative detections end-to-end.</w:t>
      </w:r>
    </w:p>
    <w:p>
      <w:pPr>
        <w:pStyle w:val="Heading2"/>
      </w:pPr>
      <w:r>
        <w:t>16. Incident response and federal reporting interfaces</w:t>
      </w:r>
    </w:p>
    <w:p>
      <w:pPr>
        <w:spacing w:after="120"/>
      </w:pPr>
      <w:r>
        <w:t>Maintain incident identification, containment, recovery, evidence preservation, customer/agency escalation, and applicable federal reporting workflows. Evidence: IR plan, contact matrix, exercises, incident records. Reverify reporting requirements when policy changes.</w:t>
      </w:r>
    </w:p>
    <w:p>
      <w:pPr>
        <w:pStyle w:val="Heading2"/>
      </w:pPr>
      <w:r>
        <w:t>17. Contingency planning and resilience</w:t>
      </w:r>
    </w:p>
    <w:p>
      <w:pPr>
        <w:spacing w:after="120"/>
      </w:pPr>
      <w:r>
        <w:t>Align business impact, backup, recovery, alternate processing, communications, and security during recovery. Evidence: contingency plan, test results, recovery metrics, backup validation. Ensure emergency recovery does not silently bypass required controls.</w:t>
      </w:r>
    </w:p>
    <w:p>
      <w:pPr>
        <w:pStyle w:val="Heading2"/>
      </w:pPr>
      <w:r>
        <w:t>18. Cryptographic and key-management controls</w:t>
      </w:r>
    </w:p>
    <w:p>
      <w:pPr>
        <w:spacing w:after="120"/>
      </w:pPr>
      <w:r>
        <w:t>Define approved cryptographic use, key lifecycle, certificates, secrets, encryption in transit/at rest, and exception handling consistent with applicable federal requirements. Evidence: crypto inventory, key records, configuration samples, exception approvals.</w:t>
      </w:r>
    </w:p>
    <w:p>
      <w:pPr>
        <w:pStyle w:val="Heading2"/>
      </w:pPr>
      <w:r>
        <w:t>19. Supply-chain and third-party risk</w:t>
      </w:r>
    </w:p>
    <w:p>
      <w:pPr>
        <w:spacing w:after="120"/>
      </w:pPr>
      <w:r>
        <w:t>Govern external services, software, components, subcontractors, inherited controls, provenance, incidents, and concentration risk. Evidence: supplier inventory, due diligence, contracts, SBOM/component records where applicable, monitoring results.</w:t>
      </w:r>
    </w:p>
    <w:p>
      <w:pPr>
        <w:pStyle w:val="Heading2"/>
      </w:pPr>
      <w:r>
        <w:t>20. Cloud service and shared-responsibility boundaries</w:t>
      </w:r>
    </w:p>
    <w:p>
      <w:pPr>
        <w:spacing w:after="120"/>
      </w:pPr>
      <w:r>
        <w:t>Map provider, CSP, customer/agency, and external-service responsibilities for each relevant control. Evidence: responsibility matrix, inheritance statements, architecture evidence. Test for gaps created by assumed responsibility.</w:t>
      </w:r>
    </w:p>
    <w:p>
      <w:pPr>
        <w:pStyle w:val="Heading2"/>
      </w:pPr>
      <w:r>
        <w:t>21. Secure development and system lifecycle</w:t>
      </w:r>
    </w:p>
    <w:p>
      <w:pPr>
        <w:spacing w:after="120"/>
      </w:pPr>
      <w:r>
        <w:t>Integrate security/privacy requirements into design, code, dependencies, build/release, secrets, testing, deployment, and decommissioning. Evidence: SDLC records, security tests, dependency evidence, release approvals. Significant releases require authorization-impact review.</w:t>
      </w:r>
    </w:p>
    <w:p>
      <w:pPr>
        <w:pStyle w:val="Heading2"/>
      </w:pPr>
      <w:r>
        <w:t>22. Assessment planning and evidence collection</w:t>
      </w:r>
    </w:p>
    <w:p>
      <w:pPr>
        <w:spacing w:after="120"/>
      </w:pPr>
      <w:r>
        <w:t>Define assessment scope, procedures, sampling, evidence requests, repositories, chain-of-custody, and issue handling. Evidence must be current, reproducible, attributable, and mapped to implementation statements. Automation may support collection but does not replace assessor judgment.</w:t>
      </w:r>
    </w:p>
    <w:p>
      <w:pPr>
        <w:pStyle w:val="Heading2"/>
      </w:pPr>
      <w:r>
        <w:t>23. Assessor independence and assessment boundaries</w:t>
      </w:r>
    </w:p>
    <w:p>
      <w:pPr>
        <w:spacing w:after="120"/>
      </w:pPr>
      <w:r>
        <w:t>Document applicable assessor qualification/independence requirements for the selected authorization or certification path. Keep readiness assistance separate from conclusions requiring independent assessment. Evidence: engagement scope, independence/competence record, assessment plan.</w:t>
      </w:r>
    </w:p>
    <w:p>
      <w:pPr>
        <w:pStyle w:val="Heading2"/>
      </w:pPr>
      <w:r>
        <w:t>24. Findings, POA&amp;M, and remediation governance</w:t>
      </w:r>
    </w:p>
    <w:p>
      <w:pPr>
        <w:spacing w:after="120"/>
      </w:pPr>
      <w:r>
        <w:t>Record findings, severity/risk, root cause, owner, milestones, compensating safeguards, due dates, evidence, validation, and closure authority. Evidence: POA&amp;M/findings register and retest records. Prevent administrative closure without objective remediation evidence.</w:t>
      </w:r>
    </w:p>
    <w:p>
      <w:pPr>
        <w:pStyle w:val="Heading2"/>
      </w:pPr>
      <w:r>
        <w:t>25. Authorization package architecture</w:t>
      </w:r>
    </w:p>
    <w:p>
      <w:pPr>
        <w:spacing w:after="120"/>
      </w:pPr>
      <w:r>
        <w:t>Maintain authoritative package components, ownership, versioning, consistency checks, and submission/review status. Separate evidence preparation from authorizing decisions. Evidence: package index, SSP/package components, assessment results, decision records as applicable to the path.</w:t>
      </w:r>
    </w:p>
    <w:p>
      <w:pPr>
        <w:pStyle w:val="Heading2"/>
      </w:pPr>
      <w:r>
        <w:t>26. OSCAL and machine-readable package concepts</w:t>
      </w:r>
    </w:p>
    <w:p>
      <w:pPr>
        <w:spacing w:after="120"/>
      </w:pPr>
      <w:r>
        <w:t>Use OSCAL or other officially supported machine-readable structures where applicable to improve consistency and automation. Preserve human-readable source meaning, provenance, schema version, and validation. Automation must fail closed on invalid or incomplete transformations.</w:t>
      </w:r>
    </w:p>
    <w:p>
      <w:pPr>
        <w:pStyle w:val="Heading2"/>
      </w:pPr>
      <w:r>
        <w:t>27. Continuous monitoring</w:t>
      </w:r>
    </w:p>
    <w:p>
      <w:pPr>
        <w:spacing w:after="120"/>
      </w:pPr>
      <w:r>
        <w:t>Define recurring control monitoring, vulnerability/configuration updates, evidence refresh, reporting, risk review, and customer/agency interfaces. Evidence: continuous-monitoring plan, recurring submissions, metrics, findings, change records.</w:t>
      </w:r>
    </w:p>
    <w:p>
      <w:pPr>
        <w:pStyle w:val="Heading2"/>
      </w:pPr>
      <w:r>
        <w:t>28. Significant change and reassessment triggers</w:t>
      </w:r>
    </w:p>
    <w:p>
      <w:pPr>
        <w:spacing w:after="120"/>
      </w:pPr>
      <w:r>
        <w:t>Define triggers such as architecture, boundary, identity, crypto, data, hosting, major version, acquisition, incident, supplier, or authorization-path changes. Evidence: change-impact assessments and reauthorization/reassessment decisions.</w:t>
      </w:r>
    </w:p>
    <w:p>
      <w:pPr>
        <w:pStyle w:val="Heading2"/>
      </w:pPr>
      <w:r>
        <w:t>29. FedRAMP 20x / Rev. 5 transition decision points</w:t>
      </w:r>
    </w:p>
    <w:p>
      <w:pPr>
        <w:spacing w:after="120"/>
      </w:pPr>
      <w:r>
        <w:t>Maintain a dated transition register. As of the controlled source verification, 20x Phase 3 is active; Class A opened August 3, 2026; Class B/Class C pipelines are scheduled for August 31, 2026; new Rev. 5 certifications are targeted to end June 11, 2027; and Consolidated Rules 2026 mandatory adoption is identified for January 1, 2027 subject to rule-specific applicability. Reverify every date before release and before using it operationally.</w:t>
      </w:r>
    </w:p>
    <w:p>
      <w:pPr>
        <w:pStyle w:val="Heading2"/>
      </w:pPr>
      <w:r>
        <w:t>30. Certification and authorization maintenance</w:t>
      </w:r>
    </w:p>
    <w:p>
      <w:pPr>
        <w:spacing w:after="120"/>
      </w:pPr>
      <w:r>
        <w:t>Track continuing conditions, marketplace/program status where applicable, agency authorization conditions, recurring assessments, monitoring, remediation, and change notifications. Evidence: maintenance calendar, submissions, decisions, status records. Do not describe certification maintenance as replacing agency risk acceptance.</w:t>
      </w:r>
    </w:p>
    <w:p>
      <w:pPr>
        <w:pStyle w:val="Heading2"/>
      </w:pPr>
      <w:r>
        <w:t>31. Source-watch, policy-change, and effective-date control</w:t>
      </w:r>
    </w:p>
    <w:p>
      <w:pPr>
        <w:spacing w:after="120"/>
      </w:pPr>
      <w:r>
        <w:t>Monitor official FedRAMP, NIST, OMB, CISA, statutory, and relevant agency sources. Record source URL, publication/effective date, applicability, impact, owner, and required manual/control changes. Material changes reopen affected review and release gates.</w:t>
      </w:r>
    </w:p>
    <w:p>
      <w:pPr>
        <w:pStyle w:val="Heading2"/>
      </w:pPr>
      <w:r>
        <w:t>32. Localization, rendered QA, provenance, and release controls</w:t>
      </w:r>
    </w:p>
    <w:p>
      <w:pPr>
        <w:spacing w:after="120"/>
      </w:pPr>
      <w:r>
        <w:t>Freeze exact English source before es-419 and pt-BR localization. Preserve federal-program terminology and distinguish unofficial project localizations from authoritative source text. Before publication require structure/parity checks, documented genuine-human substantive reviews where explicitly required, rendered/page/accessibility inspection, reproducible six-binary DOCX/PDF generation, exact SHA-256 identities, durable staging, workflow-security and release-package QA, current source reverification, predecessor publication, and catalog/release-registry reconciliation.</w:t>
      </w:r>
    </w:p>
    <w:p>
      <w:pPr>
        <w:pStyle w:val="Heading2"/>
      </w:pPr>
      <w:r>
        <w:t>Controlled release boundary</w:t>
      </w:r>
    </w:p>
    <w:p>
      <w:pPr>
        <w:spacing w:after="120"/>
      </w:pPr>
      <w:r>
        <w:t>This development master is not a FedRAMP certification, agency authorization, FISMA attestation, legal determination, or publication claim. Release remains fail-closed under the repository controls and sequential publication order.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