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19 — Implementación Controlada de FedRAMP / FISMA</w:t>
      </w:r>
    </w:p>
    <w:p>
      <w:r>
        <w:rPr>
          <w:b/>
        </w:rPr>
        <w:t>Localización controlada es-419 — candidata asistida por máquina</w:t>
      </w:r>
    </w:p>
    <w:p>
      <w:pPr>
        <w:spacing w:after="120"/>
      </w:pPr>
      <w:r>
        <w:t>**Orden de serie:** 19</w:t>
      </w:r>
    </w:p>
    <w:p>
      <w:pPr>
        <w:spacing w:after="120"/>
      </w:pPr>
      <w:r>
        <w:t>**Fuente inglesa congelada:** blob `6dc279577768f23f9c2d799b04a0544fa1bfe1c4`</w:t>
      </w:r>
    </w:p>
    <w:p>
      <w:pPr>
        <w:spacing w:after="120"/>
      </w:pPr>
      <w:r>
        <w:t>**Límite:** Guía de implementación solamente. Mantener separados el estatuto FISMA, las políticas OMB/CISA, la guía NIST, los requisitos del programa FedRAMP, los requisitos específicos de agencias y los procedimientos organizacionales. No afirmar que una certificación FedRAMP por sí sola establece autorización de una agencia o cumplimiento general de FISMA. Esta localización no es una traducción oficial. La revisión semántica humana solo es un requisito de publicación cuando exista una cuestión sustantiva específica y documentada que requiera juicio humano no determinista; de lo contrario, se aplica la regla canónica de publicación automática para candidatos sin errores ni asuntos pendientes.</w:t>
      </w:r>
    </w:p>
    <w:p>
      <w:pPr>
        <w:pStyle w:val="Heading2"/>
      </w:pPr>
      <w:r>
        <w:t>1. Gobernanza federal, propósito y aplicabilidad</w:t>
      </w:r>
    </w:p>
    <w:p>
      <w:pPr>
        <w:spacing w:after="120"/>
      </w:pPr>
      <w:r>
        <w:t>Definir alcance del sistema/servicio, relaciones con clientes federales, organizaciones responsables, estatutos/políticas aplicables, ruta de autorización y ejecutivos responsables. Evidencia: memorando de aplicabilidad, estatuto de gobernanza, registro de fuentes y decisión sobre la ruta de autorización. Reevaluar tras cambios de cliente, servicio, impacto o política.</w:t>
      </w:r>
    </w:p>
    <w:p>
      <w:pPr>
        <w:pStyle w:val="Heading2"/>
      </w:pPr>
      <w:r>
        <w:t>2. Contexto estatutario de FISMA</w:t>
      </w:r>
    </w:p>
    <w:p>
      <w:pPr>
        <w:spacing w:after="120"/>
      </w:pPr>
      <w:r>
        <w:t>Mantener un mapa de fuentes legales y de política que identifique qué obligaciones provienen de FISMA y cuáles de política o guía de implementación. Asignar responsable de interpretación legal/política. Evidencia: análisis de aplicabilidad estatutaria y referencia cruzada de políticas. No presentar guía como texto estatutario.</w:t>
      </w:r>
    </w:p>
    <w:p>
      <w:pPr>
        <w:pStyle w:val="Heading2"/>
      </w:pPr>
      <w:r>
        <w:t>3. Contexto del programa y autorización FedRAMP</w:t>
      </w:r>
    </w:p>
    <w:p>
      <w:pPr>
        <w:spacing w:after="120"/>
      </w:pPr>
      <w:r>
        <w:t>Determinar si el servicio sigue una ruta Rev. 5 vigente, una clase de certificación FedRAMP 20x, un proceso de autorización liderado por una agencia u otra ruta oficialmente admitida. Evidencia: decisión de ruta, patrocinador/cliente, estado en Marketplace y plan de transición. Reverificar antes de hitos mayores.</w:t>
      </w:r>
    </w:p>
    <w:p>
      <w:pPr>
        <w:pStyle w:val="Heading2"/>
      </w:pPr>
      <w:r>
        <w:t>4. Relación con el NIST Risk Management Framework</w:t>
      </w:r>
    </w:p>
    <w:p>
      <w:pPr>
        <w:spacing w:after="120"/>
      </w:pPr>
      <w:r>
        <w:t>Usar RMF como modelo de ciclo de vida de gestión de riesgos preservando la autoridad decisoria específica de la agencia y FedRAMP. Mapear Prepare, Categorize, Select, Implement, Assess, Authorize y Monitor a responsables y evidencias. Verificar trazabilidad y vigencia de las decisiones.</w:t>
      </w:r>
    </w:p>
    <w:p>
      <w:pPr>
        <w:pStyle w:val="Heading2"/>
      </w:pPr>
      <w:r>
        <w:t>5. Relación con la línea base de controles SP 800-53</w:t>
      </w:r>
    </w:p>
    <w:p>
      <w:pPr>
        <w:spacing w:after="120"/>
      </w:pPr>
      <w:r>
        <w:t>Mantener la línea base de controles aplicable y las fuentes de parámetros sin reproducir material protegido u obsoleto. Registrar tailoring, herencia, overlays, parámetros definidos por la organización y justificación. Evidencia: matriz de controles y procedencia de la línea base.</w:t>
      </w:r>
    </w:p>
    <w:p>
      <w:pPr>
        <w:pStyle w:val="Heading2"/>
      </w:pPr>
      <w:r>
        <w:t>6. Categorización del sistema y análisis de impacto</w:t>
      </w:r>
    </w:p>
    <w:p>
      <w:pPr>
        <w:spacing w:after="120"/>
      </w:pPr>
      <w:r>
        <w:t>Documentar tipos de información, análisis de impacto de confidencialidad/integridad/disponibilidad, base de categorización y autoridad aprobadora. Evidencia: hoja de categorización, inventario de datos y justificación de impacto. Reevaluar después de cambios materiales de datos o misión.</w:t>
      </w:r>
    </w:p>
    <w:p>
      <w:pPr>
        <w:pStyle w:val="Heading2"/>
      </w:pPr>
      <w:r>
        <w:t>7. Límite de autorización e inventario de componentes</w:t>
      </w:r>
    </w:p>
    <w:p>
      <w:pPr>
        <w:spacing w:after="120"/>
      </w:pPr>
      <w:r>
        <w:t>Definir límite de autorización, servicios externos, interconexiones, servicios heredados, ambientes, componentes, flujos de datos y activos excluidos. Evidencia: diagrama del límite, inventario, interfaces y justificación. Contrastar el descubrimiento técnico con la documentación.</w:t>
      </w:r>
    </w:p>
    <w:p>
      <w:pPr>
        <w:pStyle w:val="Heading2"/>
      </w:pPr>
      <w:r>
        <w:t>8. Selección y tailoring de controles</w:t>
      </w:r>
    </w:p>
    <w:p>
      <w:pPr>
        <w:spacing w:after="120"/>
      </w:pPr>
      <w:r>
        <w:t>Seleccionar controles según la ruta aplicable, nivel/clase de impacto, requisitos de agencia, riesgo y reglas FedRAMP vigentes. Registrar adiciones, eliminaciones, tailoring, parámetros, herencia y aprobaciones. Evidencia: conjunto de controles adaptado y registro de decisiones.</w:t>
      </w:r>
    </w:p>
    <w:p>
      <w:pPr>
        <w:pStyle w:val="Heading2"/>
      </w:pPr>
      <w:r>
        <w:t>9. Overlays y requisitos específicos de agencias</w:t>
      </w:r>
    </w:p>
    <w:p>
      <w:pPr>
        <w:spacing w:after="120"/>
      </w:pPr>
      <w:r>
        <w:t>Identificar overlays y requisitos de cliente/agencia por separado de los controles generales del programa. Evidencia: registro de overlays y mapeo contractual/de agencia. Evitar generalizar requisitos locales a clientes no relacionados.</w:t>
      </w:r>
    </w:p>
    <w:p>
      <w:pPr>
        <w:pStyle w:val="Heading2"/>
      </w:pPr>
      <w:r>
        <w:t>10. Declaraciones de implementación de controles</w:t>
      </w:r>
    </w:p>
    <w:p>
      <w:pPr>
        <w:spacing w:after="120"/>
      </w:pPr>
      <w:r>
        <w:t>Redactar declaraciones que indiquen componente responsable, procedimiento, frecuencia/disparador, evidencia, herencia y excepciones. Evitar lenguaje aspiracional sin evidencia operativa. Probar muestras contra configuraciones y procedimientos reales.</w:t>
      </w:r>
    </w:p>
    <w:p>
      <w:pPr>
        <w:pStyle w:val="Heading2"/>
      </w:pPr>
      <w:r>
        <w:t>11. Roles, responsabilidad y segregación de funciones</w:t>
      </w:r>
    </w:p>
    <w:p>
      <w:pPr>
        <w:spacing w:after="120"/>
      </w:pPr>
      <w:r>
        <w:t>Definir roles de CSP, agencia, evaluador, autoridad autorizadora, propietario del sistema, seguridad, privacidad, operaciones, ingeniería y proveedores. Evidencia: RACI, estatutos, delegaciones y controles de conflicto de interés. Preservar los límites de juicio de autorización y evaluación independiente.</w:t>
      </w:r>
    </w:p>
    <w:p>
      <w:pPr>
        <w:pStyle w:val="Heading2"/>
      </w:pPr>
      <w:r>
        <w:t>12. Identidad, acceso y administración privilegiada</w:t>
      </w:r>
    </w:p>
    <w:p>
      <w:pPr>
        <w:spacing w:after="120"/>
      </w:pPr>
      <w:r>
        <w:t>Implementar ciclo de vida de identidades, mínimo privilegio, MFA, PAM, gobierno de cuentas de servicio, revisiones periódicas y acceso de emergencia. Evidencia: registros de acceso, logs PAM, cobertura MFA y resultados de revisión. Probar accesos inactivos, excesivos y no administrados.</w:t>
      </w:r>
    </w:p>
    <w:p>
      <w:pPr>
        <w:pStyle w:val="Heading2"/>
      </w:pPr>
      <w:r>
        <w:t>13. Gestión de configuración y cambios</w:t>
      </w:r>
    </w:p>
    <w:p>
      <w:pPr>
        <w:spacing w:after="120"/>
      </w:pPr>
      <w:r>
        <w:t>Mantener líneas base aprobadas, estándares de configuración, aprobaciones de cambios, cambios de emergencia, detección de drift y rollback. Evidencia: líneas base, escaneos, tickets y excepciones. Cambios significativos deben activar análisis de impacto de autorización.</w:t>
      </w:r>
    </w:p>
    <w:p>
      <w:pPr>
        <w:pStyle w:val="Heading2"/>
      </w:pPr>
      <w:r>
        <w:t>14. Gestión de vulnerabilidades y parches</w:t>
      </w:r>
    </w:p>
    <w:p>
      <w:pPr>
        <w:spacing w:after="120"/>
      </w:pPr>
      <w:r>
        <w:t>Definir cobertura de escaneo, priorización por severidad/riesgo, plazos de remediación, excepciones, validación y reporte. Evidencia: resultados de escaneo, tickets, decisiones de riesgo y re-pruebas. Dar seguimiento a antigüedad y recurrencia de vulnerabilidades.</w:t>
      </w:r>
    </w:p>
    <w:p>
      <w:pPr>
        <w:pStyle w:val="Heading2"/>
      </w:pPr>
      <w:r>
        <w:t>15. Registro, monitoreo y detección</w:t>
      </w:r>
    </w:p>
    <w:p>
      <w:pPr>
        <w:spacing w:after="120"/>
      </w:pPr>
      <w:r>
        <w:t>Definir fuentes de eventos, sincronización de tiempo, retención, protección, casos de uso de detección, propiedad de alertas, escalamiento y disponibilidad de evidencia. Evidencia: estándar de logging, cobertura SIEM y muestras de alertas/tickets. Probar detecciones representativas de extremo a extremo.</w:t>
      </w:r>
    </w:p>
    <w:p>
      <w:pPr>
        <w:pStyle w:val="Heading2"/>
      </w:pPr>
      <w:r>
        <w:t>16. Respuesta a incidentes e interfaces de reporte federal</w:t>
      </w:r>
    </w:p>
    <w:p>
      <w:pPr>
        <w:spacing w:after="120"/>
      </w:pPr>
      <w:r>
        <w:t>Mantener identificación, contención, recuperación, preservación de evidencia, escalamiento a cliente/agencia y flujos de reporte federal aplicables. Evidencia: plan IR, matriz de contactos, ejercicios y registros de incidentes. Reverificar requisitos de reporte cuando cambie la política.</w:t>
      </w:r>
    </w:p>
    <w:p>
      <w:pPr>
        <w:pStyle w:val="Heading2"/>
      </w:pPr>
      <w:r>
        <w:t>17. Planificación de contingencia y resiliencia</w:t>
      </w:r>
    </w:p>
    <w:p>
      <w:pPr>
        <w:spacing w:after="120"/>
      </w:pPr>
      <w:r>
        <w:t>Alinear impacto de negocio, respaldos, recuperación, procesamiento alterno, comunicaciones y seguridad durante recuperación. Evidencia: plan de contingencia, resultados de pruebas, métricas de recuperación y validación de respaldos. Evitar que la recuperación de emergencia omita controles requeridos.</w:t>
      </w:r>
    </w:p>
    <w:p>
      <w:pPr>
        <w:pStyle w:val="Heading2"/>
      </w:pPr>
      <w:r>
        <w:t>18. Controles criptográficos y gestión de claves</w:t>
      </w:r>
    </w:p>
    <w:p>
      <w:pPr>
        <w:spacing w:after="120"/>
      </w:pPr>
      <w:r>
        <w:t>Definir uso criptográfico aprobado, ciclo de vida de claves, certificados, secretos, cifrado en tránsito/en reposo y excepciones conforme a requisitos federales aplicables. Evidencia: inventario criptográfico, registros de claves, muestras de configuración y aprobaciones de excepción.</w:t>
      </w:r>
    </w:p>
    <w:p>
      <w:pPr>
        <w:pStyle w:val="Heading2"/>
      </w:pPr>
      <w:r>
        <w:t>19. Cadena de suministro y riesgo de terceros</w:t>
      </w:r>
    </w:p>
    <w:p>
      <w:pPr>
        <w:spacing w:after="120"/>
      </w:pPr>
      <w:r>
        <w:t>Gobernar servicios externos, software, componentes, subcontratistas, controles heredados, procedencia, incidentes y riesgo de concentración. Evidencia: inventario de proveedores, due diligence, contratos, SBOM/registros de componentes cuando aplique y resultados de monitoreo.</w:t>
      </w:r>
    </w:p>
    <w:p>
      <w:pPr>
        <w:pStyle w:val="Heading2"/>
      </w:pPr>
      <w:r>
        <w:t>20. Servicio en la nube y límites de responsabilidad compartida</w:t>
      </w:r>
    </w:p>
    <w:p>
      <w:pPr>
        <w:spacing w:after="120"/>
      </w:pPr>
      <w:r>
        <w:t>Mapear responsabilidades del proveedor, CSP, cliente/agencia y servicios externos para cada control relevante. Evidencia: matriz de responsabilidades, declaraciones de herencia y evidencia de arquitectura. Probar brechas creadas por responsabilidades asumidas.</w:t>
      </w:r>
    </w:p>
    <w:p>
      <w:pPr>
        <w:pStyle w:val="Heading2"/>
      </w:pPr>
      <w:r>
        <w:t>21. Desarrollo seguro y ciclo de vida del sistema</w:t>
      </w:r>
    </w:p>
    <w:p>
      <w:pPr>
        <w:spacing w:after="120"/>
      </w:pPr>
      <w:r>
        <w:t>Integrar requisitos de seguridad/privacidad en diseño, código, dependencias, build/release, secretos, pruebas, despliegue y retiro. Evidencia: registros SDLC, pruebas de seguridad, evidencia de dependencias y aprobaciones de release. Releases significativos requieren revisión de impacto de autorización.</w:t>
      </w:r>
    </w:p>
    <w:p>
      <w:pPr>
        <w:pStyle w:val="Heading2"/>
      </w:pPr>
      <w:r>
        <w:t>22. Planificación de evaluación y recopilación de evidencia</w:t>
      </w:r>
    </w:p>
    <w:p>
      <w:pPr>
        <w:spacing w:after="120"/>
      </w:pPr>
      <w:r>
        <w:t>Definir alcance, procedimientos, muestreo, solicitudes de evidencia, repositorios, cadena de custodia y manejo de hallazgos. La evidencia debe ser vigente, reproducible, atribuible y mapeada a declaraciones de implementación. La automatización puede apoyar, pero no reemplaza el juicio del evaluador.</w:t>
      </w:r>
    </w:p>
    <w:p>
      <w:pPr>
        <w:pStyle w:val="Heading2"/>
      </w:pPr>
      <w:r>
        <w:t>23. Independencia del evaluador y límites de evaluación</w:t>
      </w:r>
    </w:p>
    <w:p>
      <w:pPr>
        <w:spacing w:after="120"/>
      </w:pPr>
      <w:r>
        <w:t>Documentar requisitos aplicables de calificación e independencia para la ruta de autorización/certificación seleccionada. Separar apoyo de readiness de conclusiones que exigen evaluación independiente. Evidencia: alcance del encargo, competencia/independencia y plan de evaluación.</w:t>
      </w:r>
    </w:p>
    <w:p>
      <w:pPr>
        <w:pStyle w:val="Heading2"/>
      </w:pPr>
      <w:r>
        <w:t>24. Hallazgos, POA&amp;M y gobernanza de remediación</w:t>
      </w:r>
    </w:p>
    <w:p>
      <w:pPr>
        <w:spacing w:after="120"/>
      </w:pPr>
      <w:r>
        <w:t>Registrar hallazgo, severidad/riesgo, causa raíz, responsable, hitos, salvaguardas compensatorias, fechas, evidencia, validación y autoridad de cierre. Evidencia: registro POA&amp;M/hallazgos y re-pruebas. Evitar cierres administrativos sin evidencia objetiva de remediación.</w:t>
      </w:r>
    </w:p>
    <w:p>
      <w:pPr>
        <w:pStyle w:val="Heading2"/>
      </w:pPr>
      <w:r>
        <w:t>25. Arquitectura del paquete de autorización</w:t>
      </w:r>
    </w:p>
    <w:p>
      <w:pPr>
        <w:spacing w:after="120"/>
      </w:pPr>
      <w:r>
        <w:t>Mantener componentes autorizados del paquete, propiedad, versionado, controles de consistencia y estado de envío/revisión. Separar preparación de evidencia de decisiones de autorización. Evidencia: índice de paquete, SSP/componentes, resultados de evaluación y decisiones aplicables.</w:t>
      </w:r>
    </w:p>
    <w:p>
      <w:pPr>
        <w:pStyle w:val="Heading2"/>
      </w:pPr>
      <w:r>
        <w:t>26. OSCAL y conceptos de paquete legible por máquina</w:t>
      </w:r>
    </w:p>
    <w:p>
      <w:pPr>
        <w:spacing w:after="120"/>
      </w:pPr>
      <w:r>
        <w:t>Usar OSCAL u otras estructuras oficialmente admitidas cuando corresponda para mejorar consistencia y automatización. Preservar significado humano, procedencia, versión de esquema y validación. La automatización debe fallar de forma cerrada ante transformaciones inválidas o incompletas.</w:t>
      </w:r>
    </w:p>
    <w:p>
      <w:pPr>
        <w:pStyle w:val="Heading2"/>
      </w:pPr>
      <w:r>
        <w:t>27. Monitoreo continuo</w:t>
      </w:r>
    </w:p>
    <w:p>
      <w:pPr>
        <w:spacing w:after="120"/>
      </w:pPr>
      <w:r>
        <w:t>Definir monitoreo periódico de controles, actualizaciones de vulnerabilidad/configuración, refresco de evidencia, reporte, revisión de riesgo e interfaces con clientes/agencias. Evidencia: plan de monitoreo continuo, entregas recurrentes, métricas, hallazgos y registros de cambios.</w:t>
      </w:r>
    </w:p>
    <w:p>
      <w:pPr>
        <w:pStyle w:val="Heading2"/>
      </w:pPr>
      <w:r>
        <w:t>28. Cambios significativos y disparadores de reevaluación</w:t>
      </w:r>
    </w:p>
    <w:p>
      <w:pPr>
        <w:spacing w:after="120"/>
      </w:pPr>
      <w:r>
        <w:t>Definir disparadores como cambios de arquitectura, límite, identidad, criptografía, datos, hosting, versión mayor, adquisición, incidente, proveedor o ruta de autorización. Evidencia: evaluaciones de impacto y decisiones de reautorización/reevaluación.</w:t>
      </w:r>
    </w:p>
    <w:p>
      <w:pPr>
        <w:pStyle w:val="Heading2"/>
      </w:pPr>
      <w:r>
        <w:t>29. Puntos de decisión de transición FedRAMP 20x / Rev. 5</w:t>
      </w:r>
    </w:p>
    <w:p>
      <w:pPr>
        <w:spacing w:after="120"/>
      </w:pPr>
      <w:r>
        <w:t>Mantener un registro fechado de transición. Según la verificación de fuente controlada: 20x Fase 3 está activa; Clase A abrió el 3 de agosto de 2026; las canalizaciones Clase B/Clase C están programadas para el 31 de agosto de 2026; el objetivo para terminar nuevas certificaciones Rev. 5 es el 11 de junio de 2027; y la adopción obligatoria de Consolidated Rules 2026 se identifica para el 1 de enero de 2027, sujeta a aplicabilidad específica. Reverificar toda fecha antes del release y del uso operativo.</w:t>
      </w:r>
    </w:p>
    <w:p>
      <w:pPr>
        <w:pStyle w:val="Heading2"/>
      </w:pPr>
      <w:r>
        <w:t>30. Mantenimiento de certificación y autorización</w:t>
      </w:r>
    </w:p>
    <w:p>
      <w:pPr>
        <w:spacing w:after="120"/>
      </w:pPr>
      <w:r>
        <w:t>Dar seguimiento a condiciones continuas, estado de Marketplace/programa cuando corresponda, condiciones de autorización de agencia, evaluaciones recurrentes, monitoreo, remediación y notificaciones de cambios. Evidencia: calendario, entregas, decisiones y registros de estado. No presentar mantenimiento de certificación como sustituto de aceptación de riesgo de la agencia.</w:t>
      </w:r>
    </w:p>
    <w:p>
      <w:pPr>
        <w:pStyle w:val="Heading2"/>
      </w:pPr>
      <w:r>
        <w:t>31. Control de fuentes, cambios de política y fechas efectivas</w:t>
      </w:r>
    </w:p>
    <w:p>
      <w:pPr>
        <w:spacing w:after="120"/>
      </w:pPr>
      <w:r>
        <w:t>Monitorear fuentes oficiales de FedRAMP, NIST, OMB, CISA, estatutos y agencias relevantes. Registrar URL, fecha de publicación/vigencia, aplicabilidad, impacto, responsable y cambios requeridos. Cambios materiales reabren las revisiones y gates afectados.</w:t>
      </w:r>
    </w:p>
    <w:p>
      <w:pPr>
        <w:pStyle w:val="Heading2"/>
      </w:pPr>
      <w:r>
        <w:t>32. Localización, QA renderizado, procedencia y controles de release</w:t>
      </w:r>
    </w:p>
    <w:p>
      <w:pPr>
        <w:spacing w:after="120"/>
      </w:pPr>
      <w:r>
        <w:t>Congelar la fuente inglesa exacta antes de localizar es-419 y pt-BR. Preservar terminología federal y distinguir localizaciones no oficiales del texto fuente autoritativo. Antes de publicación exigir estructura/paridad, revisiones humanas sustantivas documentadas cuando se requieran, inspección renderizada/de páginas/accesibilidad, seis DOCX/PDF reproducibles, SHA-256 exactos, staging durable, seguridad de workflow, QA de paquete, reverificación de fuentes, publicación del predecesor y reconciliación de catálogo/registro.</w:t>
      </w:r>
    </w:p>
    <w:p>
      <w:pPr>
        <w:pStyle w:val="Heading2"/>
      </w:pPr>
      <w:r>
        <w:t>Límite de release controlado</w:t>
      </w:r>
    </w:p>
    <w:p>
      <w:pPr>
        <w:spacing w:after="120"/>
      </w:pPr>
      <w:r>
        <w:t>Este master localizado en desarrollo no es certificación FedRAMP, autorización de agencia, atestación FISMA, determinación legal ni declaración de publicación. El release permanece fail-closed bajo los controles del repositorio y el orden secuencial de publicación.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