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19 — Implementação Controlada de FedRAMP / FISMA</w:t>
      </w:r>
    </w:p>
    <w:p>
      <w:r>
        <w:rPr>
          <w:b/>
        </w:rPr>
        <w:t>Localização controlada pt-BR — candidata assistida por máquina</w:t>
      </w:r>
    </w:p>
    <w:p>
      <w:pPr>
        <w:spacing w:after="120"/>
      </w:pPr>
      <w:r>
        <w:t>**Ordem da série:** 19</w:t>
      </w:r>
    </w:p>
    <w:p>
      <w:pPr>
        <w:spacing w:after="120"/>
      </w:pPr>
      <w:r>
        <w:t>**Fonte inglesa congelada:** blob `6dc279577768f23f9c2d799b04a0544fa1bfe1c4`</w:t>
      </w:r>
    </w:p>
    <w:p>
      <w:pPr>
        <w:spacing w:after="120"/>
      </w:pPr>
      <w:r>
        <w:t>**Limite:** Somente orientação de implementação. Manter separados o estatuto FISMA, as políticas OMB/CISA, a orientação NIST, os requisitos do programa FedRAMP, os requisitos específicos de agências e os procedimentos organizacionais. Não afirmar que uma certificação FedRAMP, por si só, estabelece autorização de uma agência ou conformidade geral com FISMA. Esta localização não é tradução oficial. A revisão semântica humana só é requisito de publicação quando houver uma questão substantiva específica e documentada que exija julgamento humano não determinístico; caso contrário, aplica-se a regra canônica de publicação automática para candidatos sem erros nem questões pendentes.</w:t>
      </w:r>
    </w:p>
    <w:p>
      <w:pPr>
        <w:pStyle w:val="Heading2"/>
      </w:pPr>
      <w:r>
        <w:t>1. Governança federal, propósito e aplicabilidade</w:t>
      </w:r>
    </w:p>
    <w:p>
      <w:pPr>
        <w:spacing w:after="120"/>
      </w:pPr>
      <w:r>
        <w:t>Definir escopo do sistema/serviço, relações com clientes federais, organizações responsáveis, estatutos/políticas aplicáveis, caminho de autorização e executivos responsáveis. Evidência: memorando de aplicabilidade, charter de governança, registro de fontes e decisão do caminho de autorização. Reavaliar após mudanças de cliente, serviço, impacto ou política.</w:t>
      </w:r>
    </w:p>
    <w:p>
      <w:pPr>
        <w:pStyle w:val="Heading2"/>
      </w:pPr>
      <w:r>
        <w:t>2. Contexto estatutário da FISMA</w:t>
      </w:r>
    </w:p>
    <w:p>
      <w:pPr>
        <w:spacing w:after="120"/>
      </w:pPr>
      <w:r>
        <w:t>Manter mapa de fontes legais e de política identificando quais obrigações decorrem da FISMA e quais decorrem de política ou orientação de implementação. Atribuir responsabilidade pela interpretação legal/política. Evidência: análise de aplicabilidade estatutária e referência cruzada de políticas. Não apresentar orientação como texto estatutário.</w:t>
      </w:r>
    </w:p>
    <w:p>
      <w:pPr>
        <w:pStyle w:val="Heading2"/>
      </w:pPr>
      <w:r>
        <w:t>3. Contexto do programa e autorização FedRAMP</w:t>
      </w:r>
    </w:p>
    <w:p>
      <w:pPr>
        <w:spacing w:after="120"/>
      </w:pPr>
      <w:r>
        <w:t>Determinar se o serviço segue um caminho Rev. 5 vigente, uma classe de certificação FedRAMP 20x, processo de autorização conduzido por agência ou outra rota oficialmente suportada. Evidência: decisão de caminho, registro de patrocinador/cliente, status no Marketplace e plano de transição. Reverificar antes de marcos importantes.</w:t>
      </w:r>
    </w:p>
    <w:p>
      <w:pPr>
        <w:pStyle w:val="Heading2"/>
      </w:pPr>
      <w:r>
        <w:t>4. Relação com o NIST Risk Management Framework</w:t>
      </w:r>
    </w:p>
    <w:p>
      <w:pPr>
        <w:spacing w:after="120"/>
      </w:pPr>
      <w:r>
        <w:t>Usar o RMF como modelo de ciclo de vida de gestão de risco preservando a autoridade decisória específica da agência e do FedRAMP. Mapear Prepare, Categorize, Select, Implement, Assess, Authorize e Monitor a responsáveis e evidências. Testar rastreabilidade e atualidade das decisões.</w:t>
      </w:r>
    </w:p>
    <w:p>
      <w:pPr>
        <w:pStyle w:val="Heading2"/>
      </w:pPr>
      <w:r>
        <w:t>5. Relação com a linha de base de controles SP 800-53</w:t>
      </w:r>
    </w:p>
    <w:p>
      <w:pPr>
        <w:spacing w:after="120"/>
      </w:pPr>
      <w:r>
        <w:t>Manter a linha de base de controles aplicável e as fontes de parâmetros sem reproduzir material protegido ou obsoleto. Registrar tailoring, herança, overlays, parâmetros definidos pela organização e justificativa. Evidência: matriz de controles e proveniência da linha de base.</w:t>
      </w:r>
    </w:p>
    <w:p>
      <w:pPr>
        <w:pStyle w:val="Heading2"/>
      </w:pPr>
      <w:r>
        <w:t>6. Categorização do sistema e análise de impacto</w:t>
      </w:r>
    </w:p>
    <w:p>
      <w:pPr>
        <w:spacing w:after="120"/>
      </w:pPr>
      <w:r>
        <w:t>Documentar tipos de informação, análise de impacto de confidencialidade/integridade/disponibilidade, base de categorização e autoridade aprovadora. Evidência: planilha de categorização, inventário de dados e justificativa de impacto. Reavaliar após mudanças materiais de dados ou missão.</w:t>
      </w:r>
    </w:p>
    <w:p>
      <w:pPr>
        <w:pStyle w:val="Heading2"/>
      </w:pPr>
      <w:r>
        <w:t>7. Limite de autorização e inventário de componentes</w:t>
      </w:r>
    </w:p>
    <w:p>
      <w:pPr>
        <w:spacing w:after="120"/>
      </w:pPr>
      <w:r>
        <w:t>Definir limite de autorização, serviços externos, interconexões, serviços herdados, ambientes, componentes, fluxos de dados e ativos excluídos. Evidência: diagrama do limite, inventário, interfaces e justificativa. Comparar descoberta técnica com a documentação.</w:t>
      </w:r>
    </w:p>
    <w:p>
      <w:pPr>
        <w:pStyle w:val="Heading2"/>
      </w:pPr>
      <w:r>
        <w:t>8. Seleção e tailoring de controles</w:t>
      </w:r>
    </w:p>
    <w:p>
      <w:pPr>
        <w:spacing w:after="120"/>
      </w:pPr>
      <w:r>
        <w:t>Selecionar controles com base no caminho aplicável, nível/classe de impacto, requisitos da agência, risco e regras FedRAMP vigentes. Registrar adições, remoções, tailoring, parâmetros, herança e aprovações. Evidência: conjunto de controles ajustado e registro de decisões.</w:t>
      </w:r>
    </w:p>
    <w:p>
      <w:pPr>
        <w:pStyle w:val="Heading2"/>
      </w:pPr>
      <w:r>
        <w:t>9. Overlays e requisitos específicos de agências</w:t>
      </w:r>
    </w:p>
    <w:p>
      <w:pPr>
        <w:spacing w:after="120"/>
      </w:pPr>
      <w:r>
        <w:t>Identificar overlays e requisitos de cliente/agência separadamente dos controles gerais do programa. Evidência: registro de overlays e mapeamento contratual/de agência. Evitar generalizar requisitos locais para clientes não relacionados.</w:t>
      </w:r>
    </w:p>
    <w:p>
      <w:pPr>
        <w:pStyle w:val="Heading2"/>
      </w:pPr>
      <w:r>
        <w:t>10. Declarações de implementação de controles</w:t>
      </w:r>
    </w:p>
    <w:p>
      <w:pPr>
        <w:spacing w:after="120"/>
      </w:pPr>
      <w:r>
        <w:t>Redigir declarações que identifiquem componente responsável, procedimento, frequência/gatilho, evidência, herança e exceções. Evitar linguagem aspiracional sem evidência operacional. Testar amostras contra configurações e procedimentos reais.</w:t>
      </w:r>
    </w:p>
    <w:p>
      <w:pPr>
        <w:pStyle w:val="Heading2"/>
      </w:pPr>
      <w:r>
        <w:t>11. Papéis, responsabilização e segregação de funções</w:t>
      </w:r>
    </w:p>
    <w:p>
      <w:pPr>
        <w:spacing w:after="120"/>
      </w:pPr>
      <w:r>
        <w:t>Definir papéis de CSP, agência, avaliador, autoridade autorizadora, proprietário do sistema, segurança, privacidade, operações, engenharia e prestadores. Evidência: RACI, charters, delegações e controles de conflito de interesse. Preservar limites de julgamento de autorização e avaliação independente.</w:t>
      </w:r>
    </w:p>
    <w:p>
      <w:pPr>
        <w:pStyle w:val="Heading2"/>
      </w:pPr>
      <w:r>
        <w:t>12. Identidade, acesso e administração privilegiada</w:t>
      </w:r>
    </w:p>
    <w:p>
      <w:pPr>
        <w:spacing w:after="120"/>
      </w:pPr>
      <w:r>
        <w:t>Implementar ciclo de vida de identidades, menor privilégio, MFA, PAM, governança de contas de serviço, revisões periódicas e acesso de emergência. Evidência: registros de acesso, logs PAM, cobertura MFA e resultados de revisão. Testar acessos inativos, excessivos e não gerenciados.</w:t>
      </w:r>
    </w:p>
    <w:p>
      <w:pPr>
        <w:pStyle w:val="Heading2"/>
      </w:pPr>
      <w:r>
        <w:t>13. Gestão de configuração e mudanças</w:t>
      </w:r>
    </w:p>
    <w:p>
      <w:pPr>
        <w:spacing w:after="120"/>
      </w:pPr>
      <w:r>
        <w:t>Manter baselines aprovadas, padrões de configuração, aprovações de mudança, mudanças emergenciais, detecção de drift e rollback. Evidência: baselines, varreduras, tickets e exceções. Mudanças significativas devem acionar análise de impacto de autorização.</w:t>
      </w:r>
    </w:p>
    <w:p>
      <w:pPr>
        <w:pStyle w:val="Heading2"/>
      </w:pPr>
      <w:r>
        <w:t>14. Gestão de vulnerabilidades e patches</w:t>
      </w:r>
    </w:p>
    <w:p>
      <w:pPr>
        <w:spacing w:after="120"/>
      </w:pPr>
      <w:r>
        <w:t>Definir cobertura de varredura, priorização por severidade/risco, prazos de remediação, exceções, validação e reporte. Evidência: resultados de varredura, tickets, decisões de risco e retestes. Monitorar envelhecimento e recorrência de vulnerabilidades.</w:t>
      </w:r>
    </w:p>
    <w:p>
      <w:pPr>
        <w:pStyle w:val="Heading2"/>
      </w:pPr>
      <w:r>
        <w:t>15. Registro, monitoramento e detecção</w:t>
      </w:r>
    </w:p>
    <w:p>
      <w:pPr>
        <w:spacing w:after="120"/>
      </w:pPr>
      <w:r>
        <w:t>Definir fontes de eventos, sincronização de tempo, retenção, proteção, casos de uso de detecção, responsabilidade por alertas, escalonamento e disponibilidade de evidência. Evidência: padrão de logging, cobertura SIEM e amostras de alertas/tickets. Testar detecções representativas ponta a ponta.</w:t>
      </w:r>
    </w:p>
    <w:p>
      <w:pPr>
        <w:pStyle w:val="Heading2"/>
      </w:pPr>
      <w:r>
        <w:t>16. Resposta a incidentes e interfaces de reporte federal</w:t>
      </w:r>
    </w:p>
    <w:p>
      <w:pPr>
        <w:spacing w:after="120"/>
      </w:pPr>
      <w:r>
        <w:t>Manter identificação, contenção, recuperação, preservação de evidência, escalonamento a cliente/agência e fluxos federais aplicáveis. Evidência: plano IR, matriz de contatos, exercícios e registros de incidentes. Reverificar requisitos de reporte quando a política mudar.</w:t>
      </w:r>
    </w:p>
    <w:p>
      <w:pPr>
        <w:pStyle w:val="Heading2"/>
      </w:pPr>
      <w:r>
        <w:t>17. Planejamento de contingência e resiliência</w:t>
      </w:r>
    </w:p>
    <w:p>
      <w:pPr>
        <w:spacing w:after="120"/>
      </w:pPr>
      <w:r>
        <w:t>Alinhar impacto de negócio, backup, recuperação, processamento alternativo, comunicações e segurança durante a recuperação. Evidência: plano de contingência, resultados de teste, métricas de recuperação e validação de backups. Impedir que recuperação emergencial contorne silenciosamente controles requeridos.</w:t>
      </w:r>
    </w:p>
    <w:p>
      <w:pPr>
        <w:pStyle w:val="Heading2"/>
      </w:pPr>
      <w:r>
        <w:t>18. Controles criptográficos e gestão de chaves</w:t>
      </w:r>
    </w:p>
    <w:p>
      <w:pPr>
        <w:spacing w:after="120"/>
      </w:pPr>
      <w:r>
        <w:t>Definir uso criptográfico aprovado, ciclo de vida de chaves, certificados, segredos, criptografia em trânsito/em repouso e exceções conforme requisitos federais aplicáveis. Evidência: inventário criptográfico, registros de chaves, amostras de configuração e aprovações de exceção.</w:t>
      </w:r>
    </w:p>
    <w:p>
      <w:pPr>
        <w:pStyle w:val="Heading2"/>
      </w:pPr>
      <w:r>
        <w:t>19. Cadeia de suprimentos e risco de terceiros</w:t>
      </w:r>
    </w:p>
    <w:p>
      <w:pPr>
        <w:spacing w:after="120"/>
      </w:pPr>
      <w:r>
        <w:t>Governar serviços externos, software, componentes, subcontratados, controles herdados, proveniência, incidentes e risco de concentração. Evidência: inventário de fornecedores, due diligence, contratos, SBOM/registros de componentes quando aplicável e resultados de monitoramento.</w:t>
      </w:r>
    </w:p>
    <w:p>
      <w:pPr>
        <w:pStyle w:val="Heading2"/>
      </w:pPr>
      <w:r>
        <w:t>20. Serviço em nuvem e limites de responsabilidade compartilhada</w:t>
      </w:r>
    </w:p>
    <w:p>
      <w:pPr>
        <w:spacing w:after="120"/>
      </w:pPr>
      <w:r>
        <w:t>Mapear responsabilidades do provedor, CSP, cliente/agência e serviços externos para cada controle relevante. Evidência: matriz de responsabilidades, declarações de herança e evidência de arquitetura. Testar lacunas criadas por responsabilidades presumidas.</w:t>
      </w:r>
    </w:p>
    <w:p>
      <w:pPr>
        <w:pStyle w:val="Heading2"/>
      </w:pPr>
      <w:r>
        <w:t>21. Desenvolvimento seguro e ciclo de vida do sistema</w:t>
      </w:r>
    </w:p>
    <w:p>
      <w:pPr>
        <w:spacing w:after="120"/>
      </w:pPr>
      <w:r>
        <w:t>Integrar requisitos de segurança/privacidade em design, código, dependências, build/release, segredos, testes, implantação e desativação. Evidência: registros SDLC, testes de segurança, evidência de dependências e aprovações de release. Releases significativos exigem revisão de impacto de autorização.</w:t>
      </w:r>
    </w:p>
    <w:p>
      <w:pPr>
        <w:pStyle w:val="Heading2"/>
      </w:pPr>
      <w:r>
        <w:t>22. Planejamento de avaliação e coleta de evidências</w:t>
      </w:r>
    </w:p>
    <w:p>
      <w:pPr>
        <w:spacing w:after="120"/>
      </w:pPr>
      <w:r>
        <w:t>Definir escopo, procedimentos, amostragem, solicitações de evidência, repositórios, cadeia de custódia e tratamento de achados. A evidência deve ser atual, reproduzível, atribuível e mapeada às declarações de implementação. Automação pode apoiar, mas não substitui julgamento do avaliador.</w:t>
      </w:r>
    </w:p>
    <w:p>
      <w:pPr>
        <w:pStyle w:val="Heading2"/>
      </w:pPr>
      <w:r>
        <w:t>23. Independência do avaliador e limites da avaliação</w:t>
      </w:r>
    </w:p>
    <w:p>
      <w:pPr>
        <w:spacing w:after="120"/>
      </w:pPr>
      <w:r>
        <w:t>Documentar requisitos aplicáveis de qualificação e independência para o caminho de autorização/certificação selecionado. Separar apoio de readiness de conclusões que exigem avaliação independente. Evidência: escopo do trabalho, registro de independência/competência e plano de avaliação.</w:t>
      </w:r>
    </w:p>
    <w:p>
      <w:pPr>
        <w:pStyle w:val="Heading2"/>
      </w:pPr>
      <w:r>
        <w:t>24. Achados, POA&amp;M e governança de remediação</w:t>
      </w:r>
    </w:p>
    <w:p>
      <w:pPr>
        <w:spacing w:after="120"/>
      </w:pPr>
      <w:r>
        <w:t>Registrar achado, severidade/risco, causa raiz, responsável, marcos, salvaguardas compensatórias, datas, evidência, validação e autoridade de encerramento. Evidência: registro POA&amp;M/achados e retestes. Impedir encerramento administrativo sem evidência objetiva de remediação.</w:t>
      </w:r>
    </w:p>
    <w:p>
      <w:pPr>
        <w:pStyle w:val="Heading2"/>
      </w:pPr>
      <w:r>
        <w:t>25. Arquitetura do pacote de autorização</w:t>
      </w:r>
    </w:p>
    <w:p>
      <w:pPr>
        <w:spacing w:after="120"/>
      </w:pPr>
      <w:r>
        <w:t>Manter componentes autorizados do pacote, propriedade, versionamento, verificações de consistência e status de envio/revisão. Separar preparação de evidência das decisões de autorização. Evidência: índice do pacote, SSP/componentes, resultados de avaliação e decisões aplicáveis.</w:t>
      </w:r>
    </w:p>
    <w:p>
      <w:pPr>
        <w:pStyle w:val="Heading2"/>
      </w:pPr>
      <w:r>
        <w:t>26. OSCAL e conceitos de pacote legível por máquina</w:t>
      </w:r>
    </w:p>
    <w:p>
      <w:pPr>
        <w:spacing w:after="120"/>
      </w:pPr>
      <w:r>
        <w:t>Usar OSCAL ou outras estruturas oficialmente suportadas quando aplicável para melhorar consistência e automação. Preservar significado legível por humanos, proveniência, versão de schema e validação. Automação deve falhar de forma fechada em transformações inválidas ou incompletas.</w:t>
      </w:r>
    </w:p>
    <w:p>
      <w:pPr>
        <w:pStyle w:val="Heading2"/>
      </w:pPr>
      <w:r>
        <w:t>27. Monitoramento contínuo</w:t>
      </w:r>
    </w:p>
    <w:p>
      <w:pPr>
        <w:spacing w:after="120"/>
      </w:pPr>
      <w:r>
        <w:t>Definir monitoramento recorrente de controles, atualizações de vulnerabilidade/configuração, atualização de evidências, reporte, revisão de risco e interfaces com clientes/agências. Evidência: plano de monitoramento contínuo, entregas recorrentes, métricas, achados e registros de mudança.</w:t>
      </w:r>
    </w:p>
    <w:p>
      <w:pPr>
        <w:pStyle w:val="Heading2"/>
      </w:pPr>
      <w:r>
        <w:t>28. Mudanças significativas e gatilhos de reavaliação</w:t>
      </w:r>
    </w:p>
    <w:p>
      <w:pPr>
        <w:spacing w:after="120"/>
      </w:pPr>
      <w:r>
        <w:t>Definir gatilhos como mudanças de arquitetura, limite, identidade, criptografia, dados, hosting, versão principal, aquisição, incidente, fornecedor ou caminho de autorização. Evidência: avaliações de impacto e decisões de reautorização/reavaliação.</w:t>
      </w:r>
    </w:p>
    <w:p>
      <w:pPr>
        <w:pStyle w:val="Heading2"/>
      </w:pPr>
      <w:r>
        <w:t>29. Pontos de decisão da transição FedRAMP 20x / Rev. 5</w:t>
      </w:r>
    </w:p>
    <w:p>
      <w:pPr>
        <w:spacing w:after="120"/>
      </w:pPr>
      <w:r>
        <w:t>Manter registro datado da transição. Conforme a verificação de fonte controlada: 20x Fase 3 está ativa; Classe A abriu em 3 de agosto de 2026; pipelines Classe B/Classe C estão programados para 31 de agosto de 2026; novas certificações Rev. 5 têm meta de término em 11 de junho de 2027; e a adoção obrigatória de Consolidated Rules 2026 é indicada para 1º de janeiro de 2027, sujeita à aplicabilidade específica. Reverificar todas as datas antes do release e do uso operacional.</w:t>
      </w:r>
    </w:p>
    <w:p>
      <w:pPr>
        <w:pStyle w:val="Heading2"/>
      </w:pPr>
      <w:r>
        <w:t>30. Manutenção de certificação e autorização</w:t>
      </w:r>
    </w:p>
    <w:p>
      <w:pPr>
        <w:spacing w:after="120"/>
      </w:pPr>
      <w:r>
        <w:t>Acompanhar condições contínuas, status de Marketplace/programa quando aplicável, condições de autorização da agência, avaliações recorrentes, monitoramento, remediação e notificações de mudança. Evidência: calendário, entregas, decisões e registros de status. Não descrever manutenção de certificação como substituto da aceitação de risco pela agência.</w:t>
      </w:r>
    </w:p>
    <w:p>
      <w:pPr>
        <w:pStyle w:val="Heading2"/>
      </w:pPr>
      <w:r>
        <w:t>31. Controle de fontes, mudanças de política e datas de vigência</w:t>
      </w:r>
    </w:p>
    <w:p>
      <w:pPr>
        <w:spacing w:after="120"/>
      </w:pPr>
      <w:r>
        <w:t>Monitorar fontes oficiais FedRAMP, NIST, OMB, CISA, estatutárias e de agências relevantes. Registrar URL, data de publicação/vigência, aplicabilidade, impacto, responsável e mudanças requeridas. Mudanças materiais reabrem as revisões e gates afetados.</w:t>
      </w:r>
    </w:p>
    <w:p>
      <w:pPr>
        <w:pStyle w:val="Heading2"/>
      </w:pPr>
      <w:r>
        <w:t>32. Localização, QA renderizado, proveniência e controles de release</w:t>
      </w:r>
    </w:p>
    <w:p>
      <w:pPr>
        <w:spacing w:after="120"/>
      </w:pPr>
      <w:r>
        <w:t>Congelar a fonte inglesa exata antes das localizações es-419 e pt-BR. Preservar terminologia federal e distinguir localizações não oficiais do texto fonte autoritativo. Antes da publicação exigir estrutura/paridade, revisões humanas substantivas documentadas quando requeridas, inspeção renderizada/de páginas/acessibilidade, seis DOCX/PDF reproduzíveis, SHA-256 exatos, staging durável, segurança de workflow, QA do pacote, reverificação de fontes, publicação do predecessor e reconciliação de catálogo/registro.</w:t>
      </w:r>
    </w:p>
    <w:p>
      <w:pPr>
        <w:pStyle w:val="Heading2"/>
      </w:pPr>
      <w:r>
        <w:t>Limite de release controlado</w:t>
      </w:r>
    </w:p>
    <w:p>
      <w:pPr>
        <w:spacing w:after="120"/>
      </w:pPr>
      <w:r>
        <w:t>Este master localizado em desenvolvimento não é certificação FedRAMP, autorização de agência, atestação FISMA, determinação legal nem declaração de publicação. O release permanece fail-closed sob os controles do repositório e a ordem sequencial de publicação.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