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20 — CIS Controls v8.1 Controlled Implementation</w:t>
      </w:r>
    </w:p>
    <w:p>
      <w:r>
        <w:rPr>
          <w:b/>
        </w:rPr>
        <w:t>Controlled English master — development</w:t>
      </w:r>
    </w:p>
    <w:p>
      <w:pPr>
        <w:spacing w:after="120"/>
      </w:pPr>
      <w:r>
        <w:t>**Series order:** 20</w:t>
      </w:r>
    </w:p>
    <w:p>
      <w:pPr>
        <w:spacing w:after="120"/>
      </w:pPr>
      <w:r>
        <w:t>**Boundary:** Implementation guidance derived from current CIS Controls v8.1 concepts without reproducing protected CIS text. Keep CIS Controls, Safeguards, Implementation Groups, CIS Benchmarks, framework mappings, and organization-specific procedures distinct. Do not imply CIS certification or endorsement.</w:t>
      </w:r>
    </w:p>
    <w:p>
      <w:pPr>
        <w:pStyle w:val="Heading2"/>
      </w:pPr>
      <w:r>
        <w:t>1. Purpose, scope, and source boundaries</w:t>
      </w:r>
    </w:p>
    <w:p>
      <w:pPr>
        <w:spacing w:after="120"/>
      </w:pPr>
      <w:r>
        <w:t>Define organizational scope, security objectives, authoritative CIS source references, licensing/copyright constraints, and intended use. Evidence: scope statement, source register, governance approval.</w:t>
      </w:r>
    </w:p>
    <w:p>
      <w:pPr>
        <w:pStyle w:val="Heading2"/>
      </w:pPr>
      <w:r>
        <w:t>2. Governance and applicability</w:t>
      </w:r>
    </w:p>
    <w:p>
      <w:pPr>
        <w:spacing w:after="120"/>
      </w:pPr>
      <w:r>
        <w:t>Establish executive ownership, security governance, policy hierarchy, accountability, and applicability criteria. Evidence: charter, RACI, policy register, decision records.</w:t>
      </w:r>
    </w:p>
    <w:p>
      <w:pPr>
        <w:pStyle w:val="Heading2"/>
      </w:pPr>
      <w:r>
        <w:t>3. Implementation Group selection</w:t>
      </w:r>
    </w:p>
    <w:p>
      <w:pPr>
        <w:spacing w:after="120"/>
      </w:pPr>
      <w:r>
        <w:t>Select and justify the applicable Implementation Group posture using organizational risk, resources, threat exposure, data, mission, and operating complexity. Evidence: IG decision memo and reassessment triggers.</w:t>
      </w:r>
    </w:p>
    <w:p>
      <w:pPr>
        <w:pStyle w:val="Heading2"/>
      </w:pPr>
      <w:r>
        <w:t>4. Enterprise asset inventory</w:t>
      </w:r>
    </w:p>
    <w:p>
      <w:pPr>
        <w:spacing w:after="120"/>
      </w:pPr>
      <w:r>
        <w:t>Maintain authoritative inventories of enterprise assets, ownership, network identity, criticality, lifecycle state, and approved status. Reconcile discovery outputs and investigate unmanaged assets.</w:t>
      </w:r>
    </w:p>
    <w:p>
      <w:pPr>
        <w:pStyle w:val="Heading2"/>
      </w:pPr>
      <w:r>
        <w:t>5. Software inventory and lifecycle</w:t>
      </w:r>
    </w:p>
    <w:p>
      <w:pPr>
        <w:spacing w:after="120"/>
      </w:pPr>
      <w:r>
        <w:t>Maintain authorized software inventories, versions, ownership, support state, business purpose, and removal processes. Evidence: software register, discovery reconciliation, unsupported-software remediation.</w:t>
      </w:r>
    </w:p>
    <w:p>
      <w:pPr>
        <w:pStyle w:val="Heading2"/>
      </w:pPr>
      <w:r>
        <w:t>6. Data protection and classification</w:t>
      </w:r>
    </w:p>
    <w:p>
      <w:pPr>
        <w:spacing w:after="120"/>
      </w:pPr>
      <w:r>
        <w:t>Inventory and classify data, define handling requirements, minimize exposure, protect storage/transmission, and govern retention/disposal. Evidence: data inventory, classifications, DLP/encryption records, disposal evidence.</w:t>
      </w:r>
    </w:p>
    <w:p>
      <w:pPr>
        <w:pStyle w:val="Heading2"/>
      </w:pPr>
      <w:r>
        <w:t>7. Secure configuration governance</w:t>
      </w:r>
    </w:p>
    <w:p>
      <w:pPr>
        <w:spacing w:after="120"/>
      </w:pPr>
      <w:r>
        <w:t>Define approved secure configurations for enterprise assets and software, configuration ownership, deployment, drift monitoring, exceptions, and remediation. Distinguish CIS Benchmarks from CIS Controls requirements/concepts.</w:t>
      </w:r>
    </w:p>
    <w:p>
      <w:pPr>
        <w:pStyle w:val="Heading2"/>
      </w:pPr>
      <w:r>
        <w:t>8. Account management</w:t>
      </w:r>
    </w:p>
    <w:p>
      <w:pPr>
        <w:spacing w:after="120"/>
      </w:pPr>
      <w:r>
        <w:t>Govern creation, modification, disabling, deletion, ownership, service accounts, dormant accounts, and account inventories. Evidence: IAM records, reviews, deprovisioning samples.</w:t>
      </w:r>
    </w:p>
    <w:p>
      <w:pPr>
        <w:pStyle w:val="Heading2"/>
      </w:pPr>
      <w:r>
        <w:t>9. Access-control management</w:t>
      </w:r>
    </w:p>
    <w:p>
      <w:pPr>
        <w:spacing w:after="120"/>
      </w:pPr>
      <w:r>
        <w:t>Apply least privilege, role-based/attribute-based access, MFA where appropriate, periodic access review, remote-access controls, and segregation of duties. Evidence: access matrix, approvals, review outputs.</w:t>
      </w:r>
    </w:p>
    <w:p>
      <w:pPr>
        <w:pStyle w:val="Heading2"/>
      </w:pPr>
      <w:r>
        <w:t>10. Vulnerability management</w:t>
      </w:r>
    </w:p>
    <w:p>
      <w:pPr>
        <w:spacing w:after="120"/>
      </w:pPr>
      <w:r>
        <w:t>Define vulnerability discovery, prioritization, remediation, exceptions, validation, and metrics. Evidence: scanner coverage, findings, tickets, retests, risk acceptances.</w:t>
      </w:r>
    </w:p>
    <w:p>
      <w:pPr>
        <w:pStyle w:val="Heading2"/>
      </w:pPr>
      <w:r>
        <w:t>11. Audit-log management</w:t>
      </w:r>
    </w:p>
    <w:p>
      <w:pPr>
        <w:spacing w:after="120"/>
      </w:pPr>
      <w:r>
        <w:t>Define required log sources, collection, time synchronization, retention, access protection, review, and alerting. Evidence: logging standard, SIEM coverage, retention settings, review records.</w:t>
      </w:r>
    </w:p>
    <w:p>
      <w:pPr>
        <w:pStyle w:val="Heading2"/>
      </w:pPr>
      <w:r>
        <w:t>12. Email and web-browser protections</w:t>
      </w:r>
    </w:p>
    <w:p>
      <w:pPr>
        <w:spacing w:after="120"/>
      </w:pPr>
      <w:r>
        <w:t>Apply secure configuration, filtering, malicious-content controls, extension governance, domain protections, and user safeguards. Evidence: configurations, gateway records, allowed-extension lists, test results.</w:t>
      </w:r>
    </w:p>
    <w:p>
      <w:pPr>
        <w:pStyle w:val="Heading2"/>
      </w:pPr>
      <w:r>
        <w:t>13. Malware defenses</w:t>
      </w:r>
    </w:p>
    <w:p>
      <w:pPr>
        <w:spacing w:after="120"/>
      </w:pPr>
      <w:r>
        <w:t>Deploy and monitor anti-malware/endpoint protections, behavioral controls, update health, removable-media rules, and response processes. Evidence: coverage dashboards, alerts, isolation/remediation records.</w:t>
      </w:r>
    </w:p>
    <w:p>
      <w:pPr>
        <w:pStyle w:val="Heading2"/>
      </w:pPr>
      <w:r>
        <w:t>14. Data recovery controls</w:t>
      </w:r>
    </w:p>
    <w:p>
      <w:pPr>
        <w:spacing w:after="120"/>
      </w:pPr>
      <w:r>
        <w:t>Maintain protected backups, recovery points, offline/immutable protections where appropriate, restoration testing, access controls, and recovery objectives. Evidence: backup reports and restore-test results.</w:t>
      </w:r>
    </w:p>
    <w:p>
      <w:pPr>
        <w:pStyle w:val="Heading2"/>
      </w:pPr>
      <w:r>
        <w:t>15. Network infrastructure management</w:t>
      </w:r>
    </w:p>
    <w:p>
      <w:pPr>
        <w:spacing w:after="120"/>
      </w:pPr>
      <w:r>
        <w:t>Inventory and securely manage network devices, configurations, administrative interfaces, lifecycle, segmentation, and change control. Evidence: network inventory, configs, change records, review results.</w:t>
      </w:r>
    </w:p>
    <w:p>
      <w:pPr>
        <w:pStyle w:val="Heading2"/>
      </w:pPr>
      <w:r>
        <w:t>16. Network monitoring and defense</w:t>
      </w:r>
    </w:p>
    <w:p>
      <w:pPr>
        <w:spacing w:after="120"/>
      </w:pPr>
      <w:r>
        <w:t>Deploy monitoring, detection, filtering, segmentation, traffic analysis, and response capabilities proportionate to risk. Evidence: sensor coverage, alerts, firewall/network rules, investigation records.</w:t>
      </w:r>
    </w:p>
    <w:p>
      <w:pPr>
        <w:pStyle w:val="Heading2"/>
      </w:pPr>
      <w:r>
        <w:t>17. Security awareness and skills training</w:t>
      </w:r>
    </w:p>
    <w:p>
      <w:pPr>
        <w:spacing w:after="120"/>
      </w:pPr>
      <w:r>
        <w:t>Provide baseline and role-specific education covering current threats, reporting, data handling, authentication, engineering, administration, and incident roles. Evidence: curricula, completion, exercises, effectiveness metrics.</w:t>
      </w:r>
    </w:p>
    <w:p>
      <w:pPr>
        <w:pStyle w:val="Heading2"/>
      </w:pPr>
      <w:r>
        <w:t>18. Service-provider management</w:t>
      </w:r>
    </w:p>
    <w:p>
      <w:pPr>
        <w:spacing w:after="120"/>
      </w:pPr>
      <w:r>
        <w:t>Inventory service providers, assess risk, define contractual/security expectations, monitor performance, track incidents, and govern termination. Evidence: vendor register, assessments, agreements, monitoring records.</w:t>
      </w:r>
    </w:p>
    <w:p>
      <w:pPr>
        <w:pStyle w:val="Heading2"/>
      </w:pPr>
      <w:r>
        <w:t>19. Application-software security</w:t>
      </w:r>
    </w:p>
    <w:p>
      <w:pPr>
        <w:spacing w:after="120"/>
      </w:pPr>
      <w:r>
        <w:t>Integrate secure requirements, threat modeling, code review, dependency management, secrets handling, testing, release gates, and vulnerability remediation into the SDLC. Evidence: pipeline outputs, findings, approvals.</w:t>
      </w:r>
    </w:p>
    <w:p>
      <w:pPr>
        <w:pStyle w:val="Heading2"/>
      </w:pPr>
      <w:r>
        <w:t>20. Incident response management</w:t>
      </w:r>
    </w:p>
    <w:p>
      <w:pPr>
        <w:spacing w:after="120"/>
      </w:pPr>
      <w:r>
        <w:t>Maintain incident roles, communications, detection, triage, containment, eradication, recovery, evidence preservation, exercises, and lessons learned. Evidence: IR plan, incidents, tabletop records, improvements.</w:t>
      </w:r>
    </w:p>
    <w:p>
      <w:pPr>
        <w:pStyle w:val="Heading2"/>
      </w:pPr>
      <w:r>
        <w:t>21. Penetration-testing governance</w:t>
      </w:r>
    </w:p>
    <w:p>
      <w:pPr>
        <w:spacing w:after="120"/>
      </w:pPr>
      <w:r>
        <w:t>Define scope, competence/independence, rules of engagement, testing frequency, findings, remediation, and retesting. Evidence: test plans, reports, remediation records. Penetration testing does not replace broader control verification.</w:t>
      </w:r>
    </w:p>
    <w:p>
      <w:pPr>
        <w:pStyle w:val="Heading2"/>
      </w:pPr>
      <w:r>
        <w:t>22. Cloud and shared-responsibility adaptation</w:t>
      </w:r>
    </w:p>
    <w:p>
      <w:pPr>
        <w:spacing w:after="120"/>
      </w:pPr>
      <w:r>
        <w:t>Map safeguards across IaaS/PaaS/SaaS provider and customer responsibilities. Evidence: responsibility matrices, cloud configuration evidence, provider assurance, unresolved-gap tracking.</w:t>
      </w:r>
    </w:p>
    <w:p>
      <w:pPr>
        <w:pStyle w:val="Heading2"/>
      </w:pPr>
      <w:r>
        <w:t>23. Endpoint, mobile, IoT, and remote-work adaptation</w:t>
      </w:r>
    </w:p>
    <w:p>
      <w:pPr>
        <w:spacing w:after="120"/>
      </w:pPr>
      <w:r>
        <w:t>Define inventory, configuration, authentication, encryption, update, network, monitoring, and loss/compromise controls for distributed assets. Evidence: MDM/EDR coverage, device records, exception handling.</w:t>
      </w:r>
    </w:p>
    <w:p>
      <w:pPr>
        <w:pStyle w:val="Heading2"/>
      </w:pPr>
      <w:r>
        <w:t>24. Safeguard-to-evidence architecture</w:t>
      </w:r>
    </w:p>
    <w:p>
      <w:pPr>
        <w:spacing w:after="120"/>
      </w:pPr>
      <w:r>
        <w:t>For each implemented safeguard concept, record owner, procedure, trigger/frequency, evidence object, evidence location, test method, findings, remediation, and reassessment trigger. Evidence must support reconstruction of operation.</w:t>
      </w:r>
    </w:p>
    <w:p>
      <w:pPr>
        <w:pStyle w:val="Heading2"/>
      </w:pPr>
      <w:r>
        <w:t>25. Control ownership, RACI, and cadence</w:t>
      </w:r>
    </w:p>
    <w:p>
      <w:pPr>
        <w:spacing w:after="120"/>
      </w:pPr>
      <w:r>
        <w:t>Assign accountable and responsible roles, escalation paths, review cadence, deputies, and cross-functional interfaces. Test that ownership is operational, not merely documented.</w:t>
      </w:r>
    </w:p>
    <w:p>
      <w:pPr>
        <w:pStyle w:val="Heading2"/>
      </w:pPr>
      <w:r>
        <w:t>26. Exceptions and compensating safeguards</w:t>
      </w:r>
    </w:p>
    <w:p>
      <w:pPr>
        <w:spacing w:after="120"/>
      </w:pPr>
      <w:r>
        <w:t>Use controlled exceptions with rationale, risk, compensating safeguards, approver, expiration, remediation target, and periodic review. Evidence: exception register and closure records.</w:t>
      </w:r>
    </w:p>
    <w:p>
      <w:pPr>
        <w:pStyle w:val="Heading2"/>
      </w:pPr>
      <w:r>
        <w:t>27. Measurement, metrics, and maturity</w:t>
      </w:r>
    </w:p>
    <w:p>
      <w:pPr>
        <w:spacing w:after="120"/>
      </w:pPr>
      <w:r>
        <w:t>Define coverage, timeliness, effectiveness, exception, recurrence, and risk indicators. Use metrics to drive decisions without replacing qualitative risk judgment. Evidence: dashboards, trends, management actions.</w:t>
      </w:r>
    </w:p>
    <w:p>
      <w:pPr>
        <w:pStyle w:val="Heading2"/>
      </w:pPr>
      <w:r>
        <w:t>28. Implementation Group progression</w:t>
      </w:r>
    </w:p>
    <w:p>
      <w:pPr>
        <w:spacing w:after="120"/>
      </w:pPr>
      <w:r>
        <w:t>Plan movement between IG postures based on risk, capability, dependencies, and resources. Record prerequisite gaps and sequencing. Evidence: roadmap, milestone evidence, reassessment decisions.</w:t>
      </w:r>
    </w:p>
    <w:p>
      <w:pPr>
        <w:pStyle w:val="Heading2"/>
      </w:pPr>
      <w:r>
        <w:t>29. NIST CSF 2.0 and framework crosswalk governance</w:t>
      </w:r>
    </w:p>
    <w:p>
      <w:pPr>
        <w:spacing w:after="120"/>
      </w:pPr>
      <w:r>
        <w:t>Use crosswalks as mapping aids, not equivalence claims. Maintain source/version identity and mapping rationale. Evidence: controlled crosswalk, reviewer/date, unresolved mapping ambiguity.</w:t>
      </w:r>
    </w:p>
    <w:p>
      <w:pPr>
        <w:pStyle w:val="Heading2"/>
      </w:pPr>
      <w:r>
        <w:t>30. Source change and version migration</w:t>
      </w:r>
    </w:p>
    <w:p>
      <w:pPr>
        <w:spacing w:after="120"/>
      </w:pPr>
      <w:r>
        <w:t>Monitor official CIS release/version changes, change logs, licensing terms, mappings, and Implementation Group guidance. Record impact and migration decisions; material changes reopen affected gates.</w:t>
      </w:r>
    </w:p>
    <w:p>
      <w:pPr>
        <w:pStyle w:val="Heading2"/>
      </w:pPr>
      <w:r>
        <w:t>31. Assessment and audit readiness</w:t>
      </w:r>
    </w:p>
    <w:p>
      <w:pPr>
        <w:spacing w:after="120"/>
      </w:pPr>
      <w:r>
        <w:t>Define assessment scope, evidence sampling, control testing, workpapers, findings, remediation, and independent-verification boundaries. Automation may collect evidence but must not replace human judgment explicitly required by the assessment context.</w:t>
      </w:r>
    </w:p>
    <w:p>
      <w:pPr>
        <w:pStyle w:val="Heading2"/>
      </w:pPr>
      <w:r>
        <w:t>32. Localization, rendered QA, provenance, and release controls</w:t>
      </w:r>
    </w:p>
    <w:p>
      <w:pPr>
        <w:spacing w:after="120"/>
      </w:pPr>
      <w:r>
        <w:t>Freeze exact English before es-419 and pt-BR localization. Preserve CIS terminology while marking project translations as unofficial. Require trilingual parity, documented genuine-human substantive review where explicitly required, rendered/page/accessibility QA, reproducible six-binary DOCX/PDF generation, exact SHA-256 provenance, workflow security, durable staging, predecessor publication, and catalog/release-registry reconciliation.</w:t>
      </w:r>
    </w:p>
    <w:p>
      <w:pPr>
        <w:pStyle w:val="Heading2"/>
      </w:pPr>
      <w:r>
        <w:t>Controlled release boundary</w:t>
      </w:r>
    </w:p>
    <w:p>
      <w:pPr>
        <w:spacing w:after="120"/>
      </w:pPr>
      <w:r>
        <w:t>This development master does not establish certification, endorsement, legal compliance, audit assurance, or publication eligibility. Release remains sequential and fail-closed under repository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