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25 — ISO 22301 Business Continuity Management Controlled Implementation</w:t>
      </w:r>
    </w:p>
    <w:p>
      <w:pPr>
        <w:pStyle w:val="Heading2"/>
      </w:pPr>
      <w:r>
        <w:t>01. Purpose, scope, and controlled-use boundary</w:t>
      </w:r>
    </w:p>
    <w:p>
      <w:pPr>
        <w:spacing w:after="120"/>
      </w:pPr>
      <w:r>
        <w:t>Establish a practical BCMS implementation model without reproducing ISO normative text or implying certification, legal compliance, or audit opinion.</w:t>
      </w:r>
    </w:p>
    <w:p>
      <w:pPr>
        <w:pStyle w:val="Heading2"/>
      </w:pPr>
      <w:r>
        <w:t>02. Source hierarchy and version control</w:t>
      </w:r>
    </w:p>
    <w:p>
      <w:pPr>
        <w:spacing w:after="120"/>
      </w:pPr>
      <w:r>
        <w:t>Maintain a source register separating ISO 22301:2019, Amendment 1:2024, ISO 22313 guidance, internal policy, contractual requirements, regulatory overlays, and change-watch material.</w:t>
      </w:r>
    </w:p>
    <w:p>
      <w:pPr>
        <w:pStyle w:val="Heading2"/>
      </w:pPr>
      <w:r>
        <w:t>03. Organizational context</w:t>
      </w:r>
    </w:p>
    <w:p>
      <w:pPr>
        <w:spacing w:after="120"/>
      </w:pPr>
      <w:r>
        <w:t>Identify internal and external issues affecting continuity capability, including dependencies, operating environment, stakeholders, climate-related context where relevant, and strategic constraints.</w:t>
      </w:r>
    </w:p>
    <w:p>
      <w:pPr>
        <w:pStyle w:val="Heading2"/>
      </w:pPr>
      <w:r>
        <w:t>04. Interested parties and obligations</w:t>
      </w:r>
    </w:p>
    <w:p>
      <w:pPr>
        <w:spacing w:after="120"/>
      </w:pPr>
      <w:r>
        <w:t>Maintain a controlled inventory of customer, regulatory, contractual, workforce, supplier, and public-sector continuity expectations with owners and evidence.</w:t>
      </w:r>
    </w:p>
    <w:p>
      <w:pPr>
        <w:pStyle w:val="Heading2"/>
      </w:pPr>
      <w:r>
        <w:t>05. BCMS scope and boundaries</w:t>
      </w:r>
    </w:p>
    <w:p>
      <w:pPr>
        <w:spacing w:after="120"/>
      </w:pPr>
      <w:r>
        <w:t>Define organizational units, services, sites, technologies, suppliers, data, facilities, and exclusions within the BCMS boundary.</w:t>
      </w:r>
    </w:p>
    <w:p>
      <w:pPr>
        <w:pStyle w:val="Heading2"/>
      </w:pPr>
      <w:r>
        <w:t>06. Leadership and accountability</w:t>
      </w:r>
    </w:p>
    <w:p>
      <w:pPr>
        <w:spacing w:after="120"/>
      </w:pPr>
      <w:r>
        <w:t>Assign executive sponsorship, policy ownership, decision rights, escalation authority, funding responsibility, and evidence accountability.</w:t>
      </w:r>
    </w:p>
    <w:p>
      <w:pPr>
        <w:pStyle w:val="Heading2"/>
      </w:pPr>
      <w:r>
        <w:t>07. Business continuity policy</w:t>
      </w:r>
    </w:p>
    <w:p>
      <w:pPr>
        <w:spacing w:after="120"/>
      </w:pPr>
      <w:r>
        <w:t>Maintain an approved policy aligned to organizational objectives, scope, obligations, resilience expectations, and continual-improvement commitments.</w:t>
      </w:r>
    </w:p>
    <w:p>
      <w:pPr>
        <w:pStyle w:val="Heading2"/>
      </w:pPr>
      <w:r>
        <w:t>08. Roles, responsibilities, and competence</w:t>
      </w:r>
    </w:p>
    <w:p>
      <w:pPr>
        <w:spacing w:after="120"/>
      </w:pPr>
      <w:r>
        <w:t>Define accountable roles for business continuity, crisis leadership, service owners, technology recovery, facilities, communications, legal, HR, procurement, and assurance.</w:t>
      </w:r>
    </w:p>
    <w:p>
      <w:pPr>
        <w:pStyle w:val="Heading2"/>
      </w:pPr>
      <w:r>
        <w:t>09. Planning for risks and opportunities</w:t>
      </w:r>
    </w:p>
    <w:p>
      <w:pPr>
        <w:spacing w:after="120"/>
      </w:pPr>
      <w:r>
        <w:t>Identify BCMS-level risks and opportunities that could affect the management system's intended outcomes and define tracked treatments.</w:t>
      </w:r>
    </w:p>
    <w:p>
      <w:pPr>
        <w:pStyle w:val="Heading2"/>
      </w:pPr>
      <w:r>
        <w:t>10. Business impact analysis governance</w:t>
      </w:r>
    </w:p>
    <w:p>
      <w:pPr>
        <w:spacing w:after="120"/>
      </w:pPr>
      <w:r>
        <w:t>Establish BIA methodology, review cadence, data quality controls, approval authority, and linkage to service inventories and recovery strategies.</w:t>
      </w:r>
    </w:p>
    <w:p>
      <w:pPr>
        <w:pStyle w:val="Heading2"/>
      </w:pPr>
      <w:r>
        <w:t>11. Critical products and services</w:t>
      </w:r>
    </w:p>
    <w:p>
      <w:pPr>
        <w:spacing w:after="120"/>
      </w:pPr>
      <w:r>
        <w:t>Identify priority products, services, activities, and value streams, including acceptable outage tolerances and stakeholder impacts.</w:t>
      </w:r>
    </w:p>
    <w:p>
      <w:pPr>
        <w:pStyle w:val="Heading2"/>
      </w:pPr>
      <w:r>
        <w:t>12. Impact criteria and time dimensions</w:t>
      </w:r>
    </w:p>
    <w:p>
      <w:pPr>
        <w:spacing w:after="120"/>
      </w:pPr>
      <w:r>
        <w:t>Define financial, legal, safety, customer, operational, regulatory, reputational, and mission impact criteria across time-based disruption intervals.</w:t>
      </w:r>
    </w:p>
    <w:p>
      <w:pPr>
        <w:pStyle w:val="Heading2"/>
      </w:pPr>
      <w:r>
        <w:t>13. Dependencies and resource requirements</w:t>
      </w:r>
    </w:p>
    <w:p>
      <w:pPr>
        <w:spacing w:after="120"/>
      </w:pPr>
      <w:r>
        <w:t>Map people, facilities, technology, data, utilities, suppliers, logistics, communications, and specialist dependencies needed for prioritized activities.</w:t>
      </w:r>
    </w:p>
    <w:p>
      <w:pPr>
        <w:pStyle w:val="Heading2"/>
      </w:pPr>
      <w:r>
        <w:t>14. Risk assessment for disruption</w:t>
      </w:r>
    </w:p>
    <w:p>
      <w:pPr>
        <w:spacing w:after="120"/>
      </w:pPr>
      <w:r>
        <w:t>Assess disruption scenarios, vulnerabilities, single points of failure, concentration risk, geographic exposure, cyber/physical dependencies, and cascading effects.</w:t>
      </w:r>
    </w:p>
    <w:p>
      <w:pPr>
        <w:pStyle w:val="Heading2"/>
      </w:pPr>
      <w:r>
        <w:t>15. Continuity strategy selection</w:t>
      </w:r>
    </w:p>
    <w:p>
      <w:pPr>
        <w:spacing w:after="120"/>
      </w:pPr>
      <w:r>
        <w:t>Select proportionate strategies based on BIA and risk results, balancing resilience, recovery capability, cost, complexity, and residual risk.</w:t>
      </w:r>
    </w:p>
    <w:p>
      <w:pPr>
        <w:pStyle w:val="Heading2"/>
      </w:pPr>
      <w:r>
        <w:t>16. People and workforce continuity</w:t>
      </w:r>
    </w:p>
    <w:p>
      <w:pPr>
        <w:spacing w:after="120"/>
      </w:pPr>
      <w:r>
        <w:t>Define staffing alternatives, succession, cross-training, remote-work capability, welfare, travel, access, safety, and workforce communication controls.</w:t>
      </w:r>
    </w:p>
    <w:p>
      <w:pPr>
        <w:pStyle w:val="Heading2"/>
      </w:pPr>
      <w:r>
        <w:t>17. Facilities and physical resilience</w:t>
      </w:r>
    </w:p>
    <w:p>
      <w:pPr>
        <w:spacing w:after="120"/>
      </w:pPr>
      <w:r>
        <w:t>Address alternate workspace, utilities, environmental controls, physical security, site access, geographic diversification, and facility recovery dependencies.</w:t>
      </w:r>
    </w:p>
    <w:p>
      <w:pPr>
        <w:pStyle w:val="Heading2"/>
      </w:pPr>
      <w:r>
        <w:t>18. Technology and cyber recovery integration</w:t>
      </w:r>
    </w:p>
    <w:p>
      <w:pPr>
        <w:spacing w:after="120"/>
      </w:pPr>
      <w:r>
        <w:t>Integrate BCMS objectives with disaster recovery, backup, restoration, cyber incident response, identity recovery, infrastructure resilience, and application dependencies.</w:t>
      </w:r>
    </w:p>
    <w:p>
      <w:pPr>
        <w:pStyle w:val="Heading2"/>
      </w:pPr>
      <w:r>
        <w:t>19. Information and data continuity</w:t>
      </w:r>
    </w:p>
    <w:p>
      <w:pPr>
        <w:spacing w:after="120"/>
      </w:pPr>
      <w:r>
        <w:t>Protect availability, integrity, recoverability, retention, confidentiality, and controlled access to information required during disruption and recovery.</w:t>
      </w:r>
    </w:p>
    <w:p>
      <w:pPr>
        <w:pStyle w:val="Heading2"/>
      </w:pPr>
      <w:r>
        <w:t>20. Third-party and supply-chain continuity</w:t>
      </w:r>
    </w:p>
    <w:p>
      <w:pPr>
        <w:spacing w:after="120"/>
      </w:pPr>
      <w:r>
        <w:t>Define supplier continuity requirements, due diligence, evidence, concentration-risk review, alternate sourcing, escalation, contract clauses, and reassessment.</w:t>
      </w:r>
    </w:p>
    <w:p>
      <w:pPr>
        <w:pStyle w:val="Heading2"/>
      </w:pPr>
      <w:r>
        <w:t>21. Crisis management structure</w:t>
      </w:r>
    </w:p>
    <w:p>
      <w:pPr>
        <w:spacing w:after="120"/>
      </w:pPr>
      <w:r>
        <w:t>Define strategic, tactical, and operational crisis roles, activation criteria, command structure, decision logging, handoffs, and executive escalation.</w:t>
      </w:r>
    </w:p>
    <w:p>
      <w:pPr>
        <w:pStyle w:val="Heading2"/>
      </w:pPr>
      <w:r>
        <w:t>22. Incident and continuity response procedures</w:t>
      </w:r>
    </w:p>
    <w:p>
      <w:pPr>
        <w:spacing w:after="120"/>
      </w:pPr>
      <w:r>
        <w:t>Maintain usable procedures for activation, stabilization, continuity, recovery, escalation, resource coordination, and stand-down.</w:t>
      </w:r>
    </w:p>
    <w:p>
      <w:pPr>
        <w:pStyle w:val="Heading2"/>
      </w:pPr>
      <w:r>
        <w:t>23. Communications and stakeholder management</w:t>
      </w:r>
    </w:p>
    <w:p>
      <w:pPr>
        <w:spacing w:after="120"/>
      </w:pPr>
      <w:r>
        <w:t>Define internal and external communications, spokesperson authority, message approval, regulator/customer notifications, contact maintenance, and rumor control.</w:t>
      </w:r>
    </w:p>
    <w:p>
      <w:pPr>
        <w:pStyle w:val="Heading2"/>
      </w:pPr>
      <w:r>
        <w:t>24. Recovery objectives and restoration priorities</w:t>
      </w:r>
    </w:p>
    <w:p>
      <w:pPr>
        <w:spacing w:after="120"/>
      </w:pPr>
      <w:r>
        <w:t>Translate approved business tolerances into operational recovery objectives, sequencing, minimum resource needs, and validated service restoration priorities.</w:t>
      </w:r>
    </w:p>
    <w:p>
      <w:pPr>
        <w:pStyle w:val="Heading2"/>
      </w:pPr>
      <w:r>
        <w:t>25. Plan documentation and accessibility</w:t>
      </w:r>
    </w:p>
    <w:p>
      <w:pPr>
        <w:spacing w:after="120"/>
      </w:pPr>
      <w:r>
        <w:t>Ensure plans are current, controlled, available under degraded conditions, appropriately protected, versioned, and understandable to intended users.</w:t>
      </w:r>
    </w:p>
    <w:p>
      <w:pPr>
        <w:pStyle w:val="Heading2"/>
      </w:pPr>
      <w:r>
        <w:t>26. Training and awareness</w:t>
      </w:r>
    </w:p>
    <w:p>
      <w:pPr>
        <w:spacing w:after="120"/>
      </w:pPr>
      <w:r>
        <w:t>Implement role-based awareness, competence development, onboarding, refresher training, crisis-leadership preparation, and evidence of completion.</w:t>
      </w:r>
    </w:p>
    <w:p>
      <w:pPr>
        <w:pStyle w:val="Heading2"/>
      </w:pPr>
      <w:r>
        <w:t>27. Exercise and testing program</w:t>
      </w:r>
    </w:p>
    <w:p>
      <w:pPr>
        <w:spacing w:after="120"/>
      </w:pPr>
      <w:r>
        <w:t>Maintain a risk-based exercise program using walkthroughs, simulations, technical recovery tests, supplier exercises, crisis exercises, and integrated scenarios.</w:t>
      </w:r>
    </w:p>
    <w:p>
      <w:pPr>
        <w:pStyle w:val="Heading2"/>
      </w:pPr>
      <w:r>
        <w:t>28. Exercise findings and remediation</w:t>
      </w:r>
    </w:p>
    <w:p>
      <w:pPr>
        <w:spacing w:after="120"/>
      </w:pPr>
      <w:r>
        <w:t>Record observations, root causes, action owners, due dates, residual risk, retest requirements, and closure evidence for exercise and incident findings.</w:t>
      </w:r>
    </w:p>
    <w:p>
      <w:pPr>
        <w:pStyle w:val="Heading2"/>
      </w:pPr>
      <w:r>
        <w:t>29. Monitoring, measurement, and metrics</w:t>
      </w:r>
    </w:p>
    <w:p>
      <w:pPr>
        <w:spacing w:after="120"/>
      </w:pPr>
      <w:r>
        <w:t>Define BCMS indicators for readiness, plan currency, recovery performance, exercise effectiveness, supplier resilience, issue aging, and objective achievement.</w:t>
      </w:r>
    </w:p>
    <w:p>
      <w:pPr>
        <w:pStyle w:val="Heading2"/>
      </w:pPr>
      <w:r>
        <w:t>30. Internal audit and assurance</w:t>
      </w:r>
    </w:p>
    <w:p>
      <w:pPr>
        <w:spacing w:after="120"/>
      </w:pPr>
      <w:r>
        <w:t>Plan independent, evidence-based assurance over BCMS design and operation, preserving auditor competence, scope, sampling, findings, and follow-up boundaries.</w:t>
      </w:r>
    </w:p>
    <w:p>
      <w:pPr>
        <w:pStyle w:val="Heading2"/>
      </w:pPr>
      <w:r>
        <w:t>31. Management review and continual improvement</w:t>
      </w:r>
    </w:p>
    <w:p>
      <w:pPr>
        <w:spacing w:after="120"/>
      </w:pPr>
      <w:r>
        <w:t>Provide leadership with evidence on performance, changes, incidents, exercises, audit results, risks, resources, objectives, and improvement actions.</w:t>
      </w:r>
    </w:p>
    <w:p>
      <w:pPr>
        <w:pStyle w:val="Heading2"/>
      </w:pPr>
      <w:r>
        <w:t>32. Release, evidence, and implementation roadmap</w:t>
      </w:r>
    </w:p>
    <w:p>
      <w:pPr>
        <w:spacing w:after="120"/>
      </w:pPr>
      <w:r>
        <w:t>Package an Essential / Structured / Enhanced implementation roadmap with source verification, control/evidence mapping, issue tracking, localization, accessibility, provenance, checksum, workflow-security, and release gates. Recheck ISO source status immediately before publication and treat ISO/CD 22301 as non-normative change-watch unless and until formally published.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