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25 — Implementação Controlada de Gestão de Continuidade de Negócios ISO 22301</w:t>
      </w:r>
    </w:p>
    <w:p>
      <w:r>
        <w:rPr>
          <w:b/>
        </w:rPr>
        <w:t>Tradução de projeto pt-BR — não oficial.</w:t>
      </w:r>
    </w:p>
    <w:p>
      <w:pPr>
        <w:pStyle w:val="Heading2"/>
      </w:pPr>
      <w:r>
        <w:t>01. Propósito, escopo e limite de uso controlado</w:t>
      </w:r>
    </w:p>
    <w:p>
      <w:pPr>
        <w:spacing w:after="120"/>
      </w:pPr>
      <w:r>
        <w:t>Estabeleça um modelo prático de implementação do SGCN sem reproduzir texto normativo da ISO nem implicar certificação, conformidade legal ou opinião de auditoria.</w:t>
      </w:r>
    </w:p>
    <w:p>
      <w:pPr>
        <w:pStyle w:val="Heading2"/>
      </w:pPr>
      <w:r>
        <w:t>02. Hierarquia de fontes e controle de versões</w:t>
      </w:r>
    </w:p>
    <w:p>
      <w:pPr>
        <w:spacing w:after="120"/>
      </w:pPr>
      <w:r>
        <w:t>Mantenha um registro de fontes que separe ISO 22301:2019, Emenda 1:2024, orientação ISO 22313, política interna, requisitos contratuais, sobreposições regulatórias e material de acompanhamento de mudanças.</w:t>
      </w:r>
    </w:p>
    <w:p>
      <w:pPr>
        <w:pStyle w:val="Heading2"/>
      </w:pPr>
      <w:r>
        <w:t>03. Contexto da organização</w:t>
      </w:r>
    </w:p>
    <w:p>
      <w:pPr>
        <w:spacing w:after="120"/>
      </w:pPr>
      <w:r>
        <w:t>Identifique questões internas e externas que afetem a capacidade de continuidade, incluindo dependências, ambiente operacional, partes interessadas, contexto relacionado ao clima quando relevante e restrições estratégicas.</w:t>
      </w:r>
    </w:p>
    <w:p>
      <w:pPr>
        <w:pStyle w:val="Heading2"/>
      </w:pPr>
      <w:r>
        <w:t>04. Partes interessadas e obrigações</w:t>
      </w:r>
    </w:p>
    <w:p>
      <w:pPr>
        <w:spacing w:after="120"/>
      </w:pPr>
      <w:r>
        <w:t>Mantenha um inventário controlado de expectativas de continuidade de clientes, reguladores, contratos, força de trabalho, fornecedores e setor público, com responsáveis e evidências.</w:t>
      </w:r>
    </w:p>
    <w:p>
      <w:pPr>
        <w:pStyle w:val="Heading2"/>
      </w:pPr>
      <w:r>
        <w:t>05. Escopo e limites do SGCN</w:t>
      </w:r>
    </w:p>
    <w:p>
      <w:pPr>
        <w:spacing w:after="120"/>
      </w:pPr>
      <w:r>
        <w:t>Defina unidades organizacionais, serviços, locais, tecnologias, fornecedores, dados, instalações e exclusões dentro do limite do sistema de gestão de continuidade de negócios.</w:t>
      </w:r>
    </w:p>
    <w:p>
      <w:pPr>
        <w:pStyle w:val="Heading2"/>
      </w:pPr>
      <w:r>
        <w:t>06. Liderança e responsabilização</w:t>
      </w:r>
    </w:p>
    <w:p>
      <w:pPr>
        <w:spacing w:after="120"/>
      </w:pPr>
      <w:r>
        <w:t>Atribua patrocínio executivo, propriedade de políticas, direitos de decisão, autoridade de escalonamento, responsabilidade de financiamento e responsabilização por evidências.</w:t>
      </w:r>
    </w:p>
    <w:p>
      <w:pPr>
        <w:pStyle w:val="Heading2"/>
      </w:pPr>
      <w:r>
        <w:t>07. Política de continuidade de negócios</w:t>
      </w:r>
    </w:p>
    <w:p>
      <w:pPr>
        <w:spacing w:after="120"/>
      </w:pPr>
      <w:r>
        <w:t>Mantenha uma política aprovada alinhada aos objetivos organizacionais, escopo, obrigações, expectativas de resiliência e compromissos de melhoria contínua.</w:t>
      </w:r>
    </w:p>
    <w:p>
      <w:pPr>
        <w:pStyle w:val="Heading2"/>
      </w:pPr>
      <w:r>
        <w:t>08. Funções, responsabilidades e competência</w:t>
      </w:r>
    </w:p>
    <w:p>
      <w:pPr>
        <w:spacing w:after="120"/>
      </w:pPr>
      <w:r>
        <w:t>Defina funções responsáveis por continuidade de negócios, liderança de crise, proprietários de serviços, recuperação tecnológica, instalações, comunicações, jurídico, RH, compras e assurance.</w:t>
      </w:r>
    </w:p>
    <w:p>
      <w:pPr>
        <w:pStyle w:val="Heading2"/>
      </w:pPr>
      <w:r>
        <w:t>09. Planejamento para riscos e oportunidades</w:t>
      </w:r>
    </w:p>
    <w:p>
      <w:pPr>
        <w:spacing w:after="120"/>
      </w:pPr>
      <w:r>
        <w:t>Identifique riscos e oportunidades no nível do SGCN que possam afetar os resultados pretendidos do sistema de gestão e defina tratamentos acompanhados.</w:t>
      </w:r>
    </w:p>
    <w:p>
      <w:pPr>
        <w:pStyle w:val="Heading2"/>
      </w:pPr>
      <w:r>
        <w:t>10. Governança da análise de impacto nos negócios</w:t>
      </w:r>
    </w:p>
    <w:p>
      <w:pPr>
        <w:spacing w:after="120"/>
      </w:pPr>
      <w:r>
        <w:t>Estabeleça metodologia de BIA, cadência de revisão, controles de qualidade de dados, autoridade de aprovação e ligação com inventários de serviços e estratégias de recuperação.</w:t>
      </w:r>
    </w:p>
    <w:p>
      <w:pPr>
        <w:pStyle w:val="Heading2"/>
      </w:pPr>
      <w:r>
        <w:t>11. Produtos e serviços críticos</w:t>
      </w:r>
    </w:p>
    <w:p>
      <w:pPr>
        <w:spacing w:after="120"/>
      </w:pPr>
      <w:r>
        <w:t>Identifique produtos, serviços, atividades e fluxos de valor prioritários, incluindo tolerâncias aceitáveis de interrupção e impactos sobre partes interessadas.</w:t>
      </w:r>
    </w:p>
    <w:p>
      <w:pPr>
        <w:pStyle w:val="Heading2"/>
      </w:pPr>
      <w:r>
        <w:t>12. Critérios de impacto e dimensões temporais</w:t>
      </w:r>
    </w:p>
    <w:p>
      <w:pPr>
        <w:spacing w:after="120"/>
      </w:pPr>
      <w:r>
        <w:t>Defina critérios financeiros, jurídicos, de segurança, clientes, operacionais, regulatórios, reputacionais e de missão ao longo de intervalos temporais de interrupção.</w:t>
      </w:r>
    </w:p>
    <w:p>
      <w:pPr>
        <w:pStyle w:val="Heading2"/>
      </w:pPr>
      <w:r>
        <w:t>13. Dependências e requisitos de recursos</w:t>
      </w:r>
    </w:p>
    <w:p>
      <w:pPr>
        <w:spacing w:after="120"/>
      </w:pPr>
      <w:r>
        <w:t>Mapeie pessoas, instalações, tecnologia, dados, utilidades, fornecedores, logística, comunicações e dependências especializadas necessárias para atividades priorizadas.</w:t>
      </w:r>
    </w:p>
    <w:p>
      <w:pPr>
        <w:pStyle w:val="Heading2"/>
      </w:pPr>
      <w:r>
        <w:t>14. Avaliação de riscos de interrupção</w:t>
      </w:r>
    </w:p>
    <w:p>
      <w:pPr>
        <w:spacing w:after="120"/>
      </w:pPr>
      <w:r>
        <w:t>Avalie cenários de interrupção, vulnerabilidades, pontos únicos de falha, risco de concentração, exposição geográfica, dependências cibernéticas/físicas e efeitos em cascata.</w:t>
      </w:r>
    </w:p>
    <w:p>
      <w:pPr>
        <w:pStyle w:val="Heading2"/>
      </w:pPr>
      <w:r>
        <w:t>15. Seleção de estratégias de continuidade</w:t>
      </w:r>
    </w:p>
    <w:p>
      <w:pPr>
        <w:spacing w:after="120"/>
      </w:pPr>
      <w:r>
        <w:t>Selecione estratégias proporcionais com base nos resultados de BIA e riscos, equilibrando resiliência, capacidade de recuperação, custo, complexidade e risco residual.</w:t>
      </w:r>
    </w:p>
    <w:p>
      <w:pPr>
        <w:pStyle w:val="Heading2"/>
      </w:pPr>
      <w:r>
        <w:t>16. Continuidade de pessoas e força de trabalho</w:t>
      </w:r>
    </w:p>
    <w:p>
      <w:pPr>
        <w:spacing w:after="120"/>
      </w:pPr>
      <w:r>
        <w:t>Defina alternativas de pessoal, sucessão, treinamento cruzado, capacidade de trabalho remoto, bem-estar, viagens, acesso, segurança e controles de comunicação com a força de trabalho.</w:t>
      </w:r>
    </w:p>
    <w:p>
      <w:pPr>
        <w:pStyle w:val="Heading2"/>
      </w:pPr>
      <w:r>
        <w:t>17. Instalações e resiliência física</w:t>
      </w:r>
    </w:p>
    <w:p>
      <w:pPr>
        <w:spacing w:after="120"/>
      </w:pPr>
      <w:r>
        <w:t>Trate espaços alternativos de trabalho, utilidades, controles ambientais, segurança física, acesso a locais, diversificação geográfica e dependências de recuperação de instalações.</w:t>
      </w:r>
    </w:p>
    <w:p>
      <w:pPr>
        <w:pStyle w:val="Heading2"/>
      </w:pPr>
      <w:r>
        <w:t>18. Integração de recuperação tecnológica e cibernética</w:t>
      </w:r>
    </w:p>
    <w:p>
      <w:pPr>
        <w:spacing w:after="120"/>
      </w:pPr>
      <w:r>
        <w:t>Integre objetivos do SGCN com recuperação de desastres, backup, restauração, resposta a incidentes cibernéticos, recuperação de identidade, resiliência de infraestrutura e dependências de aplicações.</w:t>
      </w:r>
    </w:p>
    <w:p>
      <w:pPr>
        <w:pStyle w:val="Heading2"/>
      </w:pPr>
      <w:r>
        <w:t>19. Continuidade de informações e dados</w:t>
      </w:r>
    </w:p>
    <w:p>
      <w:pPr>
        <w:spacing w:after="120"/>
      </w:pPr>
      <w:r>
        <w:t>Proteja disponibilidade, integridade, recuperabilidade, retenção, confidencialidade e acesso controlado às informações necessárias durante interrupção e recuperação.</w:t>
      </w:r>
    </w:p>
    <w:p>
      <w:pPr>
        <w:pStyle w:val="Heading2"/>
      </w:pPr>
      <w:r>
        <w:t>20. Continuidade de terceiros e cadeia de suprimentos</w:t>
      </w:r>
    </w:p>
    <w:p>
      <w:pPr>
        <w:spacing w:after="120"/>
      </w:pPr>
      <w:r>
        <w:t>Defina requisitos de continuidade para fornecedores, due diligence, evidências, revisão de risco de concentração, sourcing alternativo, escalonamento, cláusulas contratuais e reavaliação.</w:t>
      </w:r>
    </w:p>
    <w:p>
      <w:pPr>
        <w:pStyle w:val="Heading2"/>
      </w:pPr>
      <w:r>
        <w:t>21. Estrutura de gestão de crises</w:t>
      </w:r>
    </w:p>
    <w:p>
      <w:pPr>
        <w:spacing w:after="120"/>
      </w:pPr>
      <w:r>
        <w:t>Defina funções estratégicas, táticas e operacionais de crise, critérios de ativação, estrutura de comando, registro de decisões, transições e escalonamento executivo.</w:t>
      </w:r>
    </w:p>
    <w:p>
      <w:pPr>
        <w:pStyle w:val="Heading2"/>
      </w:pPr>
      <w:r>
        <w:t>22. Procedimentos de resposta a incidentes e continuidade</w:t>
      </w:r>
    </w:p>
    <w:p>
      <w:pPr>
        <w:spacing w:after="120"/>
      </w:pPr>
      <w:r>
        <w:t>Mantenha procedimentos utilizáveis para ativação, estabilização, continuidade, recuperação, escalonamento, coordenação de recursos e encerramento.</w:t>
      </w:r>
    </w:p>
    <w:p>
      <w:pPr>
        <w:pStyle w:val="Heading2"/>
      </w:pPr>
      <w:r>
        <w:t>23. Comunicações e gestão de partes interessadas</w:t>
      </w:r>
    </w:p>
    <w:p>
      <w:pPr>
        <w:spacing w:after="120"/>
      </w:pPr>
      <w:r>
        <w:t>Defina comunicações internas e externas, autoridade do porta-voz, aprovação de mensagens, notificações a reguladores/clientes, manutenção de contatos e controle de rumores.</w:t>
      </w:r>
    </w:p>
    <w:p>
      <w:pPr>
        <w:pStyle w:val="Heading2"/>
      </w:pPr>
      <w:r>
        <w:t>24. Objetivos de recuperação e prioridades de restauração</w:t>
      </w:r>
    </w:p>
    <w:p>
      <w:pPr>
        <w:spacing w:after="120"/>
      </w:pPr>
      <w:r>
        <w:t>Traduza tolerâncias empresariais aprovadas em objetivos operacionais de recuperação, sequenciamento, necessidades mínimas de recursos e prioridades validadas de restauração de serviços.</w:t>
      </w:r>
    </w:p>
    <w:p>
      <w:pPr>
        <w:pStyle w:val="Heading2"/>
      </w:pPr>
      <w:r>
        <w:t>25. Documentação e acessibilidade dos planos</w:t>
      </w:r>
    </w:p>
    <w:p>
      <w:pPr>
        <w:spacing w:after="120"/>
      </w:pPr>
      <w:r>
        <w:t>Assegure que os planos estejam atuais, controlados, disponíveis em condições degradadas, adequadamente protegidos, versionados e compreensíveis aos usuários pretendidos.</w:t>
      </w:r>
    </w:p>
    <w:p>
      <w:pPr>
        <w:pStyle w:val="Heading2"/>
      </w:pPr>
      <w:r>
        <w:t>26. Treinamento e conscientização</w:t>
      </w:r>
    </w:p>
    <w:p>
      <w:pPr>
        <w:spacing w:after="120"/>
      </w:pPr>
      <w:r>
        <w:t>Implemente conscientização baseada em função, desenvolvimento de competências, integração, reciclagem, preparação de liderança de crise e evidência de conclusão.</w:t>
      </w:r>
    </w:p>
    <w:p>
      <w:pPr>
        <w:pStyle w:val="Heading2"/>
      </w:pPr>
      <w:r>
        <w:t>27. Programa de exercícios e testes</w:t>
      </w:r>
    </w:p>
    <w:p>
      <w:pPr>
        <w:spacing w:after="120"/>
      </w:pPr>
      <w:r>
        <w:t>Mantenha um programa baseado em risco usando walkthroughs, simulações, testes técnicos de recuperação, exercícios com fornecedores, exercícios de crise e cenários integrados.</w:t>
      </w:r>
    </w:p>
    <w:p>
      <w:pPr>
        <w:pStyle w:val="Heading2"/>
      </w:pPr>
      <w:r>
        <w:t>28. Achados de exercícios e remediação</w:t>
      </w:r>
    </w:p>
    <w:p>
      <w:pPr>
        <w:spacing w:after="120"/>
      </w:pPr>
      <w:r>
        <w:t>Registre observações, causas raiz, responsáveis por ações, prazos, risco residual, requisitos de reteste e evidência de encerramento para achados de exercícios e incidentes.</w:t>
      </w:r>
    </w:p>
    <w:p>
      <w:pPr>
        <w:pStyle w:val="Heading2"/>
      </w:pPr>
      <w:r>
        <w:t>29. Monitoramento, medição e métricas</w:t>
      </w:r>
    </w:p>
    <w:p>
      <w:pPr>
        <w:spacing w:after="120"/>
      </w:pPr>
      <w:r>
        <w:t>Defina indicadores do SGCN para prontidão, atualidade dos planos, desempenho de recuperação, efetividade de exercícios, resiliência de fornecedores, envelhecimento de problemas e atingimento de objetivos.</w:t>
      </w:r>
    </w:p>
    <w:p>
      <w:pPr>
        <w:pStyle w:val="Heading2"/>
      </w:pPr>
      <w:r>
        <w:t>30. Auditoria interna e assurance</w:t>
      </w:r>
    </w:p>
    <w:p>
      <w:pPr>
        <w:spacing w:after="120"/>
      </w:pPr>
      <w:r>
        <w:t>Planeje assurance independente e baseado em evidências sobre desenho e operação do SGCN, preservando competência do auditor, escopo, amostragem, achados e limites de acompanhamento.</w:t>
      </w:r>
    </w:p>
    <w:p>
      <w:pPr>
        <w:pStyle w:val="Heading2"/>
      </w:pPr>
      <w:r>
        <w:t>31. Análise crítica pela direção e melhoria contínua</w:t>
      </w:r>
    </w:p>
    <w:p>
      <w:pPr>
        <w:spacing w:after="120"/>
      </w:pPr>
      <w:r>
        <w:t>Forneça à liderança evidências sobre desempenho, mudanças, incidentes, exercícios, resultados de auditoria, riscos, recursos, objetivos e ações de melhoria.</w:t>
      </w:r>
    </w:p>
    <w:p>
      <w:pPr>
        <w:pStyle w:val="Heading2"/>
      </w:pPr>
      <w:r>
        <w:t>32. Publicação, evidência e roteiro de implementação</w:t>
      </w:r>
    </w:p>
    <w:p>
      <w:pPr>
        <w:spacing w:after="120"/>
      </w:pPr>
      <w:r>
        <w:t>Empacote um roteiro de implementação Essencial / Estruturado / Aprimorado com verificação de fontes, mapeamento de controles/evidências, acompanhamento de problemas, localização, acessibilidade, proveniência, checksum, segurança de workflows e gates de release. Revalide o estado das fontes ISO imediatamente antes da publicação e trate ISO/CD 22301 e ISO/AWI 22313 como acompanhamento de mudanças não normativo enquanto não forem formalmente publicados.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