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18 — Implementación controlada de GLBA / Regla de Salvaguardas de la FTC</w:t>
      </w:r>
    </w:p>
    <w:p>
      <w:r>
        <w:rPr>
          <w:b/>
        </w:rPr>
        <w:t>Edición controlada es-419 — borrador de localización</w:t>
      </w:r>
    </w:p>
    <w:p>
      <w:pPr>
        <w:spacing w:after="120"/>
      </w:pPr>
      <w:r>
        <w:t>**Orden de serie:** 18</w:t>
      </w:r>
    </w:p>
    <w:p>
      <w:pPr>
        <w:spacing w:after="120"/>
      </w:pPr>
      <w:r>
        <w:t>**Límite regulatorio:** Esta edición es guía de implementación. No reproduce texto regulatorio protegido, no constituye asesoría legal y no amplía la jurisdicción de la FTC más allá de las organizaciones sujetas a la Regla de Salvaguardas. Deben mantenerse separadas las capas estatutaria, regulatoria, de orientación oficial y de práctica organizacional.</w:t>
      </w:r>
    </w:p>
    <w:p>
      <w:pPr>
        <w:pStyle w:val="Heading2"/>
      </w:pPr>
      <w:r>
        <w:t>1. Propósito, alcance y capas regulatorias</w:t>
      </w:r>
    </w:p>
    <w:p>
      <w:pPr>
        <w:spacing w:after="120"/>
      </w:pPr>
      <w:r>
        <w:t>Establecer un programa repetible para implementar y evidenciar salvaguardas para información de clientes cubierta. Mantener un mapa de fuentes que diferencie el contexto estatutario de GLBA, los requisitos de 16 CFR Parte 314, las enmiendas y fechas de vigencia de la FTC, la orientación oficial de la FTC y las decisiones internas de control. Evidencia: memorando de aplicabilidad, registro de fuentes, inventario de controles y confirmación anual de alcance. Prueba: verificar que cada afirmación regulatoria sustantiva sea trazable a la capa correcta.</w:t>
      </w:r>
    </w:p>
    <w:p>
      <w:pPr>
        <w:pStyle w:val="Heading2"/>
      </w:pPr>
      <w:r>
        <w:t>2. Aplicabilidad a instituciones financieras y jurisdicción</w:t>
      </w:r>
    </w:p>
    <w:p>
      <w:pPr>
        <w:spacing w:after="120"/>
      </w:pPr>
      <w:r>
        <w:t>Determinar si la organización es una institución financiera para efectos de la Regla de Salvaguardas de la FTC y si otro regulador de GLBA gobierna la actividad. Documentar actividades, exenciones, regulador responsable, límites de entidad y disparadores de revisión legal. Evidencia: análisis de aplicabilidad y matriz de reguladores. Reevaluar tras fusiones, nuevos productos, cambios de licencia o nueva orientación regulatoria.</w:t>
      </w:r>
    </w:p>
    <w:p>
      <w:pPr>
        <w:pStyle w:val="Heading2"/>
      </w:pPr>
      <w:r>
        <w:t>3. Alcance de información de clientes e inventario de datos</w:t>
      </w:r>
    </w:p>
    <w:p>
      <w:pPr>
        <w:spacing w:after="120"/>
      </w:pPr>
      <w:r>
        <w:t>Inventariar la información de clientes y los sistemas que la recopilan, procesan, transmiten o almacenan. Mapear flujos, repositorios, interfaces, respaldos, endpoints, servicios SaaS y terceros. Asignar propietarios y clases de retención. Evidencia: inventario de datos, diagramas de flujo, registro de sistemas y vínculo con registros de tratamiento. Probar integridad contra herramientas de descubrimiento, contratos e inventarios de arquitectura.</w:t>
      </w:r>
    </w:p>
    <w:p>
      <w:pPr>
        <w:pStyle w:val="Heading2"/>
      </w:pPr>
      <w:r>
        <w:t>4. Gobierno y responsabilidad del individuo calificado</w:t>
      </w:r>
    </w:p>
    <w:p>
      <w:pPr>
        <w:spacing w:after="120"/>
      </w:pPr>
      <w:r>
        <w:t>Designar al individuo calificado responsable y definir autoridad, escalamiento, suplencias, presupuesto, obligaciones de reporte e interfaces con privacidad, legal, auditoría, riesgo y tecnología. Evidencia: estatuto, descripción de rol, RACI y actas. Probar que la autoridad asignada sea operativa y no meramente nominal.</w:t>
      </w:r>
    </w:p>
    <w:p>
      <w:pPr>
        <w:pStyle w:val="Heading2"/>
      </w:pPr>
      <w:r>
        <w:t>5. Programa escrito de seguridad de la información</w:t>
      </w:r>
    </w:p>
    <w:p>
      <w:pPr>
        <w:spacing w:after="120"/>
      </w:pPr>
      <w:r>
        <w:t>Mantener un programa escrito proporcional al tamaño, complejidad, actividades y sensibilidad de la información de clientes. Conectar gobierno, evaluación de riesgos, salvaguardas, monitoreo, respuesta a incidentes, supervisión de proveedores y reportes. Evidencia: programa aprobado, historial de revisiones, estándares vinculados y propietarios de controles. Revisar al menos anualmente y después de cambios materiales.</w:t>
      </w:r>
    </w:p>
    <w:p>
      <w:pPr>
        <w:pStyle w:val="Heading2"/>
      </w:pPr>
      <w:r>
        <w:t>6. Metodología de evaluación de riesgos</w:t>
      </w:r>
    </w:p>
    <w:p>
      <w:pPr>
        <w:spacing w:after="120"/>
      </w:pPr>
      <w:r>
        <w:t>Usar una metodología documentada para identificar riesgos internos y externos previsibles, evaluar probabilidad e impacto y determinar si las salvaguardas existentes son suficientes. Definir puntuación, criterios de aceptación, evidencia y disparadores de reevaluación. Evidencia: metodología, registro de riesgos y decisiones de tratamiento. Probar repetibilidad comparando sistemas similares.</w:t>
      </w:r>
    </w:p>
    <w:p>
      <w:pPr>
        <w:pStyle w:val="Heading2"/>
      </w:pPr>
      <w:r>
        <w:t>7. Tratamiento de riesgos y selección de salvaguardas</w:t>
      </w:r>
    </w:p>
    <w:p>
      <w:pPr>
        <w:spacing w:after="120"/>
      </w:pPr>
      <w:r>
        <w:t>Convertir hallazgos de riesgo en salvaguardas preventivas, detectivas, correctivas y de recuperación. Registrar objetivo de control, propietario, estado, fuente de evidencia, riesgo residual, fecha objetivo y manejo de excepciones. Evidencia: plan de tratamiento y matriz de controles. Probar que riesgos significativos tengan tratamiento explícito o aceptación formal.</w:t>
      </w:r>
    </w:p>
    <w:p>
      <w:pPr>
        <w:pStyle w:val="Heading2"/>
      </w:pPr>
      <w:r>
        <w:t>8. Inventario de activos y sistemas</w:t>
      </w:r>
    </w:p>
    <w:p>
      <w:pPr>
        <w:spacing w:after="120"/>
      </w:pPr>
      <w:r>
        <w:t>Mantener inventarios autoritativos de hardware, software, activos virtuales, servicios en nube, aplicaciones críticas, componentes de red y repositorios en alcance. Incluir propietario, entorno, criticidad, estado de ciclo de vida y relevancia para información de clientes. Evidencia: conciliación CMDB/inventario. Probar activos huérfanos o no administrados.</w:t>
      </w:r>
    </w:p>
    <w:p>
      <w:pPr>
        <w:pStyle w:val="Heading2"/>
      </w:pPr>
      <w:r>
        <w:t>9. Clasificación y manejo de datos</w:t>
      </w:r>
    </w:p>
    <w:p>
      <w:pPr>
        <w:spacing w:after="120"/>
      </w:pPr>
      <w:r>
        <w:t>Definir requisitos de manejo para información de clientes durante recopilación, uso, almacenamiento, transmisión, intercambio, archivo y destrucción. Alinear clasificación con acceso, cifrado, enmascaramiento, DLP y retención. Evidencia: estándar de clasificación, conjuntos etiquetados y procedimientos. Probar almacenes y transferencias de muestra.</w:t>
      </w:r>
    </w:p>
    <w:p>
      <w:pPr>
        <w:pStyle w:val="Heading2"/>
      </w:pPr>
      <w:r>
        <w:t>10. Gestión de identidades y accesos</w:t>
      </w:r>
    </w:p>
    <w:p>
      <w:pPr>
        <w:spacing w:after="120"/>
      </w:pPr>
      <w:r>
        <w:t>Aplicar privilegio mínimo, acceso basado en roles o atributos, provisión y baja oportunas, revisiones periódicas y controles sólidos de altas-cambios-bajas. Evidencia: solicitudes, aprobaciones, revisiones y registros de terminación. Probar cuentas inactivas, excesivas, compartidas o no autorizadas.</w:t>
      </w:r>
    </w:p>
    <w:p>
      <w:pPr>
        <w:pStyle w:val="Heading2"/>
      </w:pPr>
      <w:r>
        <w:t>11. Acceso privilegiado y autenticación</w:t>
      </w:r>
    </w:p>
    <w:p>
      <w:pPr>
        <w:spacing w:after="120"/>
      </w:pPr>
      <w:r>
        <w:t>Restringir y monitorear identidades privilegiadas. Usar controles de autenticación fuertes apropiados al entorno, incluida autenticación multifactor cuando corresponda por requisito o riesgo. Separar cuentas administrativas y estándar. Evidencia: logs PAM, inventario privilegiado, cobertura MFA y registros de emergencia. Probar rutas privilegiadas y revisión de accesos de emergencia.</w:t>
      </w:r>
    </w:p>
    <w:p>
      <w:pPr>
        <w:pStyle w:val="Heading2"/>
      </w:pPr>
      <w:r>
        <w:t>12. Cifrado y gestión de claves</w:t>
      </w:r>
    </w:p>
    <w:p>
      <w:pPr>
        <w:spacing w:after="120"/>
      </w:pPr>
      <w:r>
        <w:t>Proteger información de clientes en tránsito y reposo con controles criptográficos apropiados o protección compensatoria formalmente documentada cuando se permita y justifique. Gestionar generación, almacenamiento, rotación, revocación, respaldo, acceso y destrucción de claves. Evidencia: configuraciones, inventario de claves y excepciones. Probar endpoints, bases de datos, respaldos e interfaces representativas.</w:t>
      </w:r>
    </w:p>
    <w:p>
      <w:pPr>
        <w:pStyle w:val="Heading2"/>
      </w:pPr>
      <w:r>
        <w:t>13. Configuración segura y control de cambios</w:t>
      </w:r>
    </w:p>
    <w:p>
      <w:pPr>
        <w:spacing w:after="120"/>
      </w:pPr>
      <w:r>
        <w:t>Establecer líneas base seguras, responsables de configuración, flujos de aprobación, segregación de funciones, rollback y revisión de cambios de emergencia. Evidencia: estándares, escaneos, tickets y aprobaciones. Probar deriva y cambios no autorizados.</w:t>
      </w:r>
    </w:p>
    <w:p>
      <w:pPr>
        <w:pStyle w:val="Heading2"/>
      </w:pPr>
      <w:r>
        <w:t>14. Gestión de vulnerabilidades</w:t>
      </w:r>
    </w:p>
    <w:p>
      <w:pPr>
        <w:spacing w:after="120"/>
      </w:pPr>
      <w:r>
        <w:t>Identificar, priorizar, remediar y verificar vulnerabilidades según riesgo. Definir cobertura de escaneo, escaneo autenticado, relación severidad-SLA, criterios de excepción y escalamiento. Evidencia: reportes, tickets y excepciones. Probar vulnerabilidades vencidas y patrones recurrentes.</w:t>
      </w:r>
    </w:p>
    <w:p>
      <w:pPr>
        <w:pStyle w:val="Heading2"/>
      </w:pPr>
      <w:r>
        <w:t>15. Desarrollo seguro y controles de aplicaciones</w:t>
      </w:r>
    </w:p>
    <w:p>
      <w:pPr>
        <w:spacing w:after="120"/>
      </w:pPr>
      <w:r>
        <w:t>Integrar seguridad en requisitos, diseño, desarrollo, pruebas, despliegue y mantenimiento de aplicaciones que manejan información de clientes. Incluir revisión de código, dependencias, secretos, modelado de amenazas, pruebas de seguridad y aprobación de liberaciones. Evidencia: registros SDLC, SAST/DAST, reportes de dependencias y gates de liberación.</w:t>
      </w:r>
    </w:p>
    <w:p>
      <w:pPr>
        <w:pStyle w:val="Heading2"/>
      </w:pPr>
      <w:r>
        <w:t>16. Registro, monitoreo y detección de anomalías</w:t>
      </w:r>
    </w:p>
    <w:p>
      <w:pPr>
        <w:spacing w:after="120"/>
      </w:pPr>
      <w:r>
        <w:t>Recolectar y proteger logs necesarios para detectar acceso no autorizado, uso indebido, actividad anómala, fallas de control e incidentes. Definir sincronización de tiempo, retención, responsables de alertas, escalamiento y afinamiento de casos de uso. Evidencia: estándar de logging, cobertura SIEM, alertas y configuración de retención. Probar detección extremo a extremo.</w:t>
      </w:r>
    </w:p>
    <w:p>
      <w:pPr>
        <w:pStyle w:val="Heading2"/>
      </w:pPr>
      <w:r>
        <w:t>17. Respuesta a incidentes y escalamiento</w:t>
      </w:r>
    </w:p>
    <w:p>
      <w:pPr>
        <w:spacing w:after="120"/>
      </w:pPr>
      <w:r>
        <w:t>Mantener procedimientos de identificación, triage, contención, erradicación, recuperación, preservación de evidencia, comunicaciones y mejora posterior. Asignar responsabilidad sobre decisiones de notificación legal y regulatoria. Evidencia: plan, ejercicios, incidentes y lecciones aprendidas. Probar con ejercicios de mesa sobre compromiso de información de clientes.</w:t>
      </w:r>
    </w:p>
    <w:p>
      <w:pPr>
        <w:pStyle w:val="Heading2"/>
      </w:pPr>
      <w:r>
        <w:t>18. Flujo de decisión para eventos de notificación a la FTC</w:t>
      </w:r>
    </w:p>
    <w:p>
      <w:pPr>
        <w:spacing w:after="120"/>
      </w:pPr>
      <w:r>
        <w:t>Mantener un flujo documentado para eventos que potencialmente cumplan el límite de notificación de la Regla de Salvaguardas. Preservar el límite actualmente verificado: análisis de adquisición sin autorización de información de clientes no cifrada, umbral aplicable de al menos 500 consumidores y requisito de notificación actualmente verificado de no más tarde de 30 días. No generalizar estas condiciones fuera del contexto de la regla de la FTC. Evidencia: hoja de decisión, revisión legal, base del conteo de consumidores y registro de notificación. Revalidar el texto regulatorio vigente antes de liberar y ante cada incidente relevante.</w:t>
      </w:r>
    </w:p>
    <w:p>
      <w:pPr>
        <w:pStyle w:val="Heading2"/>
      </w:pPr>
      <w:r>
        <w:t>19. Interfaces con continuidad y resiliencia</w:t>
      </w:r>
    </w:p>
    <w:p>
      <w:pPr>
        <w:spacing w:after="120"/>
      </w:pPr>
      <w:r>
        <w:t>Identificar dependencias entre salvaguardas y continuidad, incluidas identidad, logging, gestión de claves, respaldos seguros, comunicaciones alternativas y secuencia de recuperación. Evidencia: vínculo BIA, planes y ejercicios. Probar que la recuperación no omita controles de seguridad sin autorización de emergencia documentada.</w:t>
      </w:r>
    </w:p>
    <w:p>
      <w:pPr>
        <w:pStyle w:val="Heading2"/>
      </w:pPr>
      <w:r>
        <w:t>20. Debida diligencia de proveedores</w:t>
      </w:r>
    </w:p>
    <w:p>
      <w:pPr>
        <w:spacing w:after="120"/>
      </w:pPr>
      <w:r>
        <w:t>Evaluar proveedores que reciban, mantengan, procesen o accedan a información de clientes. Revisar capacidad de seguridad, evidencia de controles, incidentes, resiliencia, subcontratación y concentración. Evidencia: paquete de debida diligencia, calificación, aprobaciones y compromisos de remediación.</w:t>
      </w:r>
    </w:p>
    <w:p>
      <w:pPr>
        <w:pStyle w:val="Heading2"/>
      </w:pPr>
      <w:r>
        <w:t>21. Salvaguardas contractuales y supervisión</w:t>
      </w:r>
    </w:p>
    <w:p>
      <w:pPr>
        <w:spacing w:after="120"/>
      </w:pPr>
      <w:r>
        <w:t>Usar disposiciones contractuales apropiadas para exigir salvaguardas y permitir supervisión. Rastrear obligaciones de seguridad, términos de notificación, derechos de auditoría/evidencia, devolución o destrucción de datos y requisitos de subcontratistas. Evidencia: contratos, registro de obligaciones y calendario de revisión. Probar proveedores seleccionados contra obligaciones vigentes.</w:t>
      </w:r>
    </w:p>
    <w:p>
      <w:pPr>
        <w:pStyle w:val="Heading2"/>
      </w:pPr>
      <w:r>
        <w:t>22. Nube y responsabilidad compartida</w:t>
      </w:r>
    </w:p>
    <w:p>
      <w:pPr>
        <w:spacing w:after="120"/>
      </w:pPr>
      <w:r>
        <w:t>Mapear salvaguardas entre responsabilidades del proveedor y del cliente para IaaS, PaaS y SaaS. Documentar identidad, logging, cifrado, configuración, respaldo, red e incidentes. Evidencia: matriz de responsabilidad compartida, configuración de nube y aseguramiento del proveedor. Probar brechas creadas por supuestos incorrectos.</w:t>
      </w:r>
    </w:p>
    <w:p>
      <w:pPr>
        <w:pStyle w:val="Heading2"/>
      </w:pPr>
      <w:r>
        <w:t>23. Seguridad de la fuerza laboral y capacitación</w:t>
      </w:r>
    </w:p>
    <w:p>
      <w:pPr>
        <w:spacing w:after="120"/>
      </w:pPr>
      <w:r>
        <w:t>Implementar concientización y capacitación especializada según rol para administradores, desarrolladores, respondedores, gestores de proveedores y otros roles de alto riesgo. Evidencia: currículo, finalización, mapeo de roles y ejercicios. Probar cobertura y efectividad con métricas adecuadas.</w:t>
      </w:r>
    </w:p>
    <w:p>
      <w:pPr>
        <w:pStyle w:val="Heading2"/>
      </w:pPr>
      <w:r>
        <w:t>24. Salvaguardas físicas</w:t>
      </w:r>
    </w:p>
    <w:p>
      <w:pPr>
        <w:spacing w:after="120"/>
      </w:pPr>
      <w:r>
        <w:t>Proteger instalaciones, dispositivos, medios y áreas restringidas mediante controles de acceso, visitantes, ambiente, almacenamiento seguro y disposición proporcional al riesgo. Evidencia: logs, registros de visitantes, evaluaciones y manejo de medios. Probar revocación y controles de áreas restringidas.</w:t>
      </w:r>
    </w:p>
    <w:p>
      <w:pPr>
        <w:pStyle w:val="Heading2"/>
      </w:pPr>
      <w:r>
        <w:t>25. Retención y eliminación segura de datos</w:t>
      </w:r>
    </w:p>
    <w:p>
      <w:pPr>
        <w:spacing w:after="120"/>
      </w:pPr>
      <w:r>
        <w:t>Definir periodos de retención según requisitos legales, regulatorios, contractuales, operativos y de riesgo; eliminar información de clientes cuando ya no sea necesaria. Evidencia: calendario, trabajos de borrado, certificados de destrucción y excepciones por legal hold. Probar sobre-retención y finalización de eliminación.</w:t>
      </w:r>
    </w:p>
    <w:p>
      <w:pPr>
        <w:pStyle w:val="Heading2"/>
      </w:pPr>
      <w:r>
        <w:t>26. Pruebas de controles y monitoreo continuo</w:t>
      </w:r>
    </w:p>
    <w:p>
      <w:pPr>
        <w:spacing w:after="120"/>
      </w:pPr>
      <w:r>
        <w:t>Establecer un programa de pruebas mediante revisión de evidencia, validación técnica, muestreo, autoevaluación, pruebas independientes cuando correspondan y monitoreo continuo. Evidencia: planes, papeles de trabajo, hallazgos y métricas. Ajustar frecuencia según criticidad y tasa de cambio.</w:t>
      </w:r>
    </w:p>
    <w:p>
      <w:pPr>
        <w:pStyle w:val="Heading2"/>
      </w:pPr>
      <w:r>
        <w:t>27. Gobierno de pruebas de penetración y evaluación de vulnerabilidades</w:t>
      </w:r>
    </w:p>
    <w:p>
      <w:pPr>
        <w:spacing w:after="120"/>
      </w:pPr>
      <w:r>
        <w:t>Definir gobierno para pruebas de penetración y evaluaciones de vulnerabilidad conforme a la Regla de Salvaguardas vigente y al riesgo organizacional. Especificar alcance, independencia/competencia, seguimiento de remediación, retest y excepciones. Evidencia: reportes, planes y retests. Revalidar requisitos actuales de la FTC antes de liberar.</w:t>
      </w:r>
    </w:p>
    <w:p>
      <w:pPr>
        <w:pStyle w:val="Heading2"/>
      </w:pPr>
      <w:r>
        <w:t>28. Reportes a la gerencia y órgano de gobierno</w:t>
      </w:r>
    </w:p>
    <w:p>
      <w:pPr>
        <w:spacing w:after="120"/>
      </w:pPr>
      <w:r>
        <w:t>Reportar periódicamente postura de riesgo, deficiencias materiales, incidentes, riesgos de proveedores, remediación, pruebas y cambios del programa a la instancia de gobierno correspondiente. Evidencia: informes, actas y registros de acciones. Probar que asuntos materiales sean escalados y cerrados.</w:t>
      </w:r>
    </w:p>
    <w:p>
      <w:pPr>
        <w:pStyle w:val="Heading2"/>
      </w:pPr>
      <w:r>
        <w:t>29. Excepciones, aceptación de riesgo y remediación</w:t>
      </w:r>
    </w:p>
    <w:p>
      <w:pPr>
        <w:spacing w:after="120"/>
      </w:pPr>
      <w:r>
        <w:t>Usar un proceso controlado que registre justificación, salvaguardas compensatorias, riesgo residual, aprobador, vencimiento y plan de remediación. Evidencia: registro y aprobaciones. Probar excepciones vencidas y extensiones repetidas sin reevaluación.</w:t>
      </w:r>
    </w:p>
    <w:p>
      <w:pPr>
        <w:pStyle w:val="Heading2"/>
      </w:pPr>
      <w:r>
        <w:t>30. Arquitectura de evidencia y preparación para auditoría</w:t>
      </w:r>
    </w:p>
    <w:p>
      <w:pPr>
        <w:spacing w:after="120"/>
      </w:pPr>
      <w:r>
        <w:t>Definir objetos de evidencia por salvaguarda, convenciones, repositorios, retención, cadena de custodia cuando aplique y responsables. Mantener mapeos evidencia-control y diferenciar evidencia operativa de afirmación gerencial. Evidencia: catálogo, matriz y papeles de trabajo. Probar reconstrucción independiente de controles muestreados.</w:t>
      </w:r>
    </w:p>
    <w:p>
      <w:pPr>
        <w:pStyle w:val="Heading2"/>
      </w:pPr>
      <w:r>
        <w:t>31. Disparadores de cambio, vigilancia de enmiendas y reevaluación</w:t>
      </w:r>
    </w:p>
    <w:p>
      <w:pPr>
        <w:spacing w:after="120"/>
      </w:pPr>
      <w:r>
        <w:t>Monitorear enmiendas de la FTC, orientación oficial, desarrollos de enforcement relevantes y cambios organizacionales que afecten aplicabilidad o salvaguardas. Activar reevaluación tras cambios materiales de tecnología, datos, proveedores, productos, modelo de negocio o regulación. Evidencia: registro de vigilancia y evaluaciones de cambio.</w:t>
      </w:r>
    </w:p>
    <w:p>
      <w:pPr>
        <w:pStyle w:val="Heading2"/>
      </w:pPr>
      <w:r>
        <w:t>32. Localización, QA de artefactos y controles de liberación</w:t>
      </w:r>
    </w:p>
    <w:p>
      <w:pPr>
        <w:spacing w:after="120"/>
      </w:pPr>
      <w:r>
        <w:t>Congelar la fuente inglesa exacta antes de localización controlada es-419 y pt-BR. Vincular cada localización a la identidad inglesa congelada y preservar el significado regulatorio sin presentar traducciones no oficiales como texto autoritativo de la FTC. Antes de publicar exigir paridad trilingüe, QA renderizado/páginas, accesibilidad, hashes SHA-256 exactos, staging durable, seguridad de workflows, reverificación de fuentes, publicación del predecesor y reconciliación de catálogo/registro de liberaciones.</w:t>
      </w:r>
    </w:p>
    <w:p>
      <w:pPr>
        <w:pStyle w:val="Heading2"/>
      </w:pPr>
      <w:r>
        <w:t>Límite controlado de liberación</w:t>
      </w:r>
    </w:p>
    <w:p>
      <w:pPr>
        <w:spacing w:after="120"/>
      </w:pPr>
      <w:r>
        <w:t>Este borrador localizado no establece por sí mismo cumplimiento, interpretación legal, aseguramiento de auditoría ni elegibilidad de publicación. Cualquier requisito documentado de revisión humana genuina permanece abierto hasta quedar ligado a los hashes exactos aplicables.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