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El CIS Controls Playbook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búsqueda y prueba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5"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BodyText"/>
      </w:pP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5"/>
    <w:bookmarkStart w:id="26"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6"/>
    <w:bookmarkStart w:id="27"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7"/>
    <w:bookmarkStart w:id="28"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8"/>
    <w:bookmarkStart w:id="29"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9"/>
    <w:bookmarkStart w:id="30"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17.1</w:t>
            </w:r>
          </w:p>
        </w:tc>
      </w:tr>
      <w:tr>
        <w:tc>
          <w:tcPr/>
          <w:p>
            <w:pPr>
              <w:pStyle w:val="Compact"/>
              <w:jc w:val="left"/>
            </w:pPr>
            <w:r>
              <w:t xml:space="preserve">17.2</w:t>
            </w:r>
          </w:p>
        </w:tc>
      </w:tr>
      <w:tr>
        <w:tc>
          <w:tcPr/>
          <w:p>
            <w:pPr>
              <w:pStyle w:val="Compact"/>
              <w:jc w:val="left"/>
            </w:pPr>
            <w:r>
              <w:t xml:space="preserve">17.3</w:t>
            </w:r>
          </w:p>
        </w:tc>
      </w:tr>
      <w:tr>
        <w:tc>
          <w:tcPr/>
          <w:p>
            <w:pPr>
              <w:pStyle w:val="Compact"/>
              <w:jc w:val="left"/>
            </w:pPr>
            <w:r>
              <w:t xml:space="preserve">TEN 17.4</w:t>
            </w:r>
          </w:p>
        </w:tc>
      </w:tr>
      <w:tr>
        <w:tc>
          <w:tcPr/>
          <w:p>
            <w:pPr>
              <w:pStyle w:val="Compact"/>
              <w:jc w:val="lef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63" w:name="control-18-penetration-testing"/>
    <w:p>
      <w:pPr>
        <w:pStyle w:val="Heading1"/>
      </w:pPr>
      <w:r>
        <w:t xml:space="preserve">23. Control 18 — Penetration Testing</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las pruebas de penetración.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18.1</w:t>
            </w:r>
          </w:p>
        </w:tc>
      </w:tr>
      <w:tr>
        <w:tc>
          <w:tcPr/>
          <w:p>
            <w:pPr>
              <w:pStyle w:val="Compact"/>
              <w:jc w:val="left"/>
            </w:pPr>
            <w:r>
              <w:t xml:space="preserve">18.2</w:t>
            </w:r>
          </w:p>
        </w:tc>
      </w:tr>
      <w:tr>
        <w:tc>
          <w:tcPr/>
          <w:p>
            <w:pPr>
              <w:pStyle w:val="Compact"/>
              <w:jc w:val="left"/>
            </w:pPr>
            <w:r>
              <w:t xml:space="preserve">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10"/>
        </w:numPr>
        <w:pStyle w:val="Compact"/>
      </w:pPr>
      <w:r>
        <w:t xml:space="preserve">Herramientas de código abierto</w:t>
      </w:r>
    </w:p>
    <w:p>
      <w:pPr>
        <w:numPr>
          <w:ilvl w:val="0"/>
          <w:numId w:val="1011"/>
        </w:numPr>
        <w:pStyle w:val="Compact"/>
      </w:pPr>
      <w:r>
        <w:t xml:space="preserve">Enlaces oficiales, inicios rápidos seguros, pruebas y limitaciones.*</w:t>
      </w:r>
    </w:p>
    <w:p>
      <w:pPr>
        <w:pStyle w:val="FirstParagraph"/>
      </w:pPr>
      <w:r>
        <w:rPr>
          <w:bCs/>
          <w:b/>
        </w:rPr>
        <w:t xml:space="preserve">Herramienta</w:t>
      </w:r>
      <w:r>
        <w:t xml:space="preserve"> </w:t>
      </w:r>
      <w:r>
        <w:t xml:space="preserve">|**</w:t>
      </w:r>
    </w:p>
    <w:p>
      <w:pPr>
        <w:pStyle w:val="BodyText"/>
      </w:pPr>
      <w:r>
        <w:t xml:space="preserve">|——————————————————– La vida—————— |</w:t>
      </w:r>
      <w:r>
        <w:t xml:space="preserve"> </w:t>
      </w:r>
      <w:r>
        <w:t xml:space="preserve">TEN CIS Controls Navigator TEN Seleccionar IGs y explorar asignaciones oficiales TEN TODO |</w:t>
      </w:r>
      <w:r>
        <w:t xml:space="preserve"> </w:t>
      </w:r>
      <w:r>
        <w:t xml:space="preserve">Evaluación de Controles de CIS Especificación ← Orientación oficial de medición</w:t>
      </w:r>
      <w:r>
        <w:t xml:space="preserve"> </w:t>
      </w:r>
      <w:r>
        <w:t xml:space="preserve">| CIS-CAT Lite ← Selected CIS Evaluación de parámetros latitud 4 |</w:t>
      </w:r>
      <w:r>
        <w:t xml:space="preserve"> </w:t>
      </w:r>
      <w:r>
        <w:t xml:space="preserve">| CISO Asistente |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 Evaluación de la configuración segura de Linux TEN 4, 7 |</w:t>
      </w:r>
      <w:r>
        <w:t xml:space="preserve"> </w:t>
      </w:r>
      <w:r>
        <w:t xml:space="preserve">| Lynis para la seguridad de Linux auditando | 4, 7 |</w:t>
      </w:r>
      <w:r>
        <w:t xml:space="preserve"> </w:t>
      </w:r>
      <w:r>
        <w:t xml:space="preserve">| Nmap | Autorizado activo y descubrimiento de servicios | 1, 12</w:t>
      </w:r>
      <w:r>
        <w:t xml:space="preserve"> </w:t>
      </w:r>
      <w:r>
        <w:t xml:space="preserve">| Greenbone Community Edition | Vulnerability assessment | 7</w:t>
      </w:r>
      <w:r>
        <w:t xml:space="preserve"> </w:t>
      </w:r>
      <w:r>
        <w:t xml:space="preserve">tención Trivy Silencioso Repositorios, imágenes, dependencias, secretos, y IaC Silencioso 2, 4, 7, 16 |</w:t>
      </w:r>
      <w:r>
        <w:t xml:space="preserve"> </w:t>
      </w:r>
      <w:r>
        <w:t xml:space="preserve">| OWASP ZAP | Pruebas autorizadas de seguridad web</w:t>
      </w:r>
      <w:r>
        <w:t xml:space="preserve"> </w:t>
      </w:r>
      <w:r>
        <w:t xml:space="preserve">| Suricata | Red detección de intrusiones y visibilidad de tráfico | 8, 13, 17 |</w:t>
      </w:r>
      <w:r>
        <w:t xml:space="preserve"> </w:t>
      </w:r>
      <w:r>
        <w:t xml:space="preserve">TENER Keycloak | Identidad, roles, MFA, sesiones y eventos</w:t>
      </w:r>
      <w:r>
        <w:t xml:space="preserve"> </w:t>
      </w:r>
      <w:r>
        <w:t xml:space="preserve">← DefectoDojo tóxico Encontrar la ingesta, la deduplicación, la remediación y la retesta | 7, 16, 18</w:t>
      </w:r>
      <w:r>
        <w:t xml:space="preserve"> </w:t>
      </w:r>
      <w:r>
        <w:t xml:space="preserve">| Velociraptor | Visibilidad de endpoint y respuesta a los incidentes</w:t>
      </w:r>
    </w:p>
    <w:p>
      <w:pPr>
        <w:numPr>
          <w:ilvl w:val="0"/>
          <w:numId w:val="1012"/>
        </w:numPr>
        <w:pStyle w:val="Compact"/>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w:t>
      </w:r>
      <w:r>
        <w:t xml:space="preserve"> </w:t>
      </w:r>
      <w:r>
        <w:t xml:space="preserve">|. |</w:t>
      </w:r>
    </w:p>
    <w:bookmarkStart w:id="38"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38"/>
    <w:bookmarkStart w:id="40"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39">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40"/>
    <w:bookmarkStart w:id="41"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3"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42">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5" w:name="wazuh"/>
    <w:p>
      <w:pPr>
        <w:pStyle w:val="Heading2"/>
      </w:pPr>
      <w:r>
        <w:t xml:space="preserve">24.5 Wazuh</w:t>
      </w:r>
    </w:p>
    <w:p>
      <w:pPr>
        <w:pStyle w:val="FirstParagraph"/>
      </w:pPr>
      <w:r>
        <w:t xml:space="preserve">Propósito: Monitoreo de punto final, SIEM, FIM y alertas. Proyecto oficial:</w:t>
      </w:r>
      <w:r>
        <w:t xml:space="preserve"> </w:t>
      </w:r>
      <w:hyperlink r:id="rId44">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45"/>
    <w:bookmarkStart w:id="46"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46"/>
    <w:bookmarkStart w:id="48"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47">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48"/>
    <w:bookmarkStart w:id="50" w:name="lynis"/>
    <w:p>
      <w:pPr>
        <w:pStyle w:val="Heading2"/>
      </w:pPr>
      <w:r>
        <w:t xml:space="preserve">24.8 Lynis</w:t>
      </w:r>
    </w:p>
    <w:p>
      <w:pPr>
        <w:pStyle w:val="FirstParagraph"/>
      </w:pPr>
      <w:r>
        <w:t xml:space="preserve">Propósito: Auditoría de seguridad de Linux. Proyecto oficial:</w:t>
      </w:r>
      <w:r>
        <w:t xml:space="preserve"> </w:t>
      </w:r>
      <w:hyperlink r:id="rId49">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50"/>
    <w:bookmarkStart w:id="52" w:name="nmap"/>
    <w:p>
      <w:pPr>
        <w:pStyle w:val="Heading2"/>
      </w:pPr>
      <w:r>
        <w:t xml:space="preserve">24.9 Nmap</w:t>
      </w:r>
    </w:p>
    <w:p>
      <w:pPr>
        <w:pStyle w:val="FirstParagraph"/>
      </w:pPr>
      <w:r>
        <w:t xml:space="preserve">Propósito: Activo autorizado y descubrimiento de servicios. Proyecto oficial:</w:t>
      </w:r>
      <w:r>
        <w:t xml:space="preserve"> </w:t>
      </w:r>
      <w:hyperlink r:id="rId51">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52"/>
    <w:bookmarkStart w:id="53"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3"/>
    <w:bookmarkStart w:id="54"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54"/>
    <w:bookmarkStart w:id="55"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55"/>
    <w:bookmarkStart w:id="56"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56"/>
    <w:bookmarkStart w:id="58" w:name="keycloak"/>
    <w:p>
      <w:pPr>
        <w:pStyle w:val="Heading2"/>
      </w:pPr>
      <w:r>
        <w:t xml:space="preserve">24.14 Keycloak</w:t>
      </w:r>
    </w:p>
    <w:p>
      <w:pPr>
        <w:pStyle w:val="FirstParagraph"/>
      </w:pPr>
      <w:r>
        <w:t xml:space="preserve">Propósito: Identidad, roles, MFA, sesiones y eventos. Proyecto oficial:</w:t>
      </w:r>
      <w:r>
        <w:t xml:space="preserve"> </w:t>
      </w:r>
      <w:hyperlink r:id="rId57">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58"/>
    <w:bookmarkStart w:id="60"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59">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60"/>
    <w:bookmarkStart w:id="62" w:name="velociraptor"/>
    <w:p>
      <w:pPr>
        <w:pStyle w:val="Heading2"/>
      </w:pPr>
      <w:r>
        <w:t xml:space="preserve">24.16 Velociraptor</w:t>
      </w:r>
    </w:p>
    <w:p>
      <w:pPr>
        <w:pStyle w:val="FirstParagraph"/>
      </w:pPr>
      <w:r>
        <w:t xml:space="preserve">Finalidad: visibilidad y respuesta a incidentes. Proyecto oficial:</w:t>
      </w:r>
      <w:r>
        <w:t xml:space="preserve"> </w:t>
      </w:r>
      <w:hyperlink r:id="rId61">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62"/>
    <w:bookmarkEnd w:id="63"/>
    <w:bookmarkStart w:id="64" w:name="manual-de-controles-cis-de-manager"/>
    <w:p>
      <w:pPr>
        <w:pStyle w:val="Heading1"/>
      </w:pPr>
      <w:r>
        <w:t xml:space="preserve">25. Manual de Controles CIS de Manager</w:t>
      </w:r>
    </w:p>
    <w:p>
      <w:pPr>
        <w:pStyle w:val="FirstParagraph"/>
      </w:pPr>
      <w:r>
        <w:rPr>
          <w:iCs/>
          <w:i/>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r>
        <w:tc>
          <w:tcPr/>
          <w:p>
            <w:pPr>
              <w:pStyle w:val="Compact"/>
              <w:jc w:val="left"/>
            </w:pPr>
            <w:r>
              <w:t xml:space="preserve">IG y alcance</w:t>
            </w:r>
          </w:p>
        </w:tc>
      </w:tr>
      <w:tr>
        <w:tc>
          <w:tcPr/>
          <w:p>
            <w:pPr>
              <w:pStyle w:val="Compact"/>
              <w:jc w:val="lef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64"/>
    <w:bookmarkStart w:id="66"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65"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65"/>
    <w:bookmarkEnd w:id="66"/>
    <w:bookmarkStart w:id="76"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5"/>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rPr>
          <w:bCs/>
          <w:b/>
        </w:rPr>
        <w:t xml:space="preserve">Artifact</w:t>
      </w:r>
      <w:r>
        <w:t xml:space="preserve"> </w:t>
      </w:r>
      <w:r>
        <w:t xml:space="preserve">|</w:t>
      </w:r>
      <w:r>
        <w:t xml:space="preserve"> </w:t>
      </w:r>
      <w:r>
        <w:rPr>
          <w:bCs/>
          <w:b/>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numPr>
          <w:ilvl w:val="0"/>
          <w:numId w:val="1017"/>
        </w:numPr>
        <w:pStyle w:val="Compact"/>
      </w:pPr>
      <w:r>
        <w:t xml:space="preserve">Plan de aprendizaje de 30 días</w:t>
      </w:r>
    </w:p>
    <w:p>
      <w:pPr>
        <w:pStyle w:val="FirstParagraph"/>
      </w:pPr>
      <w:r>
        <w:rPr>
          <w:iCs/>
          <w:i/>
        </w:rPr>
        <w:t xml:space="preserve">Un calendario centrado para la capacidad útil de nivel inferior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tención 5–8 Silencioso Activos, software, datos, cuentas, acceso</w:t>
            </w:r>
          </w:p>
        </w:tc>
      </w:tr>
      <w:tr>
        <w:tc>
          <w:tcPr/>
          <w:p>
            <w:pPr>
              <w:pStyle w:val="Compact"/>
              <w:jc w:val="left"/>
            </w:pPr>
            <w:r>
              <w:t xml:space="preserve">TEN 9–12</w:t>
            </w:r>
          </w:p>
        </w:tc>
      </w:tr>
      <w:tr>
        <w:tc>
          <w:tcPr/>
          <w:p>
            <w:pPr>
              <w:pStyle w:val="Compact"/>
              <w:jc w:val="left"/>
            </w:pPr>
            <w:r>
              <w:t xml:space="preserve">13–16 Silenciosos Logs, monitoreo, defensa de la red</w:t>
            </w:r>
          </w:p>
        </w:tc>
      </w:tr>
      <w:tr>
        <w:tc>
          <w:tcPr/>
          <w:p>
            <w:pPr>
              <w:pStyle w:val="Compact"/>
              <w:jc w:val="left"/>
            </w:pPr>
            <w:r>
              <w:t xml:space="preserve">17–19 Silencioso recuperación y respuesta a incidentes</w:t>
            </w:r>
          </w:p>
        </w:tc>
      </w:tr>
      <w:tr>
        <w:tc>
          <w:tcPr/>
          <w:p>
            <w:pPr>
              <w:pStyle w:val="Compact"/>
              <w:jc w:val="left"/>
            </w:pPr>
            <w:r>
              <w:t xml:space="preserve">20–22</w:t>
            </w:r>
          </w:p>
        </w:tc>
      </w:tr>
      <w:tr>
        <w:tc>
          <w:tcPr/>
          <w:p>
            <w:pPr>
              <w:pStyle w:val="Compact"/>
              <w:jc w:val="left"/>
            </w:pPr>
            <w:r>
              <w:t xml:space="preserve">Silencioso 23–25 Evaluación de la vida Especificación</w:t>
            </w:r>
          </w:p>
        </w:tc>
      </w:tr>
      <w:tr>
        <w:tc>
          <w:tcPr/>
          <w:p>
            <w:pPr>
              <w:pStyle w:val="Compact"/>
              <w:jc w:val="left"/>
            </w:pPr>
            <w:r>
              <w:t xml:space="preserve">26–28</w:t>
            </w:r>
          </w:p>
        </w:tc>
      </w:tr>
      <w:tr>
        <w:tc>
          <w:tcPr/>
          <w:p>
            <w:pPr>
              <w:pStyle w:val="Compact"/>
              <w:jc w:val="left"/>
            </w:pPr>
            <w:r>
              <w:t xml:space="preserve">TEN 29–30</w:t>
            </w:r>
          </w:p>
        </w:tc>
      </w:tr>
    </w:tbl>
    <w:p>
      <w:pPr>
        <w:numPr>
          <w:ilvl w:val="0"/>
          <w:numId w:val="1018"/>
        </w:numPr>
        <w:pStyle w:val="Compact"/>
      </w:pPr>
      <w:r>
        <w:t xml:space="preserve">Preparación de entrevistas</w:t>
      </w:r>
    </w:p>
    <w:p>
      <w:pPr>
        <w:numPr>
          <w:ilvl w:val="0"/>
          <w:numId w:val="1019"/>
        </w:numPr>
        <w:pStyle w:val="Compact"/>
      </w:pPr>
      <w:r>
        <w:t xml:space="preserve">Respuestas claras, escenarios prácticos y preguntas para el empleador.*</w:t>
      </w:r>
    </w:p>
    <w:bookmarkStart w:id="67"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67"/>
    <w:bookmarkStart w:id="68"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68"/>
    <w:bookmarkStart w:id="69"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69"/>
    <w:bookmarkStart w:id="70"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70"/>
    <w:bookmarkStart w:id="71"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71"/>
    <w:bookmarkStart w:id="72"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72"/>
    <w:bookmarkStart w:id="73"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73"/>
    <w:bookmarkStart w:id="74"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74"/>
    <w:bookmarkStart w:id="75"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75"/>
    <w:bookmarkEnd w:id="76"/>
    <w:bookmarkStart w:id="85" w:name="plantillas-glosario-índice-y-referencias"/>
    <w:p>
      <w:pPr>
        <w:pStyle w:val="Heading1"/>
      </w:pPr>
      <w:r>
        <w:t xml:space="preserve">30. Plantillas, Glosario, Índice y Referencias</w:t>
      </w:r>
    </w:p>
    <w:p>
      <w:pPr>
        <w:numPr>
          <w:ilvl w:val="0"/>
          <w:numId w:val="1020"/>
        </w:numPr>
        <w:pStyle w:val="Compact"/>
      </w:pPr>
      <w:r>
        <w:t xml:space="preserve">Estructuras de trabajo reutilizables, términos importantes y puntos de partida autorizados.*</w:t>
      </w:r>
    </w:p>
    <w:bookmarkStart w:id="77"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77"/>
    <w:bookmarkStart w:id="78" w:name="finding-and-retest-record"/>
    <w:p>
      <w:pPr>
        <w:pStyle w:val="Heading2"/>
      </w:pPr>
      <w:r>
        <w:t xml:space="preserve">30.2 Finding and retest record</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78"/>
    <w:bookmarkStart w:id="79"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79"/>
    <w:bookmarkStart w:id="80"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80"/>
    <w:bookmarkStart w:id="84"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81">
        <w:r>
          <w:rPr>
            <w:rStyle w:val="Hyperlink"/>
          </w:rPr>
          <w:t xml:space="preserve">Nota de Controles CIS</w:t>
        </w:r>
      </w:hyperlink>
    </w:p>
    <w:p>
      <w:pPr>
        <w:pStyle w:val="BodyText"/>
      </w:pPr>
      <w:r>
        <w:t xml:space="preserve">[ ]](https://www.cisecurity.org/controls/implementation-groups)</w:t>
      </w:r>
    </w:p>
    <w:p>
      <w:pPr>
        <w:pStyle w:val="BodyText"/>
      </w:pPr>
      <w:hyperlink r:id="rId82">
        <w:r>
          <w:rPr>
            <w:rStyle w:val="Hyperlink"/>
          </w:rPr>
          <w:t xml:space="preserve">Seguido</w:t>
        </w:r>
      </w:hyperlink>
    </w:p>
    <w:p>
      <w:pPr>
        <w:pStyle w:val="BodyText"/>
      </w:pPr>
      <w:hyperlink r:id="rId39">
        <w:r>
          <w:rPr>
            <w:rStyle w:val="Hyperlink"/>
          </w:rPr>
          <w:t xml:space="preserve">Seguido</w:t>
        </w:r>
      </w:hyperlink>
    </w:p>
    <w:p>
      <w:pPr>
        <w:pStyle w:val="BodyText"/>
      </w:pPr>
      <w:hyperlink r:id="rId83">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2026-07-28T19:35:35Z</dcterms:created>
  <dcterms:modified xsi:type="dcterms:W3CDTF">2026-07-28T19:35:35Z</dcterms:modified>
</cp:coreProperties>
</file>

<file path=docProps/custom.xml><?xml version="1.0" encoding="utf-8"?>
<Properties xmlns="http://schemas.openxmlformats.org/officeDocument/2006/custom-properties" xmlns:vt="http://schemas.openxmlformats.org/officeDocument/2006/docPropsVTypes"/>
</file>