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2"/>
    <w:bookmarkStart w:id="24" w:name="uso-ético-e-autorizado"/>
    <w:p>
      <w:pPr>
        <w:pStyle w:val="Heading1"/>
      </w:pPr>
      <w:r>
        <w:t xml:space="preserve"># 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HIPAA Playbook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Compliance and investigations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hipaa-playbook-do-gerente"/>
    <w:p>
      <w:pPr>
        <w:pStyle w:val="Heading1"/>
      </w:pPr>
      <w:r>
        <w:t xml:space="preserve">13. HIPAA Playbook do gerente</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Scoping □ Covered-entity and business-associate role memo</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HHS/ONC Security Risk Assessment Tool:</w:t>
      </w:r>
      <w:r>
        <w:t xml:space="preserve"> </w:t>
      </w:r>
      <w:hyperlink r:id="rId127">
        <w:r>
          <w:rPr>
            <w:rStyle w:val="Hyperlink"/>
          </w:rPr>
          <w:t xml:space="preserve">Open the official SRA Tool page</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HIPAA Audit Protocol</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2026-07-28T19:35:56Z</dcterms:created>
  <dcterms:modified xsi:type="dcterms:W3CDTF">2026-07-28T19:35:56Z</dcterms:modified>
</cp:coreProperties>
</file>

<file path=docProps/custom.xml><?xml version="1.0" encoding="utf-8"?>
<Properties xmlns="http://schemas.openxmlformats.org/officeDocument/2006/custom-properties" xmlns:vt="http://schemas.openxmlformats.org/officeDocument/2006/docPropsVTypes"/>
</file>