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Digital Evidence and Forensic Readiness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Compliance Mapping, Evidence Testing, and Metrics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Libro de Resiliencia del Administrador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playbook-design"/>
    <w:p>
      <w:pPr>
        <w:pStyle w:val="Heading2"/>
      </w:pPr>
      <w:r>
        <w:t xml:space="preserve">5.2 Playbook design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6. Evidence integrity and custody</w:t>
      </w:r>
    </w:p>
    <w:bookmarkStart w:id="48" w:name="evidence-record"/>
    <w:p>
      <w:pPr>
        <w:pStyle w:val="Heading2"/>
      </w:pPr>
      <w:r>
        <w:t xml:space="preserve">14.1 Evidence record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libro-de-resiliencia-de-manager"/>
    <w:p>
      <w:pPr>
        <w:pStyle w:val="Heading1"/>
      </w:pPr>
      <w:r>
        <w:t xml:space="preserve">27. Libro de Resiliencia de Manager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evidence-and-chain-of-custody-record"/>
    <w:p>
      <w:pPr>
        <w:pStyle w:val="Heading2"/>
      </w:pPr>
      <w:r>
        <w:t xml:space="preserve">30.3 Evidence and chain-of-custody record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2026-07-28T19:35:43Z</dcterms:created>
  <dcterms:modified xsi:type="dcterms:W3CDTF">2026-07-28T19:35:43Z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