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44 — Implementación controlada de NIST SSDF / SP 800-218</w:t>
      </w:r>
    </w:p>
    <w:p>
      <w:pPr>
        <w:spacing w:after="120"/>
      </w:pPr>
      <w:r>
        <w:t>**Línea base controlada:** NIST SP 800-218 SSDF v1.1 final y SP 800-218A final como perfil comunitario de IA. SP 800-218 Rev.1 / SSDF v1.2 permanece en vigilancia de cambios salvo reverificación como final al publicar.</w:t>
      </w:r>
    </w:p>
    <w:p>
      <w:pPr>
        <w:pStyle w:val="Heading2"/>
      </w:pPr>
      <w:r>
        <w:t>Chapter 01 — Jerarquía de fuentes y versiones</w:t>
      </w:r>
    </w:p>
    <w:p>
      <w:pPr>
        <w:spacing w:after="120"/>
      </w:pPr>
      <w:r>
        <w:t>Mantener estado final/borrador, fuentes autoritativas, fechas, vigilancia de cambios, responsables y evidencia.</w:t>
      </w:r>
    </w:p>
    <w:p>
      <w:pPr>
        <w:pStyle w:val="Heading2"/>
      </w:pPr>
      <w:r>
        <w:t>Chapter 02 — Alcance de SSDF</w:t>
      </w:r>
    </w:p>
    <w:p>
      <w:pPr>
        <w:spacing w:after="120"/>
      </w:pPr>
      <w:r>
        <w:t>Definir productos, servicios, código, infraestructura, canalizaciones, proveedores, componentes de IA y etapas del ciclo de vida.</w:t>
      </w:r>
    </w:p>
    <w:p>
      <w:pPr>
        <w:pStyle w:val="Heading2"/>
      </w:pPr>
      <w:r>
        <w:t>Chapter 03 — Preparar la organización</w:t>
      </w:r>
    </w:p>
    <w:p>
      <w:pPr>
        <w:spacing w:after="120"/>
      </w:pPr>
      <w:r>
        <w:t>Establecer políticas, roles, recursos, capacitación, herramientas, entornos, métodos de riesgo y gobierno.</w:t>
      </w:r>
    </w:p>
    <w:p>
      <w:pPr>
        <w:pStyle w:val="Heading2"/>
      </w:pPr>
      <w:r>
        <w:t>Chapter 04 — Proteger el software</w:t>
      </w:r>
    </w:p>
    <w:p>
      <w:pPr>
        <w:spacing w:after="120"/>
      </w:pPr>
      <w:r>
        <w:t>Proteger código fuente, repositorios, compilaciones, credenciales, artefactos, configuraciones y entornos.</w:t>
      </w:r>
    </w:p>
    <w:p>
      <w:pPr>
        <w:pStyle w:val="Heading2"/>
      </w:pPr>
      <w:r>
        <w:t>Chapter 05 — Producir software bien protegido</w:t>
      </w:r>
    </w:p>
    <w:p>
      <w:pPr>
        <w:spacing w:after="120"/>
      </w:pPr>
      <w:r>
        <w:t>Aplicar diseño, implementación, revisión, análisis, pruebas, dependencias, configuración e integridad de liberación.</w:t>
      </w:r>
    </w:p>
    <w:p>
      <w:pPr>
        <w:pStyle w:val="Heading2"/>
      </w:pPr>
      <w:r>
        <w:t>Chapter 06 — Responder a vulnerabilidades</w:t>
      </w:r>
    </w:p>
    <w:p>
      <w:pPr>
        <w:spacing w:after="120"/>
      </w:pPr>
      <w:r>
        <w:t>Operar recepción, triaje, análisis, remediación, divulgación, coordinación, verificación y lecciones aprendidas.</w:t>
      </w:r>
    </w:p>
    <w:p>
      <w:pPr>
        <w:pStyle w:val="Heading2"/>
      </w:pPr>
      <w:r>
        <w:t>Chapter 07 — Gobierno y roles</w:t>
      </w:r>
    </w:p>
    <w:p>
      <w:pPr>
        <w:spacing w:after="120"/>
      </w:pPr>
      <w:r>
        <w:t>Asignar responsables en producto, ingeniería, seguridad, operaciones, compras, legal, privacidad, riesgo y dirección.</w:t>
      </w:r>
    </w:p>
    <w:p>
      <w:pPr>
        <w:pStyle w:val="Heading2"/>
      </w:pPr>
      <w:r>
        <w:t>Chapter 08 — Diseño seguro</w:t>
      </w:r>
    </w:p>
    <w:p>
      <w:pPr>
        <w:spacing w:after="120"/>
      </w:pPr>
      <w:r>
        <w:t>Definir requisitos, límites de confianza, valores seguros por defecto, protección de datos y privilegios.</w:t>
      </w:r>
    </w:p>
    <w:p>
      <w:pPr>
        <w:pStyle w:val="Heading2"/>
      </w:pPr>
      <w:r>
        <w:t>Chapter 09 — Modelado de amenazas</w:t>
      </w:r>
    </w:p>
    <w:p>
      <w:pPr>
        <w:spacing w:after="120"/>
      </w:pPr>
      <w:r>
        <w:t>Identificar activos, adversarios, rutas de ataque, casos de abuso, dependencias, mitigaciones y riesgo residual.</w:t>
      </w:r>
    </w:p>
    <w:p>
      <w:pPr>
        <w:pStyle w:val="Heading2"/>
      </w:pPr>
      <w:r>
        <w:t>Chapter 10 — Revisión de arquitectura</w:t>
      </w:r>
    </w:p>
    <w:p>
      <w:pPr>
        <w:spacing w:after="120"/>
      </w:pPr>
      <w:r>
        <w:t>Revisar identidad, flujos, aislamiento, criptografía, resiliencia, interfaces y supuestos de despliegue.</w:t>
      </w:r>
    </w:p>
    <w:p>
      <w:pPr>
        <w:pStyle w:val="Heading2"/>
      </w:pPr>
      <w:r>
        <w:t>Chapter 11 — Control de código fuente</w:t>
      </w:r>
    </w:p>
    <w:p>
      <w:pPr>
        <w:spacing w:after="120"/>
      </w:pPr>
      <w:r>
        <w:t>Proteger ramas, commits, revisiones, identidades, permisos, configuración, procedencia e historial.</w:t>
      </w:r>
    </w:p>
    <w:p>
      <w:pPr>
        <w:pStyle w:val="Heading2"/>
      </w:pPr>
      <w:r>
        <w:t>Chapter 12 — Integridad de compilación</w:t>
      </w:r>
    </w:p>
    <w:p>
      <w:pPr>
        <w:spacing w:after="120"/>
      </w:pPr>
      <w:r>
        <w:t>Asegurar servicios, runners, compiladores, dependencias, configuración, aislamiento, registros y artefactos.</w:t>
      </w:r>
    </w:p>
    <w:p>
      <w:pPr>
        <w:pStyle w:val="Heading2"/>
      </w:pPr>
      <w:r>
        <w:t>Chapter 13 — Gobierno de dependencias</w:t>
      </w:r>
    </w:p>
    <w:p>
      <w:pPr>
        <w:spacing w:after="120"/>
      </w:pPr>
      <w:r>
        <w:t>Inventariar dependencias directas/transitivas y evaluar procedencia, vulnerabilidades, licencias y mantenimiento.</w:t>
      </w:r>
    </w:p>
    <w:p>
      <w:pPr>
        <w:pStyle w:val="Heading2"/>
      </w:pPr>
      <w:r>
        <w:t>Chapter 14 — SBOM y procedencia</w:t>
      </w:r>
    </w:p>
    <w:p>
      <w:pPr>
        <w:spacing w:after="120"/>
      </w:pPr>
      <w:r>
        <w:t>Generar y proteger SBOM, metadatos de origen, atestaciones, relaciones de componentes y retención.</w:t>
      </w:r>
    </w:p>
    <w:p>
      <w:pPr>
        <w:pStyle w:val="Heading2"/>
      </w:pPr>
      <w:r>
        <w:t>Chapter 15 — Secretos</w:t>
      </w:r>
    </w:p>
    <w:p>
      <w:pPr>
        <w:spacing w:after="120"/>
      </w:pPr>
      <w:r>
        <w:t>Evitar secretos codificados; controlar creación, almacenamiento, entrega, escaneo, rotación y revocación.</w:t>
      </w:r>
    </w:p>
    <w:p>
      <w:pPr>
        <w:pStyle w:val="Heading2"/>
      </w:pPr>
      <w:r>
        <w:t>Chapter 16 — Codificación segura</w:t>
      </w:r>
    </w:p>
    <w:p>
      <w:pPr>
        <w:spacing w:after="120"/>
      </w:pPr>
      <w:r>
        <w:t>Aplicar reglas por lenguaje/plataforma para entradas, salidas, errores, memoria, autenticación y autorización.</w:t>
      </w:r>
    </w:p>
    <w:p>
      <w:pPr>
        <w:pStyle w:val="Heading2"/>
      </w:pPr>
      <w:r>
        <w:t>Chapter 17 — Revisión de código y análisis estático</w:t>
      </w:r>
    </w:p>
    <w:p>
      <w:pPr>
        <w:spacing w:after="120"/>
      </w:pPr>
      <w:r>
        <w:t>Usar revisión por pares y análisis automatizado, controlando hallazgos, excepciones y remediación.</w:t>
      </w:r>
    </w:p>
    <w:p>
      <w:pPr>
        <w:pStyle w:val="Heading2"/>
      </w:pPr>
      <w:r>
        <w:t>Chapter 18 — Pruebas dinámicas y de seguridad</w:t>
      </w:r>
    </w:p>
    <w:p>
      <w:pPr>
        <w:spacing w:after="120"/>
      </w:pPr>
      <w:r>
        <w:t>Usar pruebas unitarias, integración, fuzzing, penetración, abuso, API y configuración según riesgo.</w:t>
      </w:r>
    </w:p>
    <w:p>
      <w:pPr>
        <w:pStyle w:val="Heading2"/>
      </w:pPr>
      <w:r>
        <w:t>Chapter 19 — Controles CI/CD</w:t>
      </w:r>
    </w:p>
    <w:p>
      <w:pPr>
        <w:spacing w:after="120"/>
      </w:pPr>
      <w:r>
        <w:t>Proteger definiciones, identidades, aprobaciones, entornos, artefactos, secretos, registros y despliegues.</w:t>
      </w:r>
    </w:p>
    <w:p>
      <w:pPr>
        <w:pStyle w:val="Heading2"/>
      </w:pPr>
      <w:r>
        <w:t>Chapter 20 — Separación de entornos</w:t>
      </w:r>
    </w:p>
    <w:p>
      <w:pPr>
        <w:spacing w:after="120"/>
      </w:pPr>
      <w:r>
        <w:t>Separar desarrollo, prueba, staging, producción, firma, datos sensibles y actividades de alta confianza.</w:t>
      </w:r>
    </w:p>
    <w:p>
      <w:pPr>
        <w:pStyle w:val="Heading2"/>
      </w:pPr>
      <w:r>
        <w:t>Chapter 21 — Integridad, firma y atestación de liberación</w:t>
      </w:r>
    </w:p>
    <w:p>
      <w:pPr>
        <w:spacing w:after="120"/>
      </w:pPr>
      <w:r>
        <w:t>Verificar fuente aprobada, pruebas, dependencias, procedencia, firmas, checksums y autorización.</w:t>
      </w:r>
    </w:p>
    <w:p>
      <w:pPr>
        <w:pStyle w:val="Heading2"/>
      </w:pPr>
      <w:r>
        <w:t>Chapter 22 — Recepción de vulnerabilidades</w:t>
      </w:r>
    </w:p>
    <w:p>
      <w:pPr>
        <w:spacing w:after="120"/>
      </w:pPr>
      <w:r>
        <w:t>Mantener canales internos/externos, divulgación coordinada, deduplicación, severidad y preservación de evidencia.</w:t>
      </w:r>
    </w:p>
    <w:p>
      <w:pPr>
        <w:pStyle w:val="Heading2"/>
      </w:pPr>
      <w:r>
        <w:t>Chapter 23 — Remediación y priorización</w:t>
      </w:r>
    </w:p>
    <w:p>
      <w:pPr>
        <w:spacing w:after="120"/>
      </w:pPr>
      <w:r>
        <w:t>Priorizar por explotabilidad, exposición, impacto, alcance, controles compensatorios y explotación activa.</w:t>
      </w:r>
    </w:p>
    <w:p>
      <w:pPr>
        <w:pStyle w:val="Heading2"/>
      </w:pPr>
      <w:r>
        <w:t>Chapter 24 — Aseguramiento de proveedores</w:t>
      </w:r>
    </w:p>
    <w:p>
      <w:pPr>
        <w:spacing w:after="120"/>
      </w:pPr>
      <w:r>
        <w:t>Evaluar desarrollo, servicios, componentes, dependencias de compilación, incidentes y acciones correctivas.</w:t>
      </w:r>
    </w:p>
    <w:p>
      <w:pPr>
        <w:pStyle w:val="Heading2"/>
      </w:pPr>
      <w:r>
        <w:t>Chapter 25 — Adquisición de software</w:t>
      </w:r>
    </w:p>
    <w:p>
      <w:pPr>
        <w:spacing w:after="120"/>
      </w:pPr>
      <w:r>
        <w:t>Definir requisitos de desarrollo seguro y evaluar evidencia, vulnerabilidades, procedencia, mantenimiento y salida.</w:t>
      </w:r>
    </w:p>
    <w:p>
      <w:pPr>
        <w:pStyle w:val="Heading2"/>
      </w:pPr>
      <w:r>
        <w:t>Chapter 26 — Retroalimentación de incidentes</w:t>
      </w:r>
    </w:p>
    <w:p>
      <w:pPr>
        <w:spacing w:after="120"/>
      </w:pPr>
      <w:r>
        <w:t>Incorporar incidentes, vulnerabilidades, red-team y postmortems en requisitos, diseño, capacitación y controles.</w:t>
      </w:r>
    </w:p>
    <w:p>
      <w:pPr>
        <w:pStyle w:val="Heading2"/>
      </w:pPr>
      <w:r>
        <w:t>Chapter 27 — Controles del perfil de desarrollo de IA</w:t>
      </w:r>
    </w:p>
    <w:p>
      <w:pPr>
        <w:spacing w:after="120"/>
      </w:pPr>
      <w:r>
        <w:t>Aplicar SP 800-218A cuando corresponda a modelos, código, datos, procedencia, evaluación y despliegue.</w:t>
      </w:r>
    </w:p>
    <w:p>
      <w:pPr>
        <w:pStyle w:val="Heading2"/>
      </w:pPr>
      <w:r>
        <w:t>Chapter 28 — Límites de superposiciones federales y contractuales</w:t>
      </w:r>
    </w:p>
    <w:p>
      <w:pPr>
        <w:spacing w:after="120"/>
      </w:pPr>
      <w:r>
        <w:t>Mantener SSDF separado de mandatos de agencia, cláusulas, contratos, normas sectoriales y requisitos internos.</w:t>
      </w:r>
    </w:p>
    <w:p>
      <w:pPr>
        <w:pStyle w:val="Heading2"/>
      </w:pPr>
      <w:r>
        <w:t>Chapter 29 — Evidencia y métricas</w:t>
      </w:r>
    </w:p>
    <w:p>
      <w:pPr>
        <w:spacing w:after="120"/>
      </w:pPr>
      <w:r>
        <w:t>Medir adopción, cobertura, antigüedad de vulnerabilidades, revisiones, pruebas, dependencias y excepciones.</w:t>
      </w:r>
    </w:p>
    <w:p>
      <w:pPr>
        <w:pStyle w:val="Heading2"/>
      </w:pPr>
      <w:r>
        <w:t>Chapter 30 — Excepciones y mejora continua</w:t>
      </w:r>
    </w:p>
    <w:p>
      <w:pPr>
        <w:spacing w:after="120"/>
      </w:pPr>
      <w:r>
        <w:t>Documentar excepciones, aceptación de riesgo, controles compensatorios, caducidad y acciones correctivas.</w:t>
      </w:r>
    </w:p>
    <w:p>
      <w:pPr>
        <w:pStyle w:val="Heading2"/>
      </w:pPr>
      <w:r>
        <w:t>Chapter 31 — Localización y procedencia</w:t>
      </w:r>
    </w:p>
    <w:p>
      <w:pPr>
        <w:spacing w:after="120"/>
      </w:pPr>
      <w:r>
        <w:t>Congelar candidatos EN/es-419/pt-BR y vincular identidades DOCX/PDF a SHA-256 con evidencia de QA.</w:t>
      </w:r>
    </w:p>
    <w:p>
      <w:pPr>
        <w:pStyle w:val="Heading2"/>
      </w:pPr>
      <w:r>
        <w:t>Chapter 32 — Vigilancia de borradores y reverificación final</w:t>
      </w:r>
    </w:p>
    <w:p>
      <w:pPr>
        <w:spacing w:after="120"/>
      </w:pPr>
      <w:r>
        <w:t>Antes de publicar, confirmar estado NIST, publicación del Manual 43, identidad exacta y QA limpio.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