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44 — Implementação controlada do NIST SSDF / SP 800-218</w:t>
      </w:r>
    </w:p>
    <w:p>
      <w:pPr>
        <w:spacing w:after="120"/>
      </w:pPr>
      <w:r>
        <w:t>**Linha de base controlada:** NIST SP 800-218 SSDF v1.1 final e SP 800-218A final como perfil comunitário de IA. SP 800-218 Rev.1 / SSDF v1.2 permanece em monitoramento até reverificação como final na publicação.</w:t>
      </w:r>
    </w:p>
    <w:p>
      <w:pPr>
        <w:pStyle w:val="Heading2"/>
      </w:pPr>
      <w:r>
        <w:t>Chapter 01 — Hierarquia de fontes e versões</w:t>
      </w:r>
    </w:p>
    <w:p>
      <w:pPr>
        <w:spacing w:after="120"/>
      </w:pPr>
      <w:r>
        <w:t>Manter status final/rascunho, fontes autoritativas, datas, monitoramento de mudanças, responsáveis e evidências.</w:t>
      </w:r>
    </w:p>
    <w:p>
      <w:pPr>
        <w:pStyle w:val="Heading2"/>
      </w:pPr>
      <w:r>
        <w:t>Chapter 02 — Escopo do SSDF</w:t>
      </w:r>
    </w:p>
    <w:p>
      <w:pPr>
        <w:spacing w:after="120"/>
      </w:pPr>
      <w:r>
        <w:t>Definir produtos, serviços, código, infraestrutura, pipelines, fornecedores, componentes de IA e etapas do ciclo de vida.</w:t>
      </w:r>
    </w:p>
    <w:p>
      <w:pPr>
        <w:pStyle w:val="Heading2"/>
      </w:pPr>
      <w:r>
        <w:t>Chapter 03 — Preparar a organização</w:t>
      </w:r>
    </w:p>
    <w:p>
      <w:pPr>
        <w:spacing w:after="120"/>
      </w:pPr>
      <w:r>
        <w:t>Estabelecer políticas, funções, recursos, treinamento, ferramentas, ambientes, métodos de risco e governança.</w:t>
      </w:r>
    </w:p>
    <w:p>
      <w:pPr>
        <w:pStyle w:val="Heading2"/>
      </w:pPr>
      <w:r>
        <w:t>Chapter 04 — Proteger o software</w:t>
      </w:r>
    </w:p>
    <w:p>
      <w:pPr>
        <w:spacing w:after="120"/>
      </w:pPr>
      <w:r>
        <w:t>Proteger código-fonte, repositórios, builds, credenciais, artefatos, configurações e ambientes.</w:t>
      </w:r>
    </w:p>
    <w:p>
      <w:pPr>
        <w:pStyle w:val="Heading2"/>
      </w:pPr>
      <w:r>
        <w:t>Chapter 05 — Produzir software bem protegido</w:t>
      </w:r>
    </w:p>
    <w:p>
      <w:pPr>
        <w:spacing w:after="120"/>
      </w:pPr>
      <w:r>
        <w:t>Aplicar design, implementação, revisão, análise, testes, dependências, configuração e integridade de release.</w:t>
      </w:r>
    </w:p>
    <w:p>
      <w:pPr>
        <w:pStyle w:val="Heading2"/>
      </w:pPr>
      <w:r>
        <w:t>Chapter 06 — Responder a vulnerabilidades</w:t>
      </w:r>
    </w:p>
    <w:p>
      <w:pPr>
        <w:spacing w:after="120"/>
      </w:pPr>
      <w:r>
        <w:t>Operar recebimento, triagem, análise, remediação, divulgação, coordenação, verificação e lições aprendidas.</w:t>
      </w:r>
    </w:p>
    <w:p>
      <w:pPr>
        <w:pStyle w:val="Heading2"/>
      </w:pPr>
      <w:r>
        <w:t>Chapter 07 — Governança e funções</w:t>
      </w:r>
    </w:p>
    <w:p>
      <w:pPr>
        <w:spacing w:after="120"/>
      </w:pPr>
      <w:r>
        <w:t>Atribuir responsáveis em produto, engenharia, segurança, operações, compras, jurídico, privacidade, risco e direção.</w:t>
      </w:r>
    </w:p>
    <w:p>
      <w:pPr>
        <w:pStyle w:val="Heading2"/>
      </w:pPr>
      <w:r>
        <w:t>Chapter 08 — Design seguro</w:t>
      </w:r>
    </w:p>
    <w:p>
      <w:pPr>
        <w:spacing w:after="120"/>
      </w:pPr>
      <w:r>
        <w:t>Definir requisitos, limites de confiança, padrões seguros, proteção de dados e limites de privilégio.</w:t>
      </w:r>
    </w:p>
    <w:p>
      <w:pPr>
        <w:pStyle w:val="Heading2"/>
      </w:pPr>
      <w:r>
        <w:t>Chapter 09 — Modelagem de ameaças</w:t>
      </w:r>
    </w:p>
    <w:p>
      <w:pPr>
        <w:spacing w:after="120"/>
      </w:pPr>
      <w:r>
        <w:t>Identificar ativos, adversários, caminhos de ataque, casos de abuso, dependências, mitigação e risco residual.</w:t>
      </w:r>
    </w:p>
    <w:p>
      <w:pPr>
        <w:pStyle w:val="Heading2"/>
      </w:pPr>
      <w:r>
        <w:t>Chapter 10 — Revisão de arquitetura</w:t>
      </w:r>
    </w:p>
    <w:p>
      <w:pPr>
        <w:spacing w:after="120"/>
      </w:pPr>
      <w:r>
        <w:t>Revisar identidade, fluxos, isolamento, criptografia, resiliência, interfaces e premissas de implantação.</w:t>
      </w:r>
    </w:p>
    <w:p>
      <w:pPr>
        <w:pStyle w:val="Heading2"/>
      </w:pPr>
      <w:r>
        <w:t>Chapter 11 — Controle de código-fonte</w:t>
      </w:r>
    </w:p>
    <w:p>
      <w:pPr>
        <w:spacing w:after="120"/>
      </w:pPr>
      <w:r>
        <w:t>Proteger branches, commits, revisões, identidades, permissões, configurações, proveniência e histórico.</w:t>
      </w:r>
    </w:p>
    <w:p>
      <w:pPr>
        <w:pStyle w:val="Heading2"/>
      </w:pPr>
      <w:r>
        <w:t>Chapter 12 — Integridade de build</w:t>
      </w:r>
    </w:p>
    <w:p>
      <w:pPr>
        <w:spacing w:after="120"/>
      </w:pPr>
      <w:r>
        <w:t>Proteger serviços, runners, compiladores, dependências, configuração, isolamento, logs e artefatos.</w:t>
      </w:r>
    </w:p>
    <w:p>
      <w:pPr>
        <w:pStyle w:val="Heading2"/>
      </w:pPr>
      <w:r>
        <w:t>Chapter 13 — Governança de dependências</w:t>
      </w:r>
    </w:p>
    <w:p>
      <w:pPr>
        <w:spacing w:after="120"/>
      </w:pPr>
      <w:r>
        <w:t>Inventariar dependências diretas/transitivas e avaliar proveniência, vulnerabilidades, licenças e manutenção.</w:t>
      </w:r>
    </w:p>
    <w:p>
      <w:pPr>
        <w:pStyle w:val="Heading2"/>
      </w:pPr>
      <w:r>
        <w:t>Chapter 14 — SBOM e proveniência</w:t>
      </w:r>
    </w:p>
    <w:p>
      <w:pPr>
        <w:spacing w:after="120"/>
      </w:pPr>
      <w:r>
        <w:t>Gerar e proteger SBOM, metadados de origem, atestações, relações de componentes e retenção.</w:t>
      </w:r>
    </w:p>
    <w:p>
      <w:pPr>
        <w:pStyle w:val="Heading2"/>
      </w:pPr>
      <w:r>
        <w:t>Chapter 15 — Segredos</w:t>
      </w:r>
    </w:p>
    <w:p>
      <w:pPr>
        <w:spacing w:after="120"/>
      </w:pPr>
      <w:r>
        <w:t>Evitar segredos embutidos; controlar criação, armazenamento, entrega, varredura, rotação e revogação.</w:t>
      </w:r>
    </w:p>
    <w:p>
      <w:pPr>
        <w:pStyle w:val="Heading2"/>
      </w:pPr>
      <w:r>
        <w:t>Chapter 16 — Codificação segura</w:t>
      </w:r>
    </w:p>
    <w:p>
      <w:pPr>
        <w:spacing w:after="120"/>
      </w:pPr>
      <w:r>
        <w:t>Aplicar regras por linguagem/plataforma para entradas, saídas, erros, memória, autenticação e autorização.</w:t>
      </w:r>
    </w:p>
    <w:p>
      <w:pPr>
        <w:pStyle w:val="Heading2"/>
      </w:pPr>
      <w:r>
        <w:t>Chapter 17 — Revisão de código e análise estática</w:t>
      </w:r>
    </w:p>
    <w:p>
      <w:pPr>
        <w:spacing w:after="120"/>
      </w:pPr>
      <w:r>
        <w:t>Usar revisão por pares e análise automatizada, controlando achados, exceções e remediação.</w:t>
      </w:r>
    </w:p>
    <w:p>
      <w:pPr>
        <w:pStyle w:val="Heading2"/>
      </w:pPr>
      <w:r>
        <w:t>Chapter 18 — Testes dinâmicos e de segurança</w:t>
      </w:r>
    </w:p>
    <w:p>
      <w:pPr>
        <w:spacing w:after="120"/>
      </w:pPr>
      <w:r>
        <w:t>Usar testes unitários, integração, fuzzing, penetração, abuso, API e configuração conforme risco.</w:t>
      </w:r>
    </w:p>
    <w:p>
      <w:pPr>
        <w:pStyle w:val="Heading2"/>
      </w:pPr>
      <w:r>
        <w:t>Chapter 19 — Controles CI/CD</w:t>
      </w:r>
    </w:p>
    <w:p>
      <w:pPr>
        <w:spacing w:after="120"/>
      </w:pPr>
      <w:r>
        <w:t>Proteger definições, identidades, aprovações, ambientes, artefatos, segredos, logs e implantações.</w:t>
      </w:r>
    </w:p>
    <w:p>
      <w:pPr>
        <w:pStyle w:val="Heading2"/>
      </w:pPr>
      <w:r>
        <w:t>Chapter 20 — Separação de ambientes</w:t>
      </w:r>
    </w:p>
    <w:p>
      <w:pPr>
        <w:spacing w:after="120"/>
      </w:pPr>
      <w:r>
        <w:t>Separar desenvolvimento, teste, staging, produção, assinatura, dados sensíveis e atividades de alta confiança.</w:t>
      </w:r>
    </w:p>
    <w:p>
      <w:pPr>
        <w:pStyle w:val="Heading2"/>
      </w:pPr>
      <w:r>
        <w:t>Chapter 21 — Integridade, assinatura e atestação de release</w:t>
      </w:r>
    </w:p>
    <w:p>
      <w:pPr>
        <w:spacing w:after="120"/>
      </w:pPr>
      <w:r>
        <w:t>Verificar fonte aprovada, testes, dependências, proveniência, assinaturas, checksums e autorização.</w:t>
      </w:r>
    </w:p>
    <w:p>
      <w:pPr>
        <w:pStyle w:val="Heading2"/>
      </w:pPr>
      <w:r>
        <w:t>Chapter 22 — Recebimento de vulnerabilidades</w:t>
      </w:r>
    </w:p>
    <w:p>
      <w:pPr>
        <w:spacing w:after="120"/>
      </w:pPr>
      <w:r>
        <w:t>Manter canais internos/externos, divulgação coordenada, deduplicação, severidade e preservação de evidência.</w:t>
      </w:r>
    </w:p>
    <w:p>
      <w:pPr>
        <w:pStyle w:val="Heading2"/>
      </w:pPr>
      <w:r>
        <w:t>Chapter 23 — Remediação e priorização</w:t>
      </w:r>
    </w:p>
    <w:p>
      <w:pPr>
        <w:spacing w:after="120"/>
      </w:pPr>
      <w:r>
        <w:t>Priorizar por explorabilidade, exposição, impacto, alcance, controles compensatórios e exploração ativa.</w:t>
      </w:r>
    </w:p>
    <w:p>
      <w:pPr>
        <w:pStyle w:val="Heading2"/>
      </w:pPr>
      <w:r>
        <w:t>Chapter 24 — Garantia de fornecedores</w:t>
      </w:r>
    </w:p>
    <w:p>
      <w:pPr>
        <w:spacing w:after="120"/>
      </w:pPr>
      <w:r>
        <w:t>Avaliar desenvolvimento, serviços, componentes, dependências de build, incidentes e ações corretivas.</w:t>
      </w:r>
    </w:p>
    <w:p>
      <w:pPr>
        <w:pStyle w:val="Heading2"/>
      </w:pPr>
      <w:r>
        <w:t>Chapter 25 — Aquisição de software</w:t>
      </w:r>
    </w:p>
    <w:p>
      <w:pPr>
        <w:spacing w:after="120"/>
      </w:pPr>
      <w:r>
        <w:t>Definir requisitos de desenvolvimento seguro e avaliar evidências, vulnerabilidades, proveniência, manutenção e saída.</w:t>
      </w:r>
    </w:p>
    <w:p>
      <w:pPr>
        <w:pStyle w:val="Heading2"/>
      </w:pPr>
      <w:r>
        <w:t>Chapter 26 — Feedback de incidentes</w:t>
      </w:r>
    </w:p>
    <w:p>
      <w:pPr>
        <w:spacing w:after="120"/>
      </w:pPr>
      <w:r>
        <w:t>Incorporar incidentes, vulnerabilidades, red-team e postmortems em requisitos, design, treinamento e controles.</w:t>
      </w:r>
    </w:p>
    <w:p>
      <w:pPr>
        <w:pStyle w:val="Heading2"/>
      </w:pPr>
      <w:r>
        <w:t>Chapter 27 — Controles do perfil de desenvolvimento de IA</w:t>
      </w:r>
    </w:p>
    <w:p>
      <w:pPr>
        <w:spacing w:after="120"/>
      </w:pPr>
      <w:r>
        <w:t>Aplicar SP 800-218A quando relevante a modelos, código, dados, proveniência, avaliação e implantação.</w:t>
      </w:r>
    </w:p>
    <w:p>
      <w:pPr>
        <w:pStyle w:val="Heading2"/>
      </w:pPr>
      <w:r>
        <w:t>Chapter 28 — Limites de sobreposições federais e contratuais</w:t>
      </w:r>
    </w:p>
    <w:p>
      <w:pPr>
        <w:spacing w:after="120"/>
      </w:pPr>
      <w:r>
        <w:t>Manter SSDF separado de mandatos de agência, cláusulas, contratos, normas setoriais e requisitos internos.</w:t>
      </w:r>
    </w:p>
    <w:p>
      <w:pPr>
        <w:pStyle w:val="Heading2"/>
      </w:pPr>
      <w:r>
        <w:t>Chapter 29 — Evidências e métricas</w:t>
      </w:r>
    </w:p>
    <w:p>
      <w:pPr>
        <w:spacing w:after="120"/>
      </w:pPr>
      <w:r>
        <w:t>Medir adoção, cobertura, idade de vulnerabilidades, revisões, testes, dependências e exceções.</w:t>
      </w:r>
    </w:p>
    <w:p>
      <w:pPr>
        <w:pStyle w:val="Heading2"/>
      </w:pPr>
      <w:r>
        <w:t>Chapter 30 — Exceções e melhoria contínua</w:t>
      </w:r>
    </w:p>
    <w:p>
      <w:pPr>
        <w:spacing w:after="120"/>
      </w:pPr>
      <w:r>
        <w:t>Documentar exceções, aceitação de risco, controles compensatórios, expiração e ações corretivas.</w:t>
      </w:r>
    </w:p>
    <w:p>
      <w:pPr>
        <w:pStyle w:val="Heading2"/>
      </w:pPr>
      <w:r>
        <w:t>Chapter 31 — Localização e proveniência</w:t>
      </w:r>
    </w:p>
    <w:p>
      <w:pPr>
        <w:spacing w:after="120"/>
      </w:pPr>
      <w:r>
        <w:t>Congelar candidatos EN/es-419/pt-BR e vincular identidades DOCX/PDF a SHA-256 com evidências de QA.</w:t>
      </w:r>
    </w:p>
    <w:p>
      <w:pPr>
        <w:pStyle w:val="Heading2"/>
      </w:pPr>
      <w:r>
        <w:t>Chapter 32 — Monitoramento de rascunhos e reverificação final</w:t>
      </w:r>
    </w:p>
    <w:p>
      <w:pPr>
        <w:spacing w:after="120"/>
      </w:pPr>
      <w:r>
        <w:t>Antes de publicar, confirmar status NIST, publicação do Manual 43, identidade exata e QA limpo.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