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45 — Capstone de Capacitación de Cumplimiento Empresarial</w:t>
      </w:r>
    </w:p>
    <w:p>
      <w:pPr>
        <w:spacing w:after="120"/>
      </w:pPr>
      <w:r>
        <w:t>Idioma controlado: español latinoamericano (es-419). Este capstone es material de capacitación elaborado por el proyecto e integra los Manuales Prácticos de GRC publicados. No reproduce texto protegido de normas ni sustituye asesoría legal, regulatoria, de auditoría o certificación.</w:t>
      </w:r>
    </w:p>
    <w:p>
      <w:pPr>
        <w:pStyle w:val="Heading2"/>
      </w:pPr>
      <w:r>
        <w:t>Chapter 01 — Propósito del Capstone</w:t>
      </w:r>
    </w:p>
    <w:p>
      <w:pPr>
        <w:spacing w:after="120"/>
      </w:pPr>
      <w:r>
        <w:t>Definir escenario, objetivos, derechos de decisión, evidencia y criterios de finalización. El participante debe demostrar integración de gobierno, riesgo, cumplimiento, ciberseguridad, privacidad, resiliencia, terceros, nube, OT, IA y aseguramiento.</w:t>
      </w:r>
    </w:p>
    <w:p>
      <w:pPr>
        <w:pStyle w:val="Heading2"/>
      </w:pPr>
      <w:r>
        <w:t>Chapter 02 — Escenario Empresarial</w:t>
      </w:r>
    </w:p>
    <w:p>
      <w:pPr>
        <w:spacing w:after="120"/>
      </w:pPr>
      <w:r>
        <w:t>Establecer una empresa multinacional con operaciones reguladas, nube, procesos con IA, proveedores críticos, datos personales, obligaciones financieras y tecnología operacional. Registrar supuestos y separar hechos de decisiones del escenario.</w:t>
      </w:r>
    </w:p>
    <w:p>
      <w:pPr>
        <w:pStyle w:val="Heading2"/>
      </w:pPr>
      <w:r>
        <w:t>Chapter 03 — Carta de Gobierno</w:t>
      </w:r>
    </w:p>
    <w:p>
      <w:pPr>
        <w:spacing w:after="120"/>
      </w:pPr>
      <w:r>
        <w:t>Crear una carta con supervisión de junta, responsabilidad ejecutiva, propietarios de políticas, aceptación de riesgo, escalamiento, excepciones y aseguramiento independiente.</w:t>
      </w:r>
    </w:p>
    <w:p>
      <w:pPr>
        <w:pStyle w:val="Heading2"/>
      </w:pPr>
      <w:r>
        <w:t>Chapter 04 — Aplicabilidad Regulatoria</w:t>
      </w:r>
    </w:p>
    <w:p>
      <w:pPr>
        <w:spacing w:after="120"/>
      </w:pPr>
      <w:r>
        <w:t>Construir un registro que vincule jurisdicciones, actividades, datos, sectores, contratos y sistemas regulados con obligaciones aplicables, fuente autoritativa, responsable y fecha de revisión.</w:t>
      </w:r>
    </w:p>
    <w:p>
      <w:pPr>
        <w:pStyle w:val="Heading2"/>
      </w:pPr>
      <w:r>
        <w:t>Chapter 05 — Arquitectura de Controles</w:t>
      </w:r>
    </w:p>
    <w:p>
      <w:pPr>
        <w:spacing w:after="120"/>
      </w:pPr>
      <w:r>
        <w:t>Separar objetivo, actividad, implementación, evidencia, propietario, frecuencia, método de prueba y obligaciones mapeadas. Evitar duplicación cuando un control efectivo satisface múltiples requisitos.</w:t>
      </w:r>
    </w:p>
    <w:p>
      <w:pPr>
        <w:pStyle w:val="Heading2"/>
      </w:pPr>
      <w:r>
        <w:t>Chapter 06 — Taxonomía de Riesgo</w:t>
      </w:r>
    </w:p>
    <w:p>
      <w:pPr>
        <w:spacing w:after="120"/>
      </w:pPr>
      <w:r>
        <w:t>Crear una taxonomía común para riesgos cibernéticos, privacidad, IA, resiliencia, reporte financiero, proveedores, operación, legal y estrategia, con criterios consistentes de impacto y exposición residual.</w:t>
      </w:r>
    </w:p>
    <w:p>
      <w:pPr>
        <w:pStyle w:val="Heading2"/>
      </w:pPr>
      <w:r>
        <w:t>Chapter 07 — Inventario de Activos y Servicios</w:t>
      </w:r>
    </w:p>
    <w:p>
      <w:pPr>
        <w:spacing w:after="120"/>
      </w:pPr>
      <w:r>
        <w:t>Mantener inventarios autoritativos de servicios, aplicaciones, infraestructura, datos, IA, OT, proveedores, identidades y dependencias críticas con propietario y estado de ciclo de vida.</w:t>
      </w:r>
    </w:p>
    <w:p>
      <w:pPr>
        <w:pStyle w:val="Heading2"/>
      </w:pPr>
      <w:r>
        <w:t>Chapter 08 — Gobierno de Datos</w:t>
      </w:r>
    </w:p>
    <w:p>
      <w:pPr>
        <w:spacing w:after="120"/>
      </w:pPr>
      <w:r>
        <w:t>Definir clasificación, propósito, retención, minimización, residencia, acceso, intercambio, eliminación y linaje, vinculando controles con sistemas, proveedores, IA y derechos de privacidad.</w:t>
      </w:r>
    </w:p>
    <w:p>
      <w:pPr>
        <w:pStyle w:val="Heading2"/>
      </w:pPr>
      <w:r>
        <w:t>Chapter 09 — Identidad y Acceso</w:t>
      </w:r>
    </w:p>
    <w:p>
      <w:pPr>
        <w:spacing w:after="120"/>
      </w:pPr>
      <w:r>
        <w:t>Definir ciclo de identidad, privilegios, autenticación, federación, segregación de funciones, recertificación, identidades de servicio y acceso de emergencia.</w:t>
      </w:r>
    </w:p>
    <w:p>
      <w:pPr>
        <w:pStyle w:val="Heading2"/>
      </w:pPr>
      <w:r>
        <w:t>Chapter 10 — Configuración Segura</w:t>
      </w:r>
    </w:p>
    <w:p>
      <w:pPr>
        <w:spacing w:after="120"/>
      </w:pPr>
      <w:r>
        <w:t>Establecer baselines aprobados para endpoints, servidores, nube, red, bases de datos, SaaS, OT y herramientas de seguridad con gestión de desviaciones y evidencia.</w:t>
      </w:r>
    </w:p>
    <w:p>
      <w:pPr>
        <w:pStyle w:val="Heading2"/>
      </w:pPr>
      <w:r>
        <w:t>Chapter 11 — Gestión de Vulnerabilidades</w:t>
      </w:r>
    </w:p>
    <w:p>
      <w:pPr>
        <w:spacing w:after="120"/>
      </w:pPr>
      <w:r>
        <w:t>Definir descubrimiento, validación, priorización, remediación, excepciones, controles compensatorios y verificación, considerando explotabilidad, exposición, criticidad y amenaza.</w:t>
      </w:r>
    </w:p>
    <w:p>
      <w:pPr>
        <w:pStyle w:val="Heading2"/>
      </w:pPr>
      <w:r>
        <w:t>Chapter 12 — Desarrollo Seguro</w:t>
      </w:r>
    </w:p>
    <w:p>
      <w:pPr>
        <w:spacing w:after="120"/>
      </w:pPr>
      <w:r>
        <w:t>Integrar requisitos, modelado de amenazas, revisión de código, dependencias, pruebas, aprobación de liberación, procedencia, secretos y respuesta a vulnerabilidades.</w:t>
      </w:r>
    </w:p>
    <w:p>
      <w:pPr>
        <w:pStyle w:val="Heading2"/>
      </w:pPr>
      <w:r>
        <w:t>Chapter 13 — Gobierno de IA</w:t>
      </w:r>
    </w:p>
    <w:p>
      <w:pPr>
        <w:spacing w:after="120"/>
      </w:pPr>
      <w:r>
        <w:t>Inventariar casos y modelos, clasificar riesgo y documentar propósito, supervisión humana, procedencia de datos, evaluación, seguridad, privacidad, transparencia, monitoreo, cambios e incidentes.</w:t>
      </w:r>
    </w:p>
    <w:p>
      <w:pPr>
        <w:pStyle w:val="Heading2"/>
      </w:pPr>
      <w:r>
        <w:t>Chapter 14 — Seguridad de IA</w:t>
      </w:r>
    </w:p>
    <w:p>
      <w:pPr>
        <w:spacing w:after="120"/>
      </w:pPr>
      <w:r>
        <w:t>Abordar inyección de prompts, uso inseguro de herramientas, fuga de datos, cadena de suministro, integridad RAG, permisos de agentes, registros, guardrails, red teaming y comportamiento seguro ante fallas.</w:t>
      </w:r>
    </w:p>
    <w:p>
      <w:pPr>
        <w:pStyle w:val="Heading2"/>
      </w:pPr>
      <w:r>
        <w:t>Chapter 15 — Ingeniería de Privacidad</w:t>
      </w:r>
    </w:p>
    <w:p>
      <w:pPr>
        <w:spacing w:after="120"/>
      </w:pPr>
      <w:r>
        <w:t>Traducir obligaciones en controles para avisos, derechos, minimización, finalidad, retención, seguridad, encargados, transferencias internacionales y decisiones automatizadas.</w:t>
      </w:r>
    </w:p>
    <w:p>
      <w:pPr>
        <w:pStyle w:val="Heading2"/>
      </w:pPr>
      <w:r>
        <w:t>Chapter 16 — Riesgo de Terceros</w:t>
      </w:r>
    </w:p>
    <w:p>
      <w:pPr>
        <w:spacing w:after="120"/>
      </w:pPr>
      <w:r>
        <w:t>Definir ingreso, riesgo inherente, due diligence, contratos, requisitos de seguridad/privacidad, monitoreo, hallazgos, concentración, cuartos terceros y terminación.</w:t>
      </w:r>
    </w:p>
    <w:p>
      <w:pPr>
        <w:pStyle w:val="Heading2"/>
      </w:pPr>
      <w:r>
        <w:t>Chapter 17 — Gobierno de Nube</w:t>
      </w:r>
    </w:p>
    <w:p>
      <w:pPr>
        <w:spacing w:after="120"/>
      </w:pPr>
      <w:r>
        <w:t>Definir landing zones, cuentas, IAM, red, cifrado, logging, llaves, postura, backup, resiliencia, propietarios y responsabilidad compartida.</w:t>
      </w:r>
    </w:p>
    <w:p>
      <w:pPr>
        <w:pStyle w:val="Heading2"/>
      </w:pPr>
      <w:r>
        <w:t>Chapter 18 — Seguridad OT e ICS</w:t>
      </w:r>
    </w:p>
    <w:p>
      <w:pPr>
        <w:spacing w:after="120"/>
      </w:pPr>
      <w:r>
        <w:t>Separar seguridad operacional y restricciones de IT común. Incluir segmentación, acceso remoto, visibilidad, cambios, monitoreo, proveedores, respaldo, recuperación e incidentes.</w:t>
      </w:r>
    </w:p>
    <w:p>
      <w:pPr>
        <w:pStyle w:val="Heading2"/>
      </w:pPr>
      <w:r>
        <w:t>Chapter 19 — Detección y Registros</w:t>
      </w:r>
    </w:p>
    <w:p>
      <w:pPr>
        <w:spacing w:after="120"/>
      </w:pPr>
      <w:r>
        <w:t>Definir logging de seguridad, privacidad, IA, aplicaciones, nube, identidad y OT, con retención, integridad, sincronización, detecciones y preservación de evidencia.</w:t>
      </w:r>
    </w:p>
    <w:p>
      <w:pPr>
        <w:pStyle w:val="Heading2"/>
      </w:pPr>
      <w:r>
        <w:t>Chapter 20 — Respuesta a Incidentes</w:t>
      </w:r>
    </w:p>
    <w:p>
      <w:pPr>
        <w:spacing w:after="120"/>
      </w:pPr>
      <w:r>
        <w:t>Crear clasificación, mando, investigación, contención, erradicación, recuperación, evaluación legal/privacidad, notificación, comunicaciones, evidencia y lecciones aprendidas.</w:t>
      </w:r>
    </w:p>
    <w:p>
      <w:pPr>
        <w:pStyle w:val="Heading2"/>
      </w:pPr>
      <w:r>
        <w:t>Chapter 21 — Continuidad del Negocio</w:t>
      </w:r>
    </w:p>
    <w:p>
      <w:pPr>
        <w:spacing w:after="120"/>
      </w:pPr>
      <w:r>
        <w:t>Mapear servicios críticos con objetivos de recuperación, dependencias, personas, instalaciones, proveedores, tecnología, datos y procesos alternos, con pruebas realistas.</w:t>
      </w:r>
    </w:p>
    <w:p>
      <w:pPr>
        <w:pStyle w:val="Heading2"/>
      </w:pPr>
      <w:r>
        <w:t>Chapter 22 — Recuperación ante Desastres</w:t>
      </w:r>
    </w:p>
    <w:p>
      <w:pPr>
        <w:spacing w:after="120"/>
      </w:pPr>
      <w:r>
        <w:t>Definir niveles de recuperación, integridad de backups, restauración, ambientes alternos, dependencias, validación y ciber-recuperación.</w:t>
      </w:r>
    </w:p>
    <w:p>
      <w:pPr>
        <w:pStyle w:val="Heading2"/>
      </w:pPr>
      <w:r>
        <w:t>Chapter 23 — Controles Financieros y de TI</w:t>
      </w:r>
    </w:p>
    <w:p>
      <w:pPr>
        <w:spacing w:after="120"/>
      </w:pPr>
      <w:r>
        <w:t>Integrar ITGC, accesos, cambios, operaciones, interfaces, reportes, controles automatizados, evidencia, deficiencias y remediación con GRC empresarial.</w:t>
      </w:r>
    </w:p>
    <w:p>
      <w:pPr>
        <w:pStyle w:val="Heading2"/>
      </w:pPr>
      <w:r>
        <w:t>Chapter 24 — Operaciones de Cumplimiento</w:t>
      </w:r>
    </w:p>
    <w:p>
      <w:pPr>
        <w:spacing w:after="120"/>
      </w:pPr>
      <w:r>
        <w:t>Diseñar ingreso de obligaciones, mapeo, calendario de pruebas, evidencia, issues, cambios regulatorios, políticas, atestaciones, excepciones y reportes.</w:t>
      </w:r>
    </w:p>
    <w:p>
      <w:pPr>
        <w:pStyle w:val="Heading2"/>
      </w:pPr>
      <w:r>
        <w:t>Chapter 25 — Aseguramiento y Auditoría</w:t>
      </w:r>
    </w:p>
    <w:p>
      <w:pPr>
        <w:spacing w:after="120"/>
      </w:pPr>
      <w:r>
        <w:t>Definir monitoreo de primera línea, desafío de segunda línea, independencia de auditoría, muestreo, pruebas, papeles de trabajo, evidencia, calificación de hallazgos y validación de cierre.</w:t>
      </w:r>
    </w:p>
    <w:p>
      <w:pPr>
        <w:pStyle w:val="Heading2"/>
      </w:pPr>
      <w:r>
        <w:t>Chapter 26 — Métricas y KRI</w:t>
      </w:r>
    </w:p>
    <w:p>
      <w:pPr>
        <w:spacing w:after="120"/>
      </w:pPr>
      <w:r>
        <w:t>Seleccionar métricas orientadas a resultados para exposición, desempeño de controles, excepciones, remediación, incidentes, terceros, IA, privacidad, resiliencia y auditoría.</w:t>
      </w:r>
    </w:p>
    <w:p>
      <w:pPr>
        <w:pStyle w:val="Heading2"/>
      </w:pPr>
      <w:r>
        <w:t>Chapter 27 — Reporte Ejecutivo</w:t>
      </w:r>
    </w:p>
    <w:p>
      <w:pPr>
        <w:spacing w:after="120"/>
      </w:pPr>
      <w:r>
        <w:t>Reportar a junta y ejecutivos exposición, efectividad, cambios significativos, riesgo aceptado, remediación vencida, riesgos emergentes, incidentes y decisiones requeridas.</w:t>
      </w:r>
    </w:p>
    <w:p>
      <w:pPr>
        <w:pStyle w:val="Heading2"/>
      </w:pPr>
      <w:r>
        <w:t>Chapter 28 — Gestión de Evidencia</w:t>
      </w:r>
    </w:p>
    <w:p>
      <w:pPr>
        <w:spacing w:after="120"/>
      </w:pPr>
      <w:r>
        <w:t>Definir fuente, propietario, frecuencia, referencia inmutable, método de colección, retención, acceso, calidad y vínculo con controles y pruebas.</w:t>
      </w:r>
    </w:p>
    <w:p>
      <w:pPr>
        <w:pStyle w:val="Heading2"/>
      </w:pPr>
      <w:r>
        <w:t>Chapter 29 — Ejercicio Integrado</w:t>
      </w:r>
    </w:p>
    <w:p>
      <w:pPr>
        <w:spacing w:after="120"/>
      </w:pPr>
      <w:r>
        <w:t>Ejecutar un escenario que combine compromiso de proveedor, exposición cloud, flujo con IA, impacto de privacidad, interrupción operacional y posible obligación de divulgación.</w:t>
      </w:r>
    </w:p>
    <w:p>
      <w:pPr>
        <w:pStyle w:val="Heading2"/>
      </w:pPr>
      <w:r>
        <w:t>Chapter 30 — Respuesta de la Gerencia</w:t>
      </w:r>
    </w:p>
    <w:p>
      <w:pPr>
        <w:spacing w:after="120"/>
      </w:pPr>
      <w:r>
        <w:t>Documentar decisiones ejecutivas, aceptación o remediación de riesgo, responsables, fechas, recursos, comunicación y validación posterior.</w:t>
      </w:r>
    </w:p>
    <w:p>
      <w:pPr>
        <w:pStyle w:val="Heading2"/>
      </w:pPr>
      <w:r>
        <w:t>Chapter 31 — Evaluación del Capstone</w:t>
      </w:r>
    </w:p>
    <w:p>
      <w:pPr>
        <w:spacing w:after="120"/>
      </w:pPr>
      <w:r>
        <w:t>Evaluar completitud, trazabilidad, diseño de controles, calidad de evidencia, razonamiento de riesgo, coordinación y distinción entre requisito e interpretación.</w:t>
      </w:r>
    </w:p>
    <w:p>
      <w:pPr>
        <w:pStyle w:val="Heading2"/>
      </w:pPr>
      <w:r>
        <w:t>Chapter 32 — Publicación y Mejora Continua</w:t>
      </w:r>
    </w:p>
    <w:p>
      <w:pPr>
        <w:spacing w:after="120"/>
      </w:pPr>
      <w:r>
        <w:t>Congelar el paquete final solo después de verificar publicación del predecesor, fuentes, paridad trilingüe, integridad de artefactos, QA documental/render, accesibilidad, seguridad del repositorio, procedencia y aprobación humana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