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45 — Capstone de Treinamento de Compliance Empresarial</w:t>
      </w:r>
    </w:p>
    <w:p>
      <w:pPr>
        <w:spacing w:after="120"/>
      </w:pPr>
      <w:r>
        <w:t>Idioma controlado: português brasileiro (pt-BR). Este capstone é material de treinamento produzido pelo projeto e integra os Manuais Práticos de GRC publicados. Não reproduz texto protegido de normas e não substitui aconselhamento jurídico, regulatório, de auditoria ou certificação.</w:t>
      </w:r>
    </w:p>
    <w:p>
      <w:pPr>
        <w:pStyle w:val="Heading2"/>
      </w:pPr>
      <w:r>
        <w:t>Chapter 01 — Objetivo do Capstone</w:t>
      </w:r>
    </w:p>
    <w:p>
      <w:pPr>
        <w:spacing w:after="120"/>
      </w:pPr>
      <w:r>
        <w:t>Definir cenário, objetivos, direitos de decisão, evidências e critérios de conclusão. O participante deve demonstrar integração de governança, risco, compliance, cibersegurança, privacidade, resiliência, terceiros, nuvem, OT, IA e assurance.</w:t>
      </w:r>
    </w:p>
    <w:p>
      <w:pPr>
        <w:pStyle w:val="Heading2"/>
      </w:pPr>
      <w:r>
        <w:t>Chapter 02 — Cenário Empresarial</w:t>
      </w:r>
    </w:p>
    <w:p>
      <w:pPr>
        <w:spacing w:after="120"/>
      </w:pPr>
      <w:r>
        <w:t>Estabelecer uma empresa multinacional com operações reguladas, nuvem, processos com IA, fornecedores críticos, dados pessoais, obrigações financeiras e tecnologia operacional. Registrar premissas e separar fatos de escolhas do cenário.</w:t>
      </w:r>
    </w:p>
    <w:p>
      <w:pPr>
        <w:pStyle w:val="Heading2"/>
      </w:pPr>
      <w:r>
        <w:t>Chapter 03 — Carta de Governança</w:t>
      </w:r>
    </w:p>
    <w:p>
      <w:pPr>
        <w:spacing w:after="120"/>
      </w:pPr>
      <w:r>
        <w:t>Criar uma carta com supervisão do conselho, responsabilidade executiva, proprietários de políticas, autoridade de aceitação de risco, escalonamento, exceções e assurance independente.</w:t>
      </w:r>
    </w:p>
    <w:p>
      <w:pPr>
        <w:pStyle w:val="Heading2"/>
      </w:pPr>
      <w:r>
        <w:t>Chapter 04 — Aplicabilidade Regulatória</w:t>
      </w:r>
    </w:p>
    <w:p>
      <w:pPr>
        <w:spacing w:after="120"/>
      </w:pPr>
      <w:r>
        <w:t>Construir um registro que relacione jurisdições, atividades, dados, setores, contratos e sistemas regulados às obrigações aplicáveis, com fonte autoritativa, responsável e data de revisão.</w:t>
      </w:r>
    </w:p>
    <w:p>
      <w:pPr>
        <w:pStyle w:val="Heading2"/>
      </w:pPr>
      <w:r>
        <w:t>Chapter 05 — Arquitetura de Controles</w:t>
      </w:r>
    </w:p>
    <w:p>
      <w:pPr>
        <w:spacing w:after="120"/>
      </w:pPr>
      <w:r>
        <w:t>Separar objetivo, atividade, implementação, evidência, proprietário, frequência, método de teste e obrigações mapeadas. Evitar duplicação quando um controle eficaz atende vários requisitos.</w:t>
      </w:r>
    </w:p>
    <w:p>
      <w:pPr>
        <w:pStyle w:val="Heading2"/>
      </w:pPr>
      <w:r>
        <w:t>Chapter 06 — Taxonomia de Risco</w:t>
      </w:r>
    </w:p>
    <w:p>
      <w:pPr>
        <w:spacing w:after="120"/>
      </w:pPr>
      <w:r>
        <w:t>Criar taxonomia comum para riscos cibernéticos, privacidade, IA, resiliência, reporte financeiro, fornecedores, operação, jurídico e estratégia, com critérios consistentes de impacto e risco residual.</w:t>
      </w:r>
    </w:p>
    <w:p>
      <w:pPr>
        <w:pStyle w:val="Heading2"/>
      </w:pPr>
      <w:r>
        <w:t>Chapter 07 — Inventário de Ativos e Serviços</w:t>
      </w:r>
    </w:p>
    <w:p>
      <w:pPr>
        <w:spacing w:after="120"/>
      </w:pPr>
      <w:r>
        <w:t>Manter inventários autoritativos de serviços, aplicações, infraestrutura, dados, IA, OT, fornecedores, identidades e dependências críticas com proprietário e estado de ciclo de vida.</w:t>
      </w:r>
    </w:p>
    <w:p>
      <w:pPr>
        <w:pStyle w:val="Heading2"/>
      </w:pPr>
      <w:r>
        <w:t>Chapter 08 — Governança de Dados</w:t>
      </w:r>
    </w:p>
    <w:p>
      <w:pPr>
        <w:spacing w:after="120"/>
      </w:pPr>
      <w:r>
        <w:t>Definir classificação, finalidade, retenção, minimização, residência, acesso, compartilhamento, descarte e linhagem, vinculando controles a sistemas, fornecedores, IA e direitos de privacidade.</w:t>
      </w:r>
    </w:p>
    <w:p>
      <w:pPr>
        <w:pStyle w:val="Heading2"/>
      </w:pPr>
      <w:r>
        <w:t>Chapter 09 — Identidade e Acesso</w:t>
      </w:r>
    </w:p>
    <w:p>
      <w:pPr>
        <w:spacing w:after="120"/>
      </w:pPr>
      <w:r>
        <w:t>Definir ciclo de identidade, privilégios, autenticação, federação, segregação de funções, recertificação, identidades de serviço e acesso emergencial.</w:t>
      </w:r>
    </w:p>
    <w:p>
      <w:pPr>
        <w:pStyle w:val="Heading2"/>
      </w:pPr>
      <w:r>
        <w:t>Chapter 10 — Configuração Segura</w:t>
      </w:r>
    </w:p>
    <w:p>
      <w:pPr>
        <w:spacing w:after="120"/>
      </w:pPr>
      <w:r>
        <w:t>Estabelecer baselines aprovados para endpoints, servidores, nuvem, rede, bancos de dados, SaaS, OT e ferramentas de segurança com gestão de desvios e evidências.</w:t>
      </w:r>
    </w:p>
    <w:p>
      <w:pPr>
        <w:pStyle w:val="Heading2"/>
      </w:pPr>
      <w:r>
        <w:t>Chapter 11 — Gestão de Vulnerabilidades</w:t>
      </w:r>
    </w:p>
    <w:p>
      <w:pPr>
        <w:spacing w:after="120"/>
      </w:pPr>
      <w:r>
        <w:t>Definir descoberta, validação, priorização, remediação, exceções, controles compensatórios e verificação considerando explorabilidade, exposição, criticidade e ameaça.</w:t>
      </w:r>
    </w:p>
    <w:p>
      <w:pPr>
        <w:pStyle w:val="Heading2"/>
      </w:pPr>
      <w:r>
        <w:t>Chapter 12 — Desenvolvimento Seguro</w:t>
      </w:r>
    </w:p>
    <w:p>
      <w:pPr>
        <w:spacing w:after="120"/>
      </w:pPr>
      <w:r>
        <w:t>Integrar requisitos, modelagem de ameaças, revisão de código, dependências, testes, aprovação de release, proveniência, segredos e resposta a vulnerabilidades.</w:t>
      </w:r>
    </w:p>
    <w:p>
      <w:pPr>
        <w:pStyle w:val="Heading2"/>
      </w:pPr>
      <w:r>
        <w:t>Chapter 13 — Governança de IA</w:t>
      </w:r>
    </w:p>
    <w:p>
      <w:pPr>
        <w:spacing w:after="120"/>
      </w:pPr>
      <w:r>
        <w:t>Inventariar casos e modelos, classificar risco e documentar finalidade, supervisão humana, proveniência de dados, avaliação, segurança, privacidade, transparência, monitoramento, mudanças e incidentes.</w:t>
      </w:r>
    </w:p>
    <w:p>
      <w:pPr>
        <w:pStyle w:val="Heading2"/>
      </w:pPr>
      <w:r>
        <w:t>Chapter 14 — Segurança de IA</w:t>
      </w:r>
    </w:p>
    <w:p>
      <w:pPr>
        <w:spacing w:after="120"/>
      </w:pPr>
      <w:r>
        <w:t>Abordar prompt injection, uso inseguro de ferramentas, vazamento de dados, cadeia de suprimentos, integridade RAG, permissões de agentes, logs, guardrails, red teaming e comportamento seguro em falhas.</w:t>
      </w:r>
    </w:p>
    <w:p>
      <w:pPr>
        <w:pStyle w:val="Heading2"/>
      </w:pPr>
      <w:r>
        <w:t>Chapter 15 — Engenharia de Privacidade</w:t>
      </w:r>
    </w:p>
    <w:p>
      <w:pPr>
        <w:spacing w:after="120"/>
      </w:pPr>
      <w:r>
        <w:t>Traduzir obrigações em controles para avisos, direitos, minimização, finalidade, retenção, segurança, operadores, transferências internacionais e decisões automatizadas.</w:t>
      </w:r>
    </w:p>
    <w:p>
      <w:pPr>
        <w:pStyle w:val="Heading2"/>
      </w:pPr>
      <w:r>
        <w:t>Chapter 16 — Risco de Terceiros</w:t>
      </w:r>
    </w:p>
    <w:p>
      <w:pPr>
        <w:spacing w:after="120"/>
      </w:pPr>
      <w:r>
        <w:t>Definir intake, risco inerente, due diligence, contratos, requisitos de segurança/privacidade, monitoramento, issues, concentração, quartas partes e encerramento.</w:t>
      </w:r>
    </w:p>
    <w:p>
      <w:pPr>
        <w:pStyle w:val="Heading2"/>
      </w:pPr>
      <w:r>
        <w:t>Chapter 17 — Governança de Nuvem</w:t>
      </w:r>
    </w:p>
    <w:p>
      <w:pPr>
        <w:spacing w:after="120"/>
      </w:pPr>
      <w:r>
        <w:t>Definir landing zones, contas, IAM, rede, criptografia, logging, chaves, postura, backup, resiliência, proprietários e responsabilidade compartilhada.</w:t>
      </w:r>
    </w:p>
    <w:p>
      <w:pPr>
        <w:pStyle w:val="Heading2"/>
      </w:pPr>
      <w:r>
        <w:t>Chapter 18 — Segurança OT e ICS</w:t>
      </w:r>
    </w:p>
    <w:p>
      <w:pPr>
        <w:spacing w:after="120"/>
      </w:pPr>
      <w:r>
        <w:t>Separar segurança operacional e restrições de TI comum. Incluir segmentação, acesso remoto, visibilidade, mudanças, monitoramento, fornecedores, backup, recuperação e incidentes.</w:t>
      </w:r>
    </w:p>
    <w:p>
      <w:pPr>
        <w:pStyle w:val="Heading2"/>
      </w:pPr>
      <w:r>
        <w:t>Chapter 19 — Detecção e Logs</w:t>
      </w:r>
    </w:p>
    <w:p>
      <w:pPr>
        <w:spacing w:after="120"/>
      </w:pPr>
      <w:r>
        <w:t>Definir logging de segurança, privacidade, IA, aplicações, nuvem, identidade e OT, com retenção, integridade, sincronização, detecções e preservação de evidências.</w:t>
      </w:r>
    </w:p>
    <w:p>
      <w:pPr>
        <w:pStyle w:val="Heading2"/>
      </w:pPr>
      <w:r>
        <w:t>Chapter 20 — Resposta a Incidentes</w:t>
      </w:r>
    </w:p>
    <w:p>
      <w:pPr>
        <w:spacing w:after="120"/>
      </w:pPr>
      <w:r>
        <w:t>Criar classificação, comando, investigação, contenção, erradicação, recuperação, avaliação jurídica/privacidade, notificação, comunicações, evidências e lições aprendidas.</w:t>
      </w:r>
    </w:p>
    <w:p>
      <w:pPr>
        <w:pStyle w:val="Heading2"/>
      </w:pPr>
      <w:r>
        <w:t>Chapter 21 — Continuidade de Negócios</w:t>
      </w:r>
    </w:p>
    <w:p>
      <w:pPr>
        <w:spacing w:after="120"/>
      </w:pPr>
      <w:r>
        <w:t>Mapear serviços críticos a objetivos de recuperação, dependências, pessoas, instalações, fornecedores, tecnologia, dados e processos alternativos, com testes realistas.</w:t>
      </w:r>
    </w:p>
    <w:p>
      <w:pPr>
        <w:pStyle w:val="Heading2"/>
      </w:pPr>
      <w:r>
        <w:t>Chapter 22 — Recuperação de Desastres</w:t>
      </w:r>
    </w:p>
    <w:p>
      <w:pPr>
        <w:spacing w:after="120"/>
      </w:pPr>
      <w:r>
        <w:t>Definir níveis de recuperação, integridade de backups, restauração, ambientes alternativos, dependências, validação e cyber recovery.</w:t>
      </w:r>
    </w:p>
    <w:p>
      <w:pPr>
        <w:pStyle w:val="Heading2"/>
      </w:pPr>
      <w:r>
        <w:t>Chapter 23 — Controles Financeiros e de TI</w:t>
      </w:r>
    </w:p>
    <w:p>
      <w:pPr>
        <w:spacing w:after="120"/>
      </w:pPr>
      <w:r>
        <w:t>Integrar ITGC, acessos, mudanças, operações, interfaces, relatórios, controles automatizados, evidências, deficiências e remediação ao GRC empresarial.</w:t>
      </w:r>
    </w:p>
    <w:p>
      <w:pPr>
        <w:pStyle w:val="Heading2"/>
      </w:pPr>
      <w:r>
        <w:t>Chapter 24 — Operações de Compliance</w:t>
      </w:r>
    </w:p>
    <w:p>
      <w:pPr>
        <w:spacing w:after="120"/>
      </w:pPr>
      <w:r>
        <w:t>Projetar intake de obrigações, mapeamento, calendário de testes, evidências, issues, mudanças regulatórias, políticas, atestações, exceções e relatórios.</w:t>
      </w:r>
    </w:p>
    <w:p>
      <w:pPr>
        <w:pStyle w:val="Heading2"/>
      </w:pPr>
      <w:r>
        <w:t>Chapter 25 — Assurance e Auditoria</w:t>
      </w:r>
    </w:p>
    <w:p>
      <w:pPr>
        <w:spacing w:after="120"/>
      </w:pPr>
      <w:r>
        <w:t>Definir monitoramento de primeira linha, desafio de segunda linha, independência de auditoria, amostragem, testes, papéis de trabalho, evidência, classificação de achados e validação de fechamento.</w:t>
      </w:r>
    </w:p>
    <w:p>
      <w:pPr>
        <w:pStyle w:val="Heading2"/>
      </w:pPr>
      <w:r>
        <w:t>Chapter 26 — Métricas e KRIs</w:t>
      </w:r>
    </w:p>
    <w:p>
      <w:pPr>
        <w:spacing w:after="120"/>
      </w:pPr>
      <w:r>
        <w:t>Selecionar métricas orientadas a resultados para exposição, desempenho de controles, exceções, remediação, incidentes, terceiros, IA, privacidade, resiliência e auditoria.</w:t>
      </w:r>
    </w:p>
    <w:p>
      <w:pPr>
        <w:pStyle w:val="Heading2"/>
      </w:pPr>
      <w:r>
        <w:t>Chapter 27 — Relato Executivo</w:t>
      </w:r>
    </w:p>
    <w:p>
      <w:pPr>
        <w:spacing w:after="120"/>
      </w:pPr>
      <w:r>
        <w:t>Reportar ao conselho e executivos exposição, eficácia, mudanças significativas, risco aceito, remediação vencida, riscos emergentes, incidentes e decisões necessárias.</w:t>
      </w:r>
    </w:p>
    <w:p>
      <w:pPr>
        <w:pStyle w:val="Heading2"/>
      </w:pPr>
      <w:r>
        <w:t>Chapter 28 — Gestão de Evidências</w:t>
      </w:r>
    </w:p>
    <w:p>
      <w:pPr>
        <w:spacing w:after="120"/>
      </w:pPr>
      <w:r>
        <w:t>Definir fonte, proprietário, frequência, referência imutável, método de coleta, retenção, acesso, qualidade e vínculo com controles e testes.</w:t>
      </w:r>
    </w:p>
    <w:p>
      <w:pPr>
        <w:pStyle w:val="Heading2"/>
      </w:pPr>
      <w:r>
        <w:t>Chapter 29 — Exercício Integrado</w:t>
      </w:r>
    </w:p>
    <w:p>
      <w:pPr>
        <w:spacing w:after="120"/>
      </w:pPr>
      <w:r>
        <w:t>Executar cenário combinando comprometimento de fornecedor, exposição cloud, fluxo com IA, impacto de privacidade, interrupção operacional e possível obrigação de divulgação.</w:t>
      </w:r>
    </w:p>
    <w:p>
      <w:pPr>
        <w:pStyle w:val="Heading2"/>
      </w:pPr>
      <w:r>
        <w:t>Chapter 30 — Resposta da Gestão</w:t>
      </w:r>
    </w:p>
    <w:p>
      <w:pPr>
        <w:spacing w:after="120"/>
      </w:pPr>
      <w:r>
        <w:t>Documentar decisões executivas, aceitação ou remediação de risco, responsáveis, prazos, recursos, comunicação e validação posterior.</w:t>
      </w:r>
    </w:p>
    <w:p>
      <w:pPr>
        <w:pStyle w:val="Heading2"/>
      </w:pPr>
      <w:r>
        <w:t>Chapter 31 — Avaliação do Capstone</w:t>
      </w:r>
    </w:p>
    <w:p>
      <w:pPr>
        <w:spacing w:after="120"/>
      </w:pPr>
      <w:r>
        <w:t>Avaliar completude, rastreabilidade, desenho de controles, qualidade de evidência, raciocínio de risco, coordenação e distinção entre requisito e interpretação.</w:t>
      </w:r>
    </w:p>
    <w:p>
      <w:pPr>
        <w:pStyle w:val="Heading2"/>
      </w:pPr>
      <w:r>
        <w:t>Chapter 32 — Publicação e Melhoria Contínua</w:t>
      </w:r>
    </w:p>
    <w:p>
      <w:pPr>
        <w:spacing w:after="120"/>
      </w:pPr>
      <w:r>
        <w:t>Congelar o pacote final somente após verificar publicação do predecessor, fontes, paridade trilíngue, integridade de artefatos, QA documental/render, acessibilidade, segurança do repositório, proveniência e aprovação humana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