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33 — Implementação controlada de Governança e Divulgação de Cibersegurança da SEC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regulatória:** SEC Release No. 33-11216, Cybersecurity Risk Management, Strategy, Governance, and Incident Disclosure, vigente desde 5 de setembro de 2023, com formulários e materiais oficiais da SEC reverificados em 31 de agosto de 2026.</w:t>
      </w:r>
    </w:p>
    <w:p>
      <w:pPr>
        <w:spacing w:after="120"/>
      </w:pPr>
      <w:r>
        <w:t>**Limite controlado:** Esta edição é uma tradução não oficial e guia de implementação. Não fornece aconselhamento jurídico, não determina status do emissor nem materialidade, não autoriza atraso de divulgação, não realiza filing e não certifica compliance. Regras/formulários vinculantes, orientação SEC, propostas não efetivas, fatos de enforcement e prática do emissor permanecem separados.</w:t>
      </w:r>
    </w:p>
    <w:p>
      <w:pPr>
        <w:pStyle w:val="Heading2"/>
      </w:pPr>
      <w:r>
        <w:t>Chapter 01 — Propósito, escopo e hierarquia controlada de fontes</w:t>
      </w:r>
    </w:p>
    <w:p>
      <w:pPr>
        <w:spacing w:after="120"/>
      </w:pPr>
      <w:r>
        <w:t>Use regras e formulários vigentes da SEC como camada vinculante. Trate guidance, compliance guides, speeches, FAQs, enforcement, petitions e proposals conforme seu status jurídico e data; procedimentos internos nunca devem ser apresentados como regras da SEC.</w:t>
      </w:r>
    </w:p>
    <w:p>
      <w:pPr>
        <w:pStyle w:val="Heading2"/>
      </w:pPr>
      <w:r>
        <w:t>Chapter 02 — Status do emissor e análise de aplicabilidade</w:t>
      </w:r>
    </w:p>
    <w:p>
      <w:pPr>
        <w:spacing w:after="120"/>
      </w:pPr>
      <w:r>
        <w:t>Mantenha avaliação documentada de tipo de registrant, status sob Exchange Act, domestic versus foreign private issuer, formulários aplicáveis, calendário de reporting e responsáveis por disclosure controls. Escale dúvidas a securities counsel qualificado.</w:t>
      </w:r>
    </w:p>
    <w:p>
      <w:pPr>
        <w:pStyle w:val="Heading2"/>
      </w:pPr>
      <w:r>
        <w:t>Chapter 03 — Definições e governança terminológica</w:t>
      </w:r>
    </w:p>
    <w:p>
      <w:pPr>
        <w:spacing w:after="120"/>
      </w:pPr>
      <w:r>
        <w:t>Mantenha glossário controlado para cybersecurity incident, cybersecurity threat, information systems, materiality, board oversight, management role, disclosure controls, Forms 8-K/6-K/10-K/20-F, Regulation S-K Item 106 e Inline XBRL. Preserve o significado SEC quando a terminologia interna divergir.</w:t>
      </w:r>
    </w:p>
    <w:p>
      <w:pPr>
        <w:pStyle w:val="Heading2"/>
      </w:pPr>
      <w:r>
        <w:t>Chapter 04 — Governança de cibersegurança e supervisão do board</w:t>
      </w:r>
    </w:p>
    <w:p>
      <w:pPr>
        <w:spacing w:after="120"/>
      </w:pPr>
      <w:r>
        <w:t>Documente como o board ou committee responsável supervisiona riscos materiais de ameaças cibernéticas, incluindo fluxo de informações, frequência, escalonamento, incidentes significativos, tendências e reporting de management. A evidência deve sustentar divulgação anual sem transformar materiais comuns do board em conclusões jurídicas não suportadas.</w:t>
      </w:r>
    </w:p>
    <w:p>
      <w:pPr>
        <w:pStyle w:val="Heading2"/>
      </w:pPr>
      <w:r>
        <w:t>Chapter 05 — Papéis e accountability de management</w:t>
      </w:r>
    </w:p>
    <w:p>
      <w:pPr>
        <w:spacing w:after="120"/>
      </w:pPr>
      <w:r>
        <w:t>Defina papéis responsáveis por avaliar e gerir riscos materiais de cibersegurança, incluindo CISO/security, legal, finance, disclosure committee, investor relations, risk, technology e executive leadership. Preserve responsabilidades, expertise, escalonamento e evidência relevante ao Item 106.</w:t>
      </w:r>
    </w:p>
    <w:p>
      <w:pPr>
        <w:pStyle w:val="Heading2"/>
      </w:pPr>
      <w:r>
        <w:t>Chapter 06 — Integração com enterprise risk management</w:t>
      </w:r>
    </w:p>
    <w:p>
      <w:pPr>
        <w:spacing w:after="120"/>
      </w:pPr>
      <w:r>
        <w:t>Integre identificação e tratamento de cyber risk ao ERM para avaliar efeitos materiais e razoavelmente prováveis de forma consistente com outros riscos. Preserve vínculos entre risk records, business impact, strategy, financial reporting e disclosure workpapers.</w:t>
      </w:r>
    </w:p>
    <w:p>
      <w:pPr>
        <w:pStyle w:val="Heading2"/>
      </w:pPr>
      <w:r>
        <w:t>Chapter 07 — Identificação e priorização de riscos cibernéticos</w:t>
      </w:r>
    </w:p>
    <w:p>
      <w:pPr>
        <w:spacing w:after="120"/>
      </w:pPr>
      <w:r>
        <w:t>Mantenha processo repetível para identificar, avaliar, priorizar e gerir ameaças e impactos de negócio. Inclua third parties, incidentes anteriores, mudanças tecnológicas, exposição de dados, interrupção operacional e consequências legais/regulatórias.</w:t>
      </w:r>
    </w:p>
    <w:p>
      <w:pPr>
        <w:pStyle w:val="Heading2"/>
      </w:pPr>
      <w:r>
        <w:t>Chapter 08 — Governança de materialidade e registros de decisão</w:t>
      </w:r>
    </w:p>
    <w:p>
      <w:pPr>
        <w:spacing w:after="120"/>
      </w:pPr>
      <w:r>
        <w:t>Use processo documentado e específico do emissor baseado em padrões federais de securities law e participação apropriada de counsel. Preserve fatos, fatores quantitativos e qualitativos, incerteza, autoridade decisória, timing e fundamento final.</w:t>
      </w:r>
    </w:p>
    <w:p>
      <w:pPr>
        <w:pStyle w:val="Heading2"/>
      </w:pPr>
      <w:r>
        <w:t>Chapter 09 — Descoberta de incidentes e escalonamento</w:t>
      </w:r>
    </w:p>
    <w:p>
      <w:pPr>
        <w:spacing w:after="120"/>
      </w:pPr>
      <w:r>
        <w:t>Estabeleça escalonamento interfuncional conectando rapidamente security operations a legal, disclosure, finance, investor relations, privacy, business e executives quando um incidente puder ser material. Registre descoberta, marcos de investigação, impactos conhecidos e triggers de materiality review.</w:t>
      </w:r>
    </w:p>
    <w:p>
      <w:pPr>
        <w:pStyle w:val="Heading2"/>
      </w:pPr>
      <w:r>
        <w:t>Chapter 10 — Processo decisório Form 8-K Item 1.05</w:t>
      </w:r>
    </w:p>
    <w:p>
      <w:pPr>
        <w:spacing w:after="120"/>
      </w:pPr>
      <w:r>
        <w:t>Para domestic registrants, mantenha processo controlado para decidir se um cybersecurity incident foi determinado material e requer Item 1.05. Não use Item 1.05 apenas porque o incidente é internamente severo; o gatilho é a determinação de materialidade do emissor.</w:t>
      </w:r>
    </w:p>
    <w:p>
      <w:pPr>
        <w:pStyle w:val="Heading2"/>
      </w:pPr>
      <w:r>
        <w:t>Chapter 11 — Controle do prazo de quatro business days</w:t>
      </w:r>
    </w:p>
    <w:p>
      <w:pPr>
        <w:spacing w:after="120"/>
      </w:pPr>
      <w:r>
        <w:t>Após determinar materialidade, acompanhe o prazo geral de quatro business days para Form 8-K desde a data da determinação. Mantenha timestamps, calendário, responsáveis, contingência e evidência de filing tempestivo ou delayed disclosure válido.</w:t>
      </w:r>
    </w:p>
    <w:p>
      <w:pPr>
        <w:pStyle w:val="Heading2"/>
      </w:pPr>
      <w:r>
        <w:t>Chapter 12 — Limite do delayed disclosure e processo do Attorney General</w:t>
      </w:r>
    </w:p>
    <w:p>
      <w:pPr>
        <w:spacing w:after="120"/>
      </w:pPr>
      <w:r>
        <w:t>Trate atraso por substantial risk to national security or public safety como processo específico da regra, não como decisão interna. Preserve análise legal, comunicações governamentais, determinações escritas, extensões, timing e confidencialidade.</w:t>
      </w:r>
    </w:p>
    <w:p>
      <w:pPr>
        <w:pStyle w:val="Heading2"/>
      </w:pPr>
      <w:r>
        <w:t>Chapter 13 — Governança do conteúdo da divulgação do incidente</w:t>
      </w:r>
    </w:p>
    <w:p>
      <w:pPr>
        <w:spacing w:after="120"/>
      </w:pPr>
      <w:r>
        <w:t>Redija Item 1.05 em torno dos aspectos materiais exigidos usando fatos verificados e evitando detalhe técnico sensível desnecessário. Mantenha source support, review comments, aprovações, version history e controles sobre afirmações especulativas.</w:t>
      </w:r>
    </w:p>
    <w:p>
      <w:pPr>
        <w:pStyle w:val="Heading2"/>
      </w:pPr>
      <w:r>
        <w:t>Chapter 14 — Controles de amendment e corrective disclosure</w:t>
      </w:r>
    </w:p>
    <w:p>
      <w:pPr>
        <w:spacing w:after="120"/>
      </w:pPr>
      <w:r>
        <w:t>Monitore fatos após o filing inicial e mantenha processo para amendments ou corrective disclosure quando aplicável. Preserve motivo, novos fatos, análise jurídica, aprovações, versão protocolada e ligação com a divulgação original.</w:t>
      </w:r>
    </w:p>
    <w:p>
      <w:pPr>
        <w:pStyle w:val="Heading2"/>
      </w:pPr>
      <w:r>
        <w:t>Chapter 15 — Divulgação anual Regulation S-K Item 106</w:t>
      </w:r>
    </w:p>
    <w:p>
      <w:pPr>
        <w:spacing w:after="120"/>
      </w:pPr>
      <w:r>
        <w:t>Mantenha workpapers anuais que sustentem a descrição de cyber risk-management processes, efeitos materiais ou razoavelmente prováveis, board oversight e management roles. Reconcilie narrativa com evidência real de governance, risk, incidents e assurance.</w:t>
      </w:r>
    </w:p>
    <w:p>
      <w:pPr>
        <w:pStyle w:val="Heading2"/>
      </w:pPr>
      <w:r>
        <w:t>Chapter 16 — Divulgação do processo de risk management</w:t>
      </w:r>
    </w:p>
    <w:p>
      <w:pPr>
        <w:spacing w:after="120"/>
      </w:pPr>
      <w:r>
        <w:t>Documente como o emissor avalia, identifica e gere riscos materiais de ameaças cibernéticas, integração com overall risk management, uso material de terceiros e oversight de riscos de third-party service providers.</w:t>
      </w:r>
    </w:p>
    <w:p>
      <w:pPr>
        <w:pStyle w:val="Heading2"/>
      </w:pPr>
      <w:r>
        <w:t>Chapter 17 — Divulgação de board oversight</w:t>
      </w:r>
    </w:p>
    <w:p>
      <w:pPr>
        <w:spacing w:after="120"/>
      </w:pPr>
      <w:r>
        <w:t>Sustente divulgação anual com registros mostrando como o board ou committee recebe informações e exerce supervisão. Evite boilerplate sem suporte em minutes, materials, cadence ou prática real.</w:t>
      </w:r>
    </w:p>
    <w:p>
      <w:pPr>
        <w:pStyle w:val="Heading2"/>
      </w:pPr>
      <w:r>
        <w:t>Chapter 18 — Divulgação de expertise e papel de management</w:t>
      </w:r>
    </w:p>
    <w:p>
      <w:pPr>
        <w:spacing w:after="120"/>
      </w:pPr>
      <w:r>
        <w:t>Mantenha evidência sobre posições ou committees responsáveis, expertise relevante quando divulgada e processos pelos quais management recebe informação e reporta ao board.</w:t>
      </w:r>
    </w:p>
    <w:p>
      <w:pPr>
        <w:pStyle w:val="Heading2"/>
      </w:pPr>
      <w:r>
        <w:t>Chapter 19 — Limite Form 6-K para foreign private issuers</w:t>
      </w:r>
    </w:p>
    <w:p>
      <w:pPr>
        <w:spacing w:after="120"/>
      </w:pPr>
      <w:r>
        <w:t>Mantenha análise separada de obrigações de Form 6-K e sua relação com divulgação/publicização em jurisdição estrangeira, stock exchange ou security holders. Não aplique automaticamente a mecânica doméstica de Form 8-K.</w:t>
      </w:r>
    </w:p>
    <w:p>
      <w:pPr>
        <w:pStyle w:val="Heading2"/>
      </w:pPr>
      <w:r>
        <w:t>Chapter 20 — Limite Form 20-F para foreign private issuers</w:t>
      </w:r>
    </w:p>
    <w:p>
      <w:pPr>
        <w:spacing w:after="120"/>
      </w:pPr>
      <w:r>
        <w:t>Mantenha workpapers anuais de Form 20-F para risk management, strategy e governance aplicáveis a FPIs. Reconcilie terminologia e timing ao formulário vigente.</w:t>
      </w:r>
    </w:p>
    <w:p>
      <w:pPr>
        <w:pStyle w:val="Heading2"/>
      </w:pPr>
      <w:r>
        <w:t>Chapter 21 — Controles de Inline XBRL tagging</w:t>
      </w:r>
    </w:p>
    <w:p>
      <w:pPr>
        <w:spacing w:after="120"/>
      </w:pPr>
      <w:r>
        <w:t>Aplique requisitos vigentes de Inline XBRL. Mantenha taxonomy/version control, revisão de tagging, validation evidence, filing previews, correções e coordenação com filing vendors/systems.</w:t>
      </w:r>
    </w:p>
    <w:p>
      <w:pPr>
        <w:pStyle w:val="Heading2"/>
      </w:pPr>
      <w:r>
        <w:t>Chapter 22 — Disclosure controls and procedures</w:t>
      </w:r>
    </w:p>
    <w:p>
      <w:pPr>
        <w:spacing w:after="120"/>
      </w:pPr>
      <w:r>
        <w:t>Incorpore cybersecurity disclosure aos disclosure controls. Defina captura de informação, escalonamento, materiality review, drafting, approval, filing, evidence retention, testing, deficiency management e reassessment periódico.</w:t>
      </w:r>
    </w:p>
    <w:p>
      <w:pPr>
        <w:pStyle w:val="Heading2"/>
      </w:pPr>
      <w:r>
        <w:t>Chapter 23 — Coordenação legal, investor relations, security e executives</w:t>
      </w:r>
    </w:p>
    <w:p>
      <w:pPr>
        <w:spacing w:after="120"/>
      </w:pPr>
      <w:r>
        <w:t>Mantenha protocolo interfuncional que preserve security facts, legal judgment, market communications, financial implications e executive accountability. Defina decision rights e disponibilidade de emergência antes do incidente.</w:t>
      </w:r>
    </w:p>
    <w:p>
      <w:pPr>
        <w:pStyle w:val="Heading2"/>
      </w:pPr>
      <w:r>
        <w:t>Chapter 24 — Preservação de evidência e disclosure workpapers</w:t>
      </w:r>
    </w:p>
    <w:p>
      <w:pPr>
        <w:spacing w:after="120"/>
      </w:pPr>
      <w:r>
        <w:t>Preserve fatos do incidente, source records, materiality analyses, drafts, approvals, filing timestamps, evidência de board/management, suporte anual e control testing em estrutura rastreável com acesso e retenção adequados.</w:t>
      </w:r>
    </w:p>
    <w:p>
      <w:pPr>
        <w:pStyle w:val="Heading2"/>
      </w:pPr>
      <w:r>
        <w:t>Chapter 25 — Considerações de incidentes e dependências de terceiros</w:t>
      </w:r>
    </w:p>
    <w:p>
      <w:pPr>
        <w:spacing w:after="120"/>
      </w:pPr>
      <w:r>
        <w:t>Inclua third-party systems, cloud providers, processors, vendors e dependências materiais. Registre ownership, notification, business impact, data exposure, contractual rights, limitações de investigação e materiality específica do emissor.</w:t>
      </w:r>
    </w:p>
    <w:p>
      <w:pPr>
        <w:pStyle w:val="Heading2"/>
      </w:pPr>
      <w:r>
        <w:t>Chapter 26 — Considerações de cyber insurance e risk transfer</w:t>
      </w:r>
    </w:p>
    <w:p>
      <w:pPr>
        <w:spacing w:after="120"/>
      </w:pPr>
      <w:r>
        <w:t>Trate insurance, indemnity e risk transfer como contexto de gestão, não substitutos de incident response ou disclosure. Preserve coverage facts, limitations, recoveries/exposures materiais e coordenação com disclosure/financial reporting.</w:t>
      </w:r>
    </w:p>
    <w:p>
      <w:pPr>
        <w:pStyle w:val="Heading2"/>
      </w:pPr>
      <w:r>
        <w:t>Chapter 27 — Interface com enforcement, litigation e investigation</w:t>
      </w:r>
    </w:p>
    <w:p>
      <w:pPr>
        <w:spacing w:after="120"/>
      </w:pPr>
      <w:r>
        <w:t>Acompanhe developments de enforcement, litigation, investigations e interpretive material como evidência datada. Não converta allegations, settlements ou rulings específicos em requisitos universais sem análise jurídica.</w:t>
      </w:r>
    </w:p>
    <w:p>
      <w:pPr>
        <w:pStyle w:val="Heading2"/>
      </w:pPr>
      <w:r>
        <w:t>Chapter 28 — Controles de confidentiality, privilege e need-to-know</w:t>
      </w:r>
    </w:p>
    <w:p>
      <w:pPr>
        <w:spacing w:after="120"/>
      </w:pPr>
      <w:r>
        <w:t>Coordene com counsel a preservação de privilege, work product, market-sensitive information e security-sensitive technical facts. Confidencialidade não deve obstruir divulgação ou retenção exigida.</w:t>
      </w:r>
    </w:p>
    <w:p>
      <w:pPr>
        <w:pStyle w:val="Heading2"/>
      </w:pPr>
      <w:r>
        <w:t>Chapter 29 — Métricas, reporting e continuous improvement</w:t>
      </w:r>
    </w:p>
    <w:p>
      <w:pPr>
        <w:spacing w:after="120"/>
      </w:pPr>
      <w:r>
        <w:t>Defina métricas para incident escalation timing, materiality-review cycle time, disclosure readiness, control testing, disponibilidade de informações de terceiros, qualidade da evidência anual, filing defects e remediation. Use tendências para melhorar governança, não como prova isolada de compliance.</w:t>
      </w:r>
    </w:p>
    <w:p>
      <w:pPr>
        <w:pStyle w:val="Heading2"/>
      </w:pPr>
      <w:r>
        <w:t>Chapter 30 — Revisão independente e disclosure assurance</w:t>
      </w:r>
    </w:p>
    <w:p>
      <w:pPr>
        <w:spacing w:after="120"/>
      </w:pPr>
      <w:r>
        <w:t>Use revisão legal, internal audit, compliance ou control assurance independente conforme apropriado. Preserve scope, independence, samples, findings, limitations, remediation e closure; não descreva revisão interna como aprovação da SEC.</w:t>
      </w:r>
    </w:p>
    <w:p>
      <w:pPr>
        <w:pStyle w:val="Heading2"/>
      </w:pPr>
      <w:r>
        <w:t>Chapter 31 — Arquitetura de evidência, rastreabilidade e retenção</w:t>
      </w:r>
    </w:p>
    <w:p>
      <w:pPr>
        <w:spacing w:after="120"/>
      </w:pPr>
      <w:r>
        <w:t>Mantenha rastreabilidade desde rule/form requirement até policy, procedure, owner, system, incident, materiality decision, disclosure workpaper, filing, control test, finding, remediation e source version. Aplique retenção e acesso conforme securities law e demais requisitos aplicáveis.</w:t>
      </w:r>
    </w:p>
    <w:p>
      <w:pPr>
        <w:pStyle w:val="Heading2"/>
      </w:pPr>
      <w:r>
        <w:t>Chapter 32 — Reverificação de fontes e roadmap de implementação</w:t>
      </w:r>
    </w:p>
    <w:p>
      <w:pPr>
        <w:spacing w:after="120"/>
      </w:pPr>
      <w:r>
        <w:t>Antes de cada release, reverifique Release 33-11216, Forms 8-K/6-K/10-K/20-F, Regulation S-K Item 106, Inline XBRL, guidance SEC vigente e amendments efetivos. Registre mudanças, impacto, controles atualizados, training, workpapers e ações via change governance.</w:t>
      </w:r>
    </w:p>
    <w:p>
      <w:pPr>
        <w:pStyle w:val="Heading2"/>
      </w:pPr>
      <w:r>
        <w:t>Conjunto mínimo de evidências de implementação</w:t>
      </w:r>
    </w:p>
    <w:p>
      <w:pPr>
        <w:spacing w:after="120"/>
      </w:pPr>
      <w:r>
        <w:t>Mantenha, conforme aplicável: issuer/applicability assessment; registro de fontes SEC; governance e management accountability; cyber-risk register; materiality methodology e decisions; incident escalation; Item 1.05 decision/timing; delayed-disclosure records; drafts/approvals; Item 106 workpapers; FPI analysis; Inline XBRL validation; disclosure-control testing; coordenação legal/IR/security; third-party incident analysis; assurance findings; remediation e release-time source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