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0" w:name="fundamentos-do-nist-csf-2.0"/>
    <w:p>
      <w:pPr>
        <w:pStyle w:val="Heading1"/>
      </w:pPr>
      <w:r>
        <w:t xml:space="preserve">1. Fundamentos do NIST CSF 2.0</w:t>
      </w:r>
    </w:p>
    <w:p>
      <w:pPr>
        <w:pStyle w:val="FirstParagraph"/>
      </w:pPr>
      <w:r>
        <w:rPr>
          <w:iCs/>
          <w:i/>
        </w:rPr>
        <w:t xml:space="preserve">O que é o framework, o que mudou e o que ele não afirma.</w:t>
      </w:r>
    </w:p>
    <w:tbl>
      <w:tblPr>
        <w:tblStyle w:val="FigureTable"/>
        <w:tblW w:type="auto" w:w="0"/>
        <w:tblLook w:firstRow="0" w:lastRow="0" w:firstColumn="0" w:lastColumn="0"/>
        <w:jc w:val="center"/>
      </w:tblPr>
      <w:tblGrid>
        <w:gridCol w:w="7920"/>
      </w:tblGrid>
      <w:tr>
        <w:tc>
          <w:tcPr/>
          <w:p>
            <w:pPr>
              <w:pStyle w:val="Compact"/>
              <w:jc w:val="center"/>
            </w:pPr>
            <w:r>
              <w:t xml:space="preserve">As Funções Governar, Identificar, Proteger, Detectar, Responder e Recuperar operam como um sistema conectado.</w:t>
            </w:r>
          </w:p>
        </w:tc>
      </w:tr>
    </w:tbl>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27"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27"/>
    <w:bookmarkStart w:id="28"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28"/>
    <w:bookmarkStart w:id="29"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29"/>
    <w:bookmarkEnd w:id="30"/>
    <w:bookmarkStart w:id="31"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tbl>
      <w:tblPr>
        <w:tblStyle w:val="FigureTable"/>
        <w:tblW w:type="auto" w:w="0"/>
        <w:tblLook w:firstRow="0" w:lastRow="0" w:firstColumn="0" w:lastColumn="0"/>
        <w:jc w:val="center"/>
      </w:tblPr>
      <w:tblGrid>
        <w:gridCol w:w="7920"/>
      </w:tblGrid>
      <w:tr>
        <w:tc>
          <w:tcPr/>
          <w:p>
            <w:pPr>
              <w:pStyle w:val="Compact"/>
              <w:jc w:val="center"/>
            </w:pPr>
            <w:r>
              <w:t xml:space="preserve">As Funções contêm Categorias, e as Categorias contêm Subcategorias específicas orientadas a resultados.</w:t>
            </w:r>
          </w:p>
        </w:tc>
      </w:tr>
    </w:tbl>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1"/>
    <w:bookmarkStart w:id="32"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2"/>
    <w:bookmarkStart w:id="39"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3"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3"/>
    <w:bookmarkStart w:id="34"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34"/>
    <w:bookmarkStart w:id="35"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35"/>
    <w:bookmarkStart w:id="36"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36"/>
    <w:bookmarkStart w:id="37"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37"/>
    <w:bookmarkStart w:id="38"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38"/>
    <w:bookmarkEnd w:id="39"/>
    <w:bookmarkStart w:id="43"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0"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0"/>
    <w:bookmarkStart w:id="41"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1"/>
    <w:bookmarkStart w:id="42"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2"/>
    <w:bookmarkEnd w:id="43"/>
    <w:bookmarkStart w:id="49"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44"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44"/>
    <w:bookmarkStart w:id="45"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45"/>
    <w:bookmarkStart w:id="46"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46"/>
    <w:bookmarkStart w:id="47"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47"/>
    <w:bookmarkStart w:id="48"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48"/>
    <w:bookmarkEnd w:id="49"/>
    <w:bookmarkStart w:id="52"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0"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0"/>
    <w:bookmarkStart w:id="51"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1"/>
    <w:bookmarkEnd w:id="52"/>
    <w:bookmarkStart w:id="57"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3"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3"/>
    <w:bookmarkStart w:id="54"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54"/>
    <w:bookmarkStart w:id="55"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55"/>
    <w:bookmarkStart w:id="56"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56"/>
    <w:bookmarkEnd w:id="57"/>
    <w:bookmarkStart w:id="60"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58"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58"/>
    <w:bookmarkStart w:id="59"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59"/>
    <w:bookmarkEnd w:id="60"/>
    <w:bookmarkStart w:id="64"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tbl>
      <w:tblPr>
        <w:tblStyle w:val="FigureTable"/>
        <w:tblW w:type="auto" w:w="0"/>
        <w:tblLook w:firstRow="0" w:lastRow="0" w:firstColumn="0" w:lastColumn="0"/>
        <w:jc w:val="center"/>
      </w:tblPr>
      <w:tblGrid>
        <w:gridCol w:w="7920"/>
      </w:tblGrid>
      <w:tr>
        <w:tc>
          <w:tcPr/>
          <w:p>
            <w:pPr>
              <w:pStyle w:val="Compact"/>
              <w:jc w:val="center"/>
            </w:pPr>
            <w:r>
              <w:t xml:space="preserve">Um Perfil-Alvo é útil quando suas lacunas se transformam em ações baseadas em risco, com responsáveis e recursos definidos.</w:t>
            </w:r>
          </w:p>
        </w:tc>
      </w:tr>
    </w:tbl>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61"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61"/>
    <w:bookmarkStart w:id="62"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62"/>
    <w:bookmarkStart w:id="63"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63"/>
    <w:bookmarkEnd w:id="64"/>
    <w:bookmarkStart w:id="65"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tbl>
      <w:tblPr>
        <w:tblStyle w:val="FigureTable"/>
        <w:tblW w:type="auto" w:w="0"/>
        <w:tblLook w:firstRow="0" w:lastRow="0" w:firstColumn="0" w:lastColumn="0"/>
        <w:jc w:val="center"/>
      </w:tblPr>
      <w:tblGrid>
        <w:gridCol w:w="7920"/>
      </w:tblGrid>
      <w:tr>
        <w:tc>
          <w:tcPr/>
          <w:p>
            <w:pPr>
              <w:pStyle w:val="Compact"/>
              <w:jc w:val="center"/>
            </w:pPr>
            <w:r>
              <w:t xml:space="preserve">Os Níveis do CSF oferecem contexto sobre o rigor da governança e das práticas de gestão de riscos.</w:t>
            </w:r>
          </w:p>
        </w:tc>
      </w:tr>
    </w:tbl>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65"/>
    <w:bookmarkStart w:id="68"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66"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66"/>
    <w:bookmarkStart w:id="67"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67"/>
    <w:bookmarkEnd w:id="68"/>
    <w:bookmarkStart w:id="69"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Planejar, selecionar, contratar, monitorar e encerrar relações com responsabilidades de segurança claramente definidas.</w:t>
            </w:r>
          </w:p>
        </w:tc>
      </w:tr>
    </w:tbl>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69"/>
    <w:bookmarkStart w:id="71"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tbl>
      <w:tblPr>
        <w:tblStyle w:val="FigureTable"/>
        <w:tblW w:type="auto" w:w="0"/>
        <w:tblLook w:firstRow="0" w:lastRow="0" w:firstColumn="0" w:lastColumn="0"/>
        <w:jc w:val="center"/>
      </w:tblPr>
      <w:tblGrid>
        <w:gridCol w:w="7920"/>
      </w:tblGrid>
      <w:tr>
        <w:tc>
          <w:tcPr/>
          <w:p>
            <w:pPr>
              <w:pStyle w:val="Compact"/>
              <w:jc w:val="center"/>
            </w:pPr>
            <w:r>
              <w:t xml:space="preserve">Um mapeamento se torna confiável quando os controles e as evidências operacionais são testados.</w:t>
            </w:r>
          </w:p>
        </w:tc>
      </w:tr>
    </w:tbl>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70"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70"/>
    <w:bookmarkEnd w:id="71"/>
    <w:bookmarkStart w:id="74"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72"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72"/>
    <w:bookmarkStart w:id="73"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73"/>
    <w:bookmarkEnd w:id="74"/>
    <w:bookmarkStart w:id="79"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tbl>
      <w:tblPr>
        <w:tblStyle w:val="FigureTable"/>
        <w:tblW w:type="auto" w:w="0"/>
        <w:tblLook w:firstRow="0" w:lastRow="0" w:firstColumn="0" w:lastColumn="0"/>
        <w:jc w:val="center"/>
      </w:tblPr>
      <w:tblGrid>
        <w:gridCol w:w="7920"/>
      </w:tblGrid>
      <w:tr>
        <w:tc>
          <w:tcPr/>
          <w:p>
            <w:pPr>
              <w:pStyle w:val="Compact"/>
              <w:jc w:val="center"/>
            </w:pPr>
            <w:r>
              <w:t xml:space="preserve">Autorização, validação, ação corretiva e novos testes transformam resultados técnicos em evidências úteis.</w:t>
            </w:r>
          </w:p>
        </w:tc>
      </w:tr>
    </w:tbl>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75"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75"/>
    <w:bookmarkStart w:id="77"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76"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76"/>
    <w:bookmarkEnd w:id="77"/>
    <w:bookmarkStart w:id="78"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78"/>
    <w:bookmarkEnd w:id="79"/>
    <w:bookmarkStart w:id="83" w:name="guia-prático-do-csf-para-gestores"/>
    <w:p>
      <w:pPr>
        <w:pStyle w:val="Heading1"/>
      </w:pPr>
      <w:r>
        <w:t xml:space="preserve">17. Guia prático do CSF para gestores</w:t>
      </w:r>
    </w:p>
    <w:bookmarkStart w:id="80"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80"/>
    <w:bookmarkStart w:id="81"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81"/>
    <w:bookmarkStart w:id="82"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82"/>
    <w:bookmarkEnd w:id="83"/>
    <w:bookmarkStart w:id="87" w:name="de-iniciante-a-analista-júnior"/>
    <w:p>
      <w:pPr>
        <w:pStyle w:val="Heading1"/>
      </w:pPr>
      <w:r>
        <w:t xml:space="preserve">18. De iniciante a analista júnior</w:t>
      </w:r>
    </w:p>
    <w:tbl>
      <w:tblPr>
        <w:tblStyle w:val="FigureTable"/>
        <w:tblW w:type="auto" w:w="0"/>
        <w:tblLook w:firstRow="0" w:lastRow="0" w:firstColumn="0" w:lastColumn="0"/>
        <w:jc w:val="center"/>
      </w:tblPr>
      <w:tblGrid>
        <w:gridCol w:w="7920"/>
      </w:tblGrid>
      <w:tr>
        <w:tc>
          <w:tcPr/>
          <w:p>
            <w:pPr>
              <w:pStyle w:val="Compact"/>
              <w:jc w:val="center"/>
            </w:pPr>
            <w:r>
              <w:t xml:space="preserve">Aprender, mapear, testar, relatar e se candidatar com evidências honestas de portfólio.</w:t>
            </w:r>
          </w:p>
        </w:tc>
      </w:tr>
    </w:tbl>
    <w:p>
      <w:pPr>
        <w:pStyle w:val="ImageCaption"/>
      </w:pPr>
      <w:r>
        <w:t xml:space="preserve">Aprender, mapear, testar, relatar e se candidatar com evidências honestas de portfólio.</w:t>
      </w:r>
    </w:p>
    <w:p>
      <w:pPr>
        <w:pStyle w:val="BodyText"/>
      </w:pPr>
      <w:r>
        <w:t xml:space="preserve">Figura 8. Caminho para analista júnior</w:t>
      </w:r>
    </w:p>
    <w:bookmarkStart w:id="84"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84"/>
    <w:bookmarkStart w:id="85"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85"/>
    <w:bookmarkStart w:id="86"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86"/>
    <w:bookmarkEnd w:id="87"/>
    <w:bookmarkStart w:id="88"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88"/>
    <w:bookmarkStart w:id="90"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89"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89"/>
    <w:bookmarkEnd w:id="90"/>
    <w:bookmarkStart w:id="91"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91"/>
    <w:bookmarkStart w:id="97" w:name="modelos-e-listas-de-verificação"/>
    <w:p>
      <w:pPr>
        <w:pStyle w:val="Heading1"/>
      </w:pPr>
      <w:r>
        <w:t xml:space="preserve">22. Modelos e listas de verificação</w:t>
      </w:r>
    </w:p>
    <w:bookmarkStart w:id="92"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92"/>
    <w:bookmarkStart w:id="93"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93"/>
    <w:bookmarkStart w:id="94"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94"/>
    <w:bookmarkStart w:id="95"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95"/>
    <w:bookmarkStart w:id="96"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96"/>
    <w:bookmarkEnd w:id="97"/>
    <w:bookmarkStart w:id="99"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98"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98"/>
    <w:bookmarkEnd w:id="99"/>
    <w:bookmarkStart w:id="100"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2026-07-28T23:25:59Z</dcterms:created>
  <dcterms:modified xsi:type="dcterms:W3CDTF">2026-07-28T23:25:59Z</dcterms:modified>
</cp:coreProperties>
</file>

<file path=docProps/custom.xml><?xml version="1.0" encoding="utf-8"?>
<Properties xmlns="http://schemas.openxmlformats.org/officeDocument/2006/custom-properties" xmlns:vt="http://schemas.openxmlformats.org/officeDocument/2006/docPropsVTypes"/>
</file>