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9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9"/>
    <w:bookmarkStart w:id="1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10"/>
    <w:bookmarkStart w:id="1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11"/>
    <w:bookmarkStart w:id="13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12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/>
          <w:iCs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2"/>
    <w:bookmarkEnd w:id="13"/>
    <w:bookmarkStart w:id="15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/>
          <w:iCs/>
        </w:rPr>
        <w:t xml:space="preserve">Use a fonte oficial atual e entenda como cada publicação suporta o todo.</w:t>
      </w:r>
    </w:p>
    <w:bookmarkStart w:id="14" w:name="publicaçãorecurso-uso-actual"/>
    <w:p>
      <w:pPr>
        <w:pStyle w:val="Heading2"/>
      </w:pPr>
      <w:r>
        <w:rPr>
          <w:b/>
          <w:bCs/>
        </w:rPr>
        <w:t xml:space="preserve">Publicação/recurso</w:t>
      </w:r>
      <w:r>
        <w:t xml:space="preserve"> </w:t>
      </w:r>
      <w:r>
        <w:rPr>
          <w:b/>
          <w:bCs/>
        </w:rPr>
        <w:t xml:space="preserve">Uso actual</w:t>
      </w:r>
    </w:p>
    <w:p>
      <w:pPr>
        <w:pStyle w:val="Compact"/>
        <w:numPr>
          <w:ilvl w:val="0"/>
          <w:numId w:val="1002"/>
        </w:numPr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pStyle w:val="Compact"/>
        <w:numPr>
          <w:ilvl w:val="0"/>
          <w:numId w:val="1002"/>
        </w:numPr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14"/>
    <w:bookmarkEnd w:id="15"/>
    <w:bookmarkStart w:id="16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/>
          <w:iCs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16"/>
    <w:bookmarkStart w:id="19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/>
          <w:iCs/>
        </w:rPr>
        <w:t xml:space="preserve">Um limite claro é a base para categorização, controles, avaliação e autorização.</w:t>
      </w:r>
    </w:p>
    <w:bookmarkStart w:id="17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17"/>
    <w:bookmarkStart w:id="18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18"/>
    <w:bookmarkEnd w:id="19"/>
    <w:bookmarkStart w:id="21" w:name="prepare-se-ao-nível-da-organização"/>
    <w:p>
      <w:pPr>
        <w:pStyle w:val="Heading1"/>
      </w:pPr>
      <w:r>
        <w:t xml:space="preserve">5. Prepare-se ao nível da organização</w:t>
      </w:r>
    </w:p>
    <w:p>
      <w:pPr>
        <w:pStyle w:val="Compact"/>
        <w:numPr>
          <w:ilvl w:val="0"/>
          <w:numId w:val="1004"/>
        </w:numPr>
      </w:pPr>
      <w:r>
        <w:t xml:space="preserve">Preparação de nível de organização faz o sistema RMF funcionar de forma consistente e eficiente.*</w:t>
      </w:r>
    </w:p>
    <w:bookmarkStart w:id="20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0"/>
    <w:bookmarkEnd w:id="21"/>
    <w:bookmarkStart w:id="22" w:name="prepare-se-ao-nível-do-sistema"/>
    <w:p>
      <w:pPr>
        <w:pStyle w:val="Heading1"/>
      </w:pPr>
      <w:r>
        <w:t xml:space="preserve">6. Prepare-se ao nível do sistema</w:t>
      </w:r>
    </w:p>
    <w:p>
      <w:pPr>
        <w:pStyle w:val="Compact"/>
        <w:numPr>
          <w:ilvl w:val="0"/>
          <w:numId w:val="1006"/>
        </w:numPr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22"/>
    <w:bookmarkStart w:id="2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/>
          <w:iCs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23"/>
    <w:bookmarkStart w:id="2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/>
          <w:iCs/>
        </w:rPr>
        <w:t xml:space="preserve">Seleção cria um conjunto personalizado de controles que aborda o sistema e risco organizacional.</w:t>
      </w:r>
    </w:p>
    <w:bookmarkEnd w:id="24"/>
    <w:bookmarkStart w:id="2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Compact"/>
        <w:numPr>
          <w:ilvl w:val="0"/>
          <w:numId w:val="1010"/>
        </w:numPr>
      </w:pPr>
      <w:r>
        <w:t xml:space="preserve">Implementar controles</w:t>
      </w:r>
    </w:p>
    <w:p>
      <w:pPr>
        <w:pStyle w:val="Compact"/>
        <w:numPr>
          <w:ilvl w:val="0"/>
          <w:numId w:val="1011"/>
        </w:numPr>
      </w:pPr>
      <w:r>
        <w:t xml:space="preserve">Implementação transforma controles selecionados em salvaguardas reais, atribuídas, configuradas e operadas.*</w:t>
      </w:r>
    </w:p>
    <w:bookmarkStart w:id="2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25"/>
    <w:bookmarkEnd w:id="26"/>
    <w:bookmarkStart w:id="2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/>
          <w:iCs/>
        </w:rPr>
        <w:t xml:space="preserve">Avaliação determina se os controles são implementados corretamente, funcionando como pretendido, e produzindo o resultado desejado.</w:t>
      </w:r>
    </w:p>
    <w:bookmarkStart w:id="2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27"/>
    <w:bookmarkStart w:id="2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28"/>
    <w:bookmarkEnd w:id="29"/>
    <w:bookmarkStart w:id="32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/>
          <w:iCs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30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30"/>
    <w:bookmarkStart w:id="31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31"/>
    <w:bookmarkEnd w:id="32"/>
    <w:bookmarkStart w:id="35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/>
          <w:iCs/>
        </w:rPr>
        <w:t xml:space="preserve">Monitor rastreia controles, mudanças de sistema, ameaça, descobertas e risco após a autorização.</w:t>
      </w:r>
    </w:p>
    <w:bookmarkStart w:id="33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33"/>
    <w:bookmarkStart w:id="34" w:name="Xc17dc286339c0bb49fd8d7d7bedc43c4ca2c0aa"/>
    <w:p>
      <w:pPr>
        <w:pStyle w:val="Heading2"/>
      </w:pPr>
      <w:r>
        <w:rPr>
          <w:b/>
          <w:bCs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34"/>
    <w:bookmarkEnd w:id="35"/>
    <w:bookmarkStart w:id="37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/>
          <w:iCs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36" w:name="baselina-purpose"/>
    <w:p>
      <w:pPr>
        <w:pStyle w:val="Heading2"/>
      </w:pPr>
      <w:r>
        <w:t xml:space="preserve">*Baselina</w:t>
      </w:r>
      <w:r>
        <w:rPr>
          <w:b/>
          <w:bCs/>
        </w:rPr>
        <w:t xml:space="preserve"> </w:t>
      </w:r>
      <w:r>
        <w:t xml:space="preserve">Purpose**</w:t>
      </w:r>
    </w:p>
    <w:p>
      <w:pPr>
        <w:pStyle w:val="Compact"/>
        <w:numPr>
          <w:ilvl w:val="0"/>
          <w:numId w:val="1016"/>
        </w:numPr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36"/>
    <w:bookmarkEnd w:id="37"/>
    <w:bookmarkStart w:id="38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38"/>
    <w:bookmarkStart w:id="40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pStyle w:val="Compact"/>
        <w:numPr>
          <w:ilvl w:val="0"/>
          <w:numId w:val="1018"/>
        </w:numPr>
      </w:pPr>
      <w:r>
        <w:t xml:space="preserve">Control alocation explica quem fornece cada controle e qual parte do sistema deve implementar.*</w:t>
      </w:r>
    </w:p>
    <w:bookmarkStart w:id="39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39"/>
    <w:bookmarkEnd w:id="40"/>
    <w:bookmarkStart w:id="43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pStyle w:val="Compact"/>
        <w:numPr>
          <w:ilvl w:val="0"/>
          <w:numId w:val="1020"/>
        </w:numPr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pStyle w:val="Heading2"/>
        <w:numPr>
          <w:ilvl w:val="0"/>
          <w:numId w:val="1021"/>
        </w:numPr>
      </w:pPr>
      <w:bookmarkStart w:id="41" w:name="Xedc10af444e551c1fab18e313a051886c486d42"/>
      <w:r>
        <w:t xml:space="preserve">Declaração fraca** ** Padrão de instrução de Stronger**</w:t>
      </w:r>
      <w:bookmarkEnd w:id="41"/>
    </w:p>
    <w:p>
      <w:pPr>
        <w:pStyle w:val="Compact"/>
        <w:numPr>
          <w:ilvl w:val="0"/>
          <w:numId w:val="1000"/>
        </w:numPr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42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42"/>
    <w:bookmarkEnd w:id="43"/>
    <w:bookmarkStart w:id="45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pStyle w:val="Compact"/>
        <w:numPr>
          <w:ilvl w:val="0"/>
          <w:numId w:val="1023"/>
        </w:numPr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44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44"/>
    <w:bookmarkEnd w:id="45"/>
    <w:bookmarkStart w:id="46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46"/>
    <w:bookmarkStart w:id="47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/>
          <w:iCs/>
        </w:rPr>
        <w:t xml:space="preserve">O pacote conta a história de risco do propósito do sistema para abrir fraqueza e monitoramento.</w:t>
      </w:r>
    </w:p>
    <w:bookmarkEnd w:id="47"/>
    <w:bookmarkStart w:id="48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“header”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48"/>
    <w:bookmarkStart w:id="50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/>
          <w:iCs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pStyle w:val="Heading2"/>
        <w:numPr>
          <w:ilvl w:val="0"/>
          <w:numId w:val="1026"/>
        </w:numPr>
      </w:pPr>
      <w:bookmarkStart w:id="49" w:name="campo-exemplo-conteúdo-de-decisão"/>
      <w:r>
        <w:t xml:space="preserve">** Campo**</w:t>
      </w:r>
      <w:r>
        <w:t xml:space="preserve"> </w:t>
      </w:r>
      <w:r>
        <w:rPr>
          <w:b/>
          <w:bCs/>
        </w:rPr>
        <w:t xml:space="preserve">Exemplo conteúdo de decisão</w:t>
      </w:r>
      <w:bookmarkEnd w:id="49"/>
    </w:p>
    <w:p>
      <w:pPr>
        <w:pStyle w:val="Compact"/>
        <w:numPr>
          <w:ilvl w:val="0"/>
          <w:numId w:val="1000"/>
        </w:numPr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50"/>
    <w:bookmarkStart w:id="53" w:name="oscal-e-automação"/>
    <w:p>
      <w:pPr>
        <w:pStyle w:val="Heading1"/>
      </w:pPr>
      <w:r>
        <w:t xml:space="preserve">19. OSCAL e Automação</w:t>
      </w:r>
    </w:p>
    <w:p>
      <w:pPr>
        <w:pStyle w:val="Compact"/>
        <w:numPr>
          <w:ilvl w:val="0"/>
          <w:numId w:val="1027"/>
        </w:numPr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51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51"/>
    <w:bookmarkStart w:id="52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52"/>
    <w:bookmarkEnd w:id="53"/>
    <w:bookmarkStart w:id="54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/>
          <w:iCs/>
        </w:rPr>
        <w:t xml:space="preserve">Quatro famílias estabelecem quem pode agir, como as pessoas aprendem, o que é registrado, e como as decisões de garantia são tomadas.</w:t>
      </w:r>
    </w:p>
    <w:bookmarkEnd w:id="54"/>
    <w:bookmarkStart w:id="56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55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55"/>
    <w:bookmarkEnd w:id="56"/>
    <w:bookmarkStart w:id="57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57"/>
    <w:bookmarkStart w:id="58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58"/>
    <w:bookmarkStart w:id="59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59"/>
    <w:bookmarkStart w:id="60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/>
          <w:iCs/>
        </w:rPr>
        <w:t xml:space="preserve">Estas famílias garantem configuração, resiliência, identidade, resposta e manutenção controlada.</w:t>
      </w:r>
    </w:p>
    <w:bookmarkEnd w:id="60"/>
    <w:bookmarkStart w:id="61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61"/>
    <w:bookmarkStart w:id="62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62"/>
    <w:bookmarkStart w:id="63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63"/>
    <w:bookmarkStart w:id="64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64"/>
    <w:bookmarkStart w:id="65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65"/>
    <w:bookmarkStart w:id="66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pStyle w:val="Compact"/>
        <w:numPr>
          <w:ilvl w:val="0"/>
          <w:numId w:val="1029"/>
        </w:numPr>
      </w:pPr>
      <w:r>
        <w:t xml:space="preserve">Estas famílias protegem a mídia, instalações, planos, programas e pessoal.*</w:t>
      </w:r>
    </w:p>
    <w:bookmarkEnd w:id="66"/>
    <w:bookmarkStart w:id="68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67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67"/>
    <w:bookmarkEnd w:id="68"/>
    <w:bookmarkStart w:id="69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69"/>
    <w:bookmarkStart w:id="70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70"/>
    <w:bookmarkStart w:id="72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71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71"/>
    <w:bookmarkEnd w:id="72"/>
    <w:bookmarkStart w:id="74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73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73"/>
    <w:bookmarkEnd w:id="74"/>
    <w:bookmarkStart w:id="75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pStyle w:val="Compact"/>
        <w:numPr>
          <w:ilvl w:val="0"/>
          <w:numId w:val="1030"/>
        </w:numPr>
      </w:pPr>
      <w:r>
        <w:t xml:space="preserve">Essas famílias cobrem PII, risco, aquisição, arquitetura/comunicações, integridade e cadeias de suprimentos.*</w:t>
      </w:r>
    </w:p>
    <w:bookmarkEnd w:id="75"/>
    <w:bookmarkStart w:id="77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76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76"/>
    <w:bookmarkEnd w:id="77"/>
    <w:bookmarkStart w:id="78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78"/>
    <w:bookmarkStart w:id="79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79"/>
    <w:bookmarkStart w:id="80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80"/>
    <w:bookmarkStart w:id="81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81"/>
    <w:bookmarkStart w:id="82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/>
          <w:iCs/>
        </w:rPr>
        <w:t xml:space="preserve">Rev. 5 integra controles de segurança e privacidade, preservando objetivos distintos e métodos de risco.</w:t>
      </w:r>
    </w:p>
    <w:bookmarkEnd w:id="82"/>
    <w:bookmarkStart w:id="84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83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83"/>
    <w:bookmarkEnd w:id="84"/>
    <w:bookmarkStart w:id="86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Release 5.2.0 mudança</w:t>
      </w:r>
      <w:r>
        <w:t xml:space="preserve"> </w:t>
      </w:r>
      <w:r>
        <w:rPr>
          <w:b/>
          <w:bCs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85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85"/>
    <w:bookmarkEnd w:id="86"/>
    <w:bookmarkStart w:id="88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/>
          <w:iCs/>
        </w:rPr>
        <w:t xml:space="preserve">Recursos oficiais e ferramentas de código aberto podem apoiar a autoria, evidência, avaliação e monitoramento contínuo.</w:t>
      </w:r>
    </w:p>
    <w:bookmarkStart w:id="87" w:name="recurso-ferramenta-purpose"/>
    <w:p>
      <w:pPr>
        <w:pStyle w:val="Heading2"/>
      </w:pPr>
      <w:r>
        <w:t xml:space="preserve">*Recurso / ferramenta</w:t>
      </w:r>
      <w:r>
        <w:rPr>
          <w:b/>
          <w:bCs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87"/>
    <w:bookmarkEnd w:id="88"/>
    <w:bookmarkStart w:id="90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89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0"/>
    <w:bookmarkStart w:id="92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91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2"/>
    <w:bookmarkStart w:id="94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93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4"/>
    <w:bookmarkStart w:id="96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95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6"/>
    <w:bookmarkStart w:id="98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97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8"/>
    <w:bookmarkStart w:id="100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99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0"/>
    <w:bookmarkStart w:id="102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01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2"/>
    <w:bookmarkStart w:id="104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03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4"/>
    <w:bookmarkStart w:id="106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6"/>
    <w:bookmarkStart w:id="109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07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10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12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16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19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1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9"/>
    <w:bookmarkStart w:id="121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2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1"/>
    <w:bookmarkStart w:id="123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22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3"/>
    <w:bookmarkStart w:id="126" w:name="manual-do-rmf-para-gerentes"/>
    <w:p>
      <w:pPr>
        <w:pStyle w:val="Heading1"/>
      </w:pPr>
      <w:r>
        <w:t xml:space="preserve">27. Manual do RMF para gerentes</w:t>
      </w:r>
    </w:p>
    <w:p>
      <w:pPr>
        <w:pStyle w:val="Compact"/>
        <w:numPr>
          <w:ilvl w:val="0"/>
          <w:numId w:val="1034"/>
        </w:numPr>
      </w:pPr>
      <w:r>
        <w:t xml:space="preserve">Os gerentes mantêm RMF focado em risco de missão, evidências confiáveis, decisões oportunas e correção.*</w:t>
      </w:r>
    </w:p>
    <w:bookmarkStart w:id="124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24"/>
    <w:bookmarkStart w:id="125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25"/>
    <w:bookmarkEnd w:id="126"/>
    <w:bookmarkStart w:id="127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/>
          <w:iCs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27"/>
    <w:bookmarkStart w:id="128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28"/>
    <w:bookmarkStart w:id="129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29"/>
    <w:bookmarkStart w:id="131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pStyle w:val="Compact"/>
        <w:numPr>
          <w:ilvl w:val="0"/>
          <w:numId w:val="1038"/>
        </w:numPr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30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30"/>
    <w:bookmarkEnd w:id="131"/>
    <w:bookmarkStart w:id="133" w:name="plano-de-30-dias"/>
    <w:p>
      <w:pPr>
        <w:pStyle w:val="Heading1"/>
      </w:pPr>
      <w:r>
        <w:t xml:space="preserve"># 29,2 Plano de 30 dias</w:t>
      </w:r>
    </w:p>
    <w:p>
      <w:pPr>
        <w:pStyle w:val="Heading2"/>
        <w:numPr>
          <w:ilvl w:val="0"/>
          <w:numId w:val="1040"/>
        </w:numPr>
      </w:pPr>
      <w:bookmarkStart w:id="132" w:name="dias-foco-entrega"/>
      <w:r>
        <w:t xml:space="preserve">Dias** * Foco** * Entrega**</w:t>
      </w:r>
      <w:bookmarkEnd w:id="132"/>
    </w:p>
    <w:p>
      <w:pPr>
        <w:pStyle w:val="Compact"/>
        <w:numPr>
          <w:ilvl w:val="0"/>
          <w:numId w:val="1000"/>
        </w:numPr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33"/>
    <w:bookmarkStart w:id="140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34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34"/>
    <w:bookmarkStart w:id="135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35"/>
    <w:bookmarkStart w:id="136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36"/>
    <w:bookmarkStart w:id="137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37"/>
    <w:bookmarkStart w:id="138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38"/>
    <w:bookmarkStart w:id="139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39"/>
    <w:bookmarkEnd w:id="140"/>
    <w:bookmarkStart w:id="141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41"/>
    <w:bookmarkStart w:id="142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42"/>
    <w:bookmarkStart w:id="143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43"/>
    <w:bookmarkStart w:id="146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41"/>
        </w:numPr>
      </w:pPr>
      <w:r>
        <w:t xml:space="preserve">Estruturas de trabalho reutilizáveis, termos-chave, índice de assunto e fontes oficiais.*</w:t>
      </w:r>
    </w:p>
    <w:bookmarkStart w:id="145" w:name="registro-de-sistema-e-limite"/>
    <w:p>
      <w:pPr>
        <w:pStyle w:val="Heading2"/>
      </w:pPr>
      <w:r>
        <w:t xml:space="preserve">30.1 Registro de sistema e limite</w:t>
      </w:r>
    </w:p>
    <w:p>
      <w:pPr>
        <w:pStyle w:val="Heading2"/>
        <w:numPr>
          <w:ilvl w:val="0"/>
          <w:numId w:val="1042"/>
        </w:numPr>
      </w:pPr>
      <w:bookmarkStart w:id="144" w:name="campo-entrada"/>
      <w:r>
        <w:t xml:space="preserve">Campo** * Entrada**</w:t>
      </w:r>
      <w:bookmarkEnd w:id="144"/>
    </w:p>
    <w:p>
      <w:pPr>
        <w:pStyle w:val="Compact"/>
        <w:numPr>
          <w:ilvl w:val="0"/>
          <w:numId w:val="1000"/>
        </w:numPr>
      </w:pPr>
      <w:r>
        <w:t xml:space="preserve">• Sistema/proprietário/missão</w:t>
      </w:r>
    </w:p>
    <w:p>
      <w:pPr>
        <w:pStyle w:val="Compact"/>
        <w:numPr>
          <w:ilvl w:val="0"/>
          <w:numId w:val="1042"/>
        </w:numPr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pStyle w:val="Compact"/>
        <w:numPr>
          <w:ilvl w:val="0"/>
          <w:numId w:val="1042"/>
        </w:numPr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pStyle w:val="Compact"/>
        <w:numPr>
          <w:ilvl w:val="0"/>
          <w:numId w:val="1042"/>
        </w:numPr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45"/>
    <w:bookmarkEnd w:id="146"/>
    <w:bookmarkStart w:id="151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pStyle w:val="Heading2"/>
        <w:numPr>
          <w:ilvl w:val="0"/>
          <w:numId w:val="1043"/>
        </w:numPr>
      </w:pPr>
      <w:bookmarkStart w:id="147" w:name="campo-entrada-1"/>
      <w:r>
        <w:t xml:space="preserve">Campo** * Entrada**</w:t>
      </w:r>
      <w:bookmarkEnd w:id="147"/>
    </w:p>
    <w:p>
      <w:pPr>
        <w:pStyle w:val="Compact"/>
        <w:numPr>
          <w:ilvl w:val="0"/>
          <w:numId w:val="1000"/>
        </w:numPr>
      </w:pPr>
      <w:r>
        <w:t xml:space="preserve">• Controlo/melhoramento/libertação</w:t>
      </w:r>
    </w:p>
    <w:p>
      <w:pPr>
        <w:pStyle w:val="Compact"/>
        <w:numPr>
          <w:ilvl w:val="0"/>
          <w:numId w:val="1043"/>
        </w:numPr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pStyle w:val="Compact"/>
        <w:numPr>
          <w:ilvl w:val="0"/>
          <w:numId w:val="1043"/>
        </w:numPr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48" w:name="avaliação-e-registro-de-busca"/>
    <w:p>
      <w:pPr>
        <w:pStyle w:val="Heading2"/>
      </w:pPr>
      <w:r>
        <w:t xml:space="preserve">30.3 Avaliação e registro de busca</w:t>
      </w:r>
    </w:p>
    <w:p>
      <w:pPr>
        <w:pStyle w:val="Compact"/>
        <w:numPr>
          <w:ilvl w:val="0"/>
          <w:numId w:val="1044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pStyle w:val="Compact"/>
        <w:numPr>
          <w:ilvl w:val="0"/>
          <w:numId w:val="1044"/>
        </w:numPr>
      </w:pPr>
      <w:r>
        <w:t xml:space="preserve">Profundidade/cobertura/período</w:t>
      </w:r>
    </w:p>
    <w:p>
      <w:pPr>
        <w:pStyle w:val="Compact"/>
        <w:numPr>
          <w:ilvl w:val="0"/>
          <w:numId w:val="1044"/>
        </w:numPr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pStyle w:val="Compact"/>
        <w:numPr>
          <w:ilvl w:val="0"/>
          <w:numId w:val="1044"/>
        </w:numPr>
      </w:pPr>
      <w:r>
        <w:t xml:space="preserve">Risco/causas</w:t>
      </w:r>
    </w:p>
    <w:p>
      <w:pPr>
        <w:pStyle w:val="Compact"/>
        <w:numPr>
          <w:ilvl w:val="0"/>
          <w:numId w:val="1044"/>
        </w:numPr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48"/>
    <w:bookmarkStart w:id="150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pStyle w:val="Heading2"/>
        <w:numPr>
          <w:ilvl w:val="0"/>
          <w:numId w:val="1045"/>
        </w:numPr>
      </w:pPr>
      <w:bookmarkStart w:id="149" w:name="campo-entrada-2"/>
      <w:r>
        <w:t xml:space="preserve">Campo** * Entrada**</w:t>
      </w:r>
      <w:bookmarkEnd w:id="149"/>
    </w:p>
    <w:p>
      <w:pPr>
        <w:pStyle w:val="Compact"/>
        <w:numPr>
          <w:ilvl w:val="0"/>
          <w:numId w:val="1045"/>
        </w:numPr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pStyle w:val="Compact"/>
        <w:numPr>
          <w:ilvl w:val="0"/>
          <w:numId w:val="1045"/>
        </w:numPr>
      </w:pPr>
      <w:r>
        <w:t xml:space="preserve">Limiar/escalão</w:t>
      </w:r>
    </w:p>
    <w:p>
      <w:pPr>
        <w:pStyle w:val="Compact"/>
        <w:numPr>
          <w:ilvl w:val="0"/>
          <w:numId w:val="1045"/>
        </w:numPr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50"/>
    <w:bookmarkEnd w:id="151"/>
    <w:bookmarkStart w:id="153" w:name="glossário"/>
    <w:p>
      <w:pPr>
        <w:pStyle w:val="Heading1"/>
      </w:pPr>
      <w:r>
        <w:t xml:space="preserve"># 30.5 Glossário</w:t>
      </w:r>
    </w:p>
    <w:bookmarkStart w:id="15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52"/>
    <w:bookmarkEnd w:id="153"/>
    <w:bookmarkStart w:id="169" w:name="índice-de-assunto"/>
    <w:p>
      <w:pPr>
        <w:pStyle w:val="Heading1"/>
      </w:pPr>
      <w:r>
        <w:t xml:space="preserve"># 30.6 Índice de assunto</w:t>
      </w:r>
    </w:p>
    <w:bookmarkStart w:id="154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54"/>
    <w:bookmarkStart w:id="167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55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56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57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58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59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60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61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62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63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89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64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65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RMF cursos introdutórios</w:t>
        </w:r>
      </w:hyperlink>
    </w:p>
    <w:bookmarkEnd w:id="167"/>
    <w:bookmarkStart w:id="168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0" Target="https://csrc.nist.gov/News/2025/nist-releases-revision-to-sp-800-53-controls" TargetMode="External" /><Relationship Type="http://schemas.openxmlformats.org/officeDocument/2006/relationships/hyperlink" Id="rId89" Target="https://csrc.nist.gov/projects/cprt/catalog" TargetMode="External" /><Relationship Type="http://schemas.openxmlformats.org/officeDocument/2006/relationships/hyperlink" Id="rId155" Target="https://csrc.nist.gov/projects/risk-management" TargetMode="External" /><Relationship Type="http://schemas.openxmlformats.org/officeDocument/2006/relationships/hyperlink" Id="rId166" Target="https://csrc.nist.gov/projects/risk-management/rmf-courses" TargetMode="External" /><Relationship Type="http://schemas.openxmlformats.org/officeDocument/2006/relationships/hyperlink" Id="rId165" Target="https://csrc.nist.gov/projects/risk-management/sp800-53-controls/downloads" TargetMode="External" /><Relationship Type="http://schemas.openxmlformats.org/officeDocument/2006/relationships/hyperlink" Id="rId161" Target="https://csrc.nist.gov/pubs/sp/800/18/r2/final" TargetMode="External" /><Relationship Type="http://schemas.openxmlformats.org/officeDocument/2006/relationships/hyperlink" Id="rId162" Target="https://csrc.nist.gov/pubs/sp/800/30/r1/final" TargetMode="External" /><Relationship Type="http://schemas.openxmlformats.org/officeDocument/2006/relationships/hyperlink" Id="rId156" Target="https://csrc.nist.gov/pubs/sp/800/37/r2/final" TargetMode="External" /><Relationship Type="http://schemas.openxmlformats.org/officeDocument/2006/relationships/hyperlink" Id="rId163" Target="https://csrc.nist.gov/pubs/sp/800/39/final" TargetMode="External" /><Relationship Type="http://schemas.openxmlformats.org/officeDocument/2006/relationships/hyperlink" Id="rId158" Target="https://csrc.nist.gov/pubs/sp/800/53/a/r5/final" TargetMode="External" /><Relationship Type="http://schemas.openxmlformats.org/officeDocument/2006/relationships/hyperlink" Id="rId159" Target="https://csrc.nist.gov/pubs/sp/800/53/b/upd1/final" TargetMode="External" /><Relationship Type="http://schemas.openxmlformats.org/officeDocument/2006/relationships/hyperlink" Id="rId157" Target="https://csrc.nist.gov/pubs/sp/800/53/r5/upd1/final" TargetMode="External" /><Relationship Type="http://schemas.openxmlformats.org/officeDocument/2006/relationships/hyperlink" Id="rId95" Target="https://github.com/defenseunicorns/lula" TargetMode="External" /><Relationship Type="http://schemas.openxmlformats.org/officeDocument/2006/relationships/hyperlink" Id="rId99" Target="https://github.com/mitre/heimdall2" TargetMode="External" /><Relationship Type="http://schemas.openxmlformats.org/officeDocument/2006/relationships/hyperlink" Id="rId101" Target="https://github.com/opencontrol" TargetMode="External" /><Relationship Type="http://schemas.openxmlformats.org/officeDocument/2006/relationships/hyperlink" Id="rId93" Target="https://github.com/oscal-compass/compliance-trestle" TargetMode="External" /><Relationship Type="http://schemas.openxmlformats.org/officeDocument/2006/relationships/hyperlink" Id="rId103" Target="https://github.com/usnistgov/oscal-cli" TargetMode="External" /><Relationship Type="http://schemas.openxmlformats.org/officeDocument/2006/relationships/hyperlink" Id="rId91" Target="https://github.com/usnistgov/oscal-content" TargetMode="External" /><Relationship Type="http://schemas.openxmlformats.org/officeDocument/2006/relationships/hyperlink" Id="rId112" Target="https://greenbone.github.io/docs/latest/" TargetMode="External" /><Relationship Type="http://schemas.openxmlformats.org/officeDocument/2006/relationships/hyperlink" Id="rId97" Target="https://intuitem.github.io/ciso-assistant-community/" TargetMode="External" /><Relationship Type="http://schemas.openxmlformats.org/officeDocument/2006/relationships/hyperlink" Id="rId110" Target="https://nmap.org/" TargetMode="External" /><Relationship Type="http://schemas.openxmlformats.org/officeDocument/2006/relationships/hyperlink" Id="rId164" Target="https://pages.nist.gov/OSCAL/" TargetMode="External" /><Relationship Type="http://schemas.openxmlformats.org/officeDocument/2006/relationships/hyperlink" Id="rId114" Target="https://trivy.dev/" TargetMode="External" /><Relationship Type="http://schemas.openxmlformats.org/officeDocument/2006/relationships/hyperlink" Id="rId105" Target="https://wazuh.com/" TargetMode="External" /><Relationship Type="http://schemas.openxmlformats.org/officeDocument/2006/relationships/hyperlink" Id="rId120" Target="https://www.defectdojo.org/" TargetMode="External" /><Relationship Type="http://schemas.openxmlformats.org/officeDocument/2006/relationships/hyperlink" Id="rId118" Target="https://www.keycloak.org/" TargetMode="External" /><Relationship Type="http://schemas.openxmlformats.org/officeDocument/2006/relationships/hyperlink" Id="rId107" Target="https://www.open-scap.org/" TargetMode="External" /><Relationship Type="http://schemas.openxmlformats.org/officeDocument/2006/relationships/hyperlink" Id="rId122" Target="https://www.openpolicyagent.org/" TargetMode="External" /><Relationship Type="http://schemas.openxmlformats.org/officeDocument/2006/relationships/hyperlink" Id="rId108" Target="https://www.osquery.io/" TargetMode="External" /><Relationship Type="http://schemas.openxmlformats.org/officeDocument/2006/relationships/hyperlink" Id="rId116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0" Target="https://csrc.nist.gov/News/2025/nist-releases-revision-to-sp-800-53-controls" TargetMode="External" /><Relationship Type="http://schemas.openxmlformats.org/officeDocument/2006/relationships/hyperlink" Id="rId89" Target="https://csrc.nist.gov/projects/cprt/catalog" TargetMode="External" /><Relationship Type="http://schemas.openxmlformats.org/officeDocument/2006/relationships/hyperlink" Id="rId155" Target="https://csrc.nist.gov/projects/risk-management" TargetMode="External" /><Relationship Type="http://schemas.openxmlformats.org/officeDocument/2006/relationships/hyperlink" Id="rId166" Target="https://csrc.nist.gov/projects/risk-management/rmf-courses" TargetMode="External" /><Relationship Type="http://schemas.openxmlformats.org/officeDocument/2006/relationships/hyperlink" Id="rId165" Target="https://csrc.nist.gov/projects/risk-management/sp800-53-controls/downloads" TargetMode="External" /><Relationship Type="http://schemas.openxmlformats.org/officeDocument/2006/relationships/hyperlink" Id="rId161" Target="https://csrc.nist.gov/pubs/sp/800/18/r2/final" TargetMode="External" /><Relationship Type="http://schemas.openxmlformats.org/officeDocument/2006/relationships/hyperlink" Id="rId162" Target="https://csrc.nist.gov/pubs/sp/800/30/r1/final" TargetMode="External" /><Relationship Type="http://schemas.openxmlformats.org/officeDocument/2006/relationships/hyperlink" Id="rId156" Target="https://csrc.nist.gov/pubs/sp/800/37/r2/final" TargetMode="External" /><Relationship Type="http://schemas.openxmlformats.org/officeDocument/2006/relationships/hyperlink" Id="rId163" Target="https://csrc.nist.gov/pubs/sp/800/39/final" TargetMode="External" /><Relationship Type="http://schemas.openxmlformats.org/officeDocument/2006/relationships/hyperlink" Id="rId158" Target="https://csrc.nist.gov/pubs/sp/800/53/a/r5/final" TargetMode="External" /><Relationship Type="http://schemas.openxmlformats.org/officeDocument/2006/relationships/hyperlink" Id="rId159" Target="https://csrc.nist.gov/pubs/sp/800/53/b/upd1/final" TargetMode="External" /><Relationship Type="http://schemas.openxmlformats.org/officeDocument/2006/relationships/hyperlink" Id="rId157" Target="https://csrc.nist.gov/pubs/sp/800/53/r5/upd1/final" TargetMode="External" /><Relationship Type="http://schemas.openxmlformats.org/officeDocument/2006/relationships/hyperlink" Id="rId95" Target="https://github.com/defenseunicorns/lula" TargetMode="External" /><Relationship Type="http://schemas.openxmlformats.org/officeDocument/2006/relationships/hyperlink" Id="rId99" Target="https://github.com/mitre/heimdall2" TargetMode="External" /><Relationship Type="http://schemas.openxmlformats.org/officeDocument/2006/relationships/hyperlink" Id="rId101" Target="https://github.com/opencontrol" TargetMode="External" /><Relationship Type="http://schemas.openxmlformats.org/officeDocument/2006/relationships/hyperlink" Id="rId93" Target="https://github.com/oscal-compass/compliance-trestle" TargetMode="External" /><Relationship Type="http://schemas.openxmlformats.org/officeDocument/2006/relationships/hyperlink" Id="rId103" Target="https://github.com/usnistgov/oscal-cli" TargetMode="External" /><Relationship Type="http://schemas.openxmlformats.org/officeDocument/2006/relationships/hyperlink" Id="rId91" Target="https://github.com/usnistgov/oscal-content" TargetMode="External" /><Relationship Type="http://schemas.openxmlformats.org/officeDocument/2006/relationships/hyperlink" Id="rId112" Target="https://greenbone.github.io/docs/latest/" TargetMode="External" /><Relationship Type="http://schemas.openxmlformats.org/officeDocument/2006/relationships/hyperlink" Id="rId97" Target="https://intuitem.github.io/ciso-assistant-community/" TargetMode="External" /><Relationship Type="http://schemas.openxmlformats.org/officeDocument/2006/relationships/hyperlink" Id="rId110" Target="https://nmap.org/" TargetMode="External" /><Relationship Type="http://schemas.openxmlformats.org/officeDocument/2006/relationships/hyperlink" Id="rId164" Target="https://pages.nist.gov/OSCAL/" TargetMode="External" /><Relationship Type="http://schemas.openxmlformats.org/officeDocument/2006/relationships/hyperlink" Id="rId114" Target="https://trivy.dev/" TargetMode="External" /><Relationship Type="http://schemas.openxmlformats.org/officeDocument/2006/relationships/hyperlink" Id="rId105" Target="https://wazuh.com/" TargetMode="External" /><Relationship Type="http://schemas.openxmlformats.org/officeDocument/2006/relationships/hyperlink" Id="rId120" Target="https://www.defectdojo.org/" TargetMode="External" /><Relationship Type="http://schemas.openxmlformats.org/officeDocument/2006/relationships/hyperlink" Id="rId118" Target="https://www.keycloak.org/" TargetMode="External" /><Relationship Type="http://schemas.openxmlformats.org/officeDocument/2006/relationships/hyperlink" Id="rId107" Target="https://www.open-scap.org/" TargetMode="External" /><Relationship Type="http://schemas.openxmlformats.org/officeDocument/2006/relationships/hyperlink" Id="rId122" Target="https://www.openpolicyagent.org/" TargetMode="External" /><Relationship Type="http://schemas.openxmlformats.org/officeDocument/2006/relationships/hyperlink" Id="rId108" Target="https://www.osquery.io/" TargetMode="External" /><Relationship Type="http://schemas.openxmlformats.org/officeDocument/2006/relationships/hyperlink" Id="rId116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2026-07-28T19:58:55Z</dcterms:created>
  <dcterms:modified xsi:type="dcterms:W3CDTF">2026-07-28T19:58:55Z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