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ómo-prepararse-para-una-auditoría-soc-2"/>
    <w:p>
      <w:pPr>
        <w:pStyle w:val="Heading1"/>
      </w:pPr>
      <w:r>
        <w:t xml:space="preserve">Cómo prepararse para una auditoría SOC 2</w:t>
      </w:r>
    </w:p>
    <w:bookmarkStart w:id="9" w:name="Xa642433fb375994558ecb98e961ec75f2e9106b"/>
    <w:p>
      <w:pPr>
        <w:pStyle w:val="Heading2"/>
      </w:pPr>
      <w:r>
        <w:t xml:space="preserve">Guía práctica de preparación, controles, evidencia, pruebas y cumplimiento continuo</w:t>
      </w:r>
    </w:p>
    <w:p>
      <w:pPr>
        <w:pStyle w:val="FirstParagraph"/>
      </w:pPr>
      <w:r>
        <w:rPr>
          <w:b/>
          <w:bCs/>
        </w:rPr>
        <w:t xml:space="preserve">Autor:</w:t>
      </w:r>
      <w:r>
        <w:t xml:space="preserve"> </w:t>
      </w:r>
      <w:r>
        <w:t xml:space="preserve">Alberto (Al) Leiva</w:t>
      </w:r>
      <w:r>
        <w:br/>
      </w:r>
      <w:r>
        <w:rPr>
          <w:b/>
          <w:bCs/>
        </w:rPr>
        <w:t xml:space="preserve">Versión:</w:t>
      </w:r>
      <w:r>
        <w:t xml:space="preserve"> </w:t>
      </w:r>
      <w:r>
        <w:t xml:space="preserve">1.0 - Julio de 2026</w:t>
      </w:r>
      <w:r>
        <w:br/>
      </w:r>
      <w:r>
        <w:rPr>
          <w:b/>
          <w:bCs/>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9"/>
    <w:bookmarkStart w:id="10" w:name="contenido"/>
    <w:p>
      <w:pPr>
        <w:pStyle w:val="Heading2"/>
      </w:pPr>
      <w:r>
        <w:t xml:space="preserve">Contenido</w:t>
      </w:r>
    </w:p>
    <w:p>
      <w:pPr>
        <w:pStyle w:val="Compact"/>
        <w:numPr>
          <w:ilvl w:val="0"/>
          <w:numId w:val="1001"/>
        </w:numPr>
      </w:pPr>
      <w:hyperlink w:anchor="X74d4bed6ae18949b23ca378ef0971b63a182ab8">
        <w:r>
          <w:rPr>
            <w:rStyle w:val="Hyperlink"/>
          </w:rPr>
          <w:t xml:space="preserve">1. Comprender SOC 2</w:t>
        </w:r>
      </w:hyperlink>
    </w:p>
    <w:p>
      <w:pPr>
        <w:pStyle w:val="Compact"/>
        <w:numPr>
          <w:ilvl w:val="0"/>
          <w:numId w:val="1001"/>
        </w:numPr>
      </w:pPr>
      <w:hyperlink w:anchor="Xe39681283ddd686b86d6707b6f40900be143f4e">
        <w:r>
          <w:rPr>
            <w:rStyle w:val="Hyperlink"/>
          </w:rPr>
          <w:t xml:space="preserve">2. Informes Tipo 1 y Tipo 2</w:t>
        </w:r>
      </w:hyperlink>
    </w:p>
    <w:p>
      <w:pPr>
        <w:pStyle w:val="Compact"/>
        <w:numPr>
          <w:ilvl w:val="0"/>
          <w:numId w:val="1001"/>
        </w:numPr>
      </w:pPr>
      <w:hyperlink w:anchor="X6611e9e2ec21218ac55045e709a9696637dfd80">
        <w:r>
          <w:rPr>
            <w:rStyle w:val="Hyperlink"/>
          </w:rPr>
          <w:t xml:space="preserve">3. Gobierno y responsabilidad</w:t>
        </w:r>
      </w:hyperlink>
    </w:p>
    <w:p>
      <w:pPr>
        <w:pStyle w:val="Compact"/>
        <w:numPr>
          <w:ilvl w:val="0"/>
          <w:numId w:val="1001"/>
        </w:numPr>
      </w:pPr>
      <w:hyperlink w:anchor="Xd619bd677bc7dbb5ec6feedc0cc4aa2c22fbf2a">
        <w:r>
          <w:rPr>
            <w:rStyle w:val="Hyperlink"/>
          </w:rPr>
          <w:t xml:space="preserve">4. Definir el alcance y los límites</w:t>
        </w:r>
      </w:hyperlink>
    </w:p>
    <w:p>
      <w:pPr>
        <w:pStyle w:val="Compact"/>
        <w:numPr>
          <w:ilvl w:val="0"/>
          <w:numId w:val="1001"/>
        </w:numPr>
      </w:pPr>
      <w:hyperlink w:anchor="Xc65087192cae58ca1ca36bd5fb511b59674fe3f">
        <w:r>
          <w:rPr>
            <w:rStyle w:val="Hyperlink"/>
          </w:rPr>
          <w:t xml:space="preserve">5. Criterios de Servicios de Confianza y mapeo</w:t>
        </w:r>
      </w:hyperlink>
    </w:p>
    <w:p>
      <w:pPr>
        <w:pStyle w:val="Compact"/>
        <w:numPr>
          <w:ilvl w:val="0"/>
          <w:numId w:val="1001"/>
        </w:numPr>
      </w:pPr>
      <w:hyperlink w:anchor="Xd74d8a89c0a2c9c6663ba294a5e9785170ee379">
        <w:r>
          <w:rPr>
            <w:rStyle w:val="Hyperlink"/>
          </w:rPr>
          <w:t xml:space="preserve">6. Evaluación de riesgos</w:t>
        </w:r>
      </w:hyperlink>
    </w:p>
    <w:p>
      <w:pPr>
        <w:pStyle w:val="Compact"/>
        <w:numPr>
          <w:ilvl w:val="0"/>
          <w:numId w:val="1001"/>
        </w:numPr>
      </w:pPr>
      <w:hyperlink w:anchor="Xdf389f910764686a8412d45958b844bd4f49ccf">
        <w:r>
          <w:rPr>
            <w:rStyle w:val="Hyperlink"/>
          </w:rPr>
          <w:t xml:space="preserve">7. Políticas y estándares</w:t>
        </w:r>
      </w:hyperlink>
    </w:p>
    <w:p>
      <w:pPr>
        <w:pStyle w:val="Compact"/>
        <w:numPr>
          <w:ilvl w:val="0"/>
          <w:numId w:val="1001"/>
        </w:numPr>
      </w:pPr>
      <w:hyperlink w:anchor="X6b1bc531fc9bfbb41867eac7d37c695ad3e0857">
        <w:r>
          <w:rPr>
            <w:rStyle w:val="Hyperlink"/>
          </w:rPr>
          <w:t xml:space="preserve">8. Controles de acceso lógico</w:t>
        </w:r>
      </w:hyperlink>
    </w:p>
    <w:p>
      <w:pPr>
        <w:pStyle w:val="Compact"/>
        <w:numPr>
          <w:ilvl w:val="0"/>
          <w:numId w:val="1001"/>
        </w:numPr>
      </w:pPr>
      <w:hyperlink w:anchor="X603193eb75ab2fee516099a4bdd55033a8ecf53">
        <w:r>
          <w:rPr>
            <w:rStyle w:val="Hyperlink"/>
          </w:rPr>
          <w:t xml:space="preserve">9. Gestión de cambios y desarrollo seguro</w:t>
        </w:r>
      </w:hyperlink>
    </w:p>
    <w:p>
      <w:pPr>
        <w:pStyle w:val="Compact"/>
        <w:numPr>
          <w:ilvl w:val="0"/>
          <w:numId w:val="1001"/>
        </w:numPr>
      </w:pPr>
      <w:hyperlink w:anchor="Xd1b137e2b0557e9c7233beb616d4a801962d645">
        <w:r>
          <w:rPr>
            <w:rStyle w:val="Hyperlink"/>
          </w:rPr>
          <w:t xml:space="preserve">10. Operaciones de seguridad e incidentes</w:t>
        </w:r>
      </w:hyperlink>
    </w:p>
    <w:p>
      <w:pPr>
        <w:pStyle w:val="Compact"/>
        <w:numPr>
          <w:ilvl w:val="0"/>
          <w:numId w:val="1001"/>
        </w:numPr>
      </w:pPr>
      <w:hyperlink w:anchor="Xc94e2f0b06d8d5558bd2bdd6ef9efd7c886e072">
        <w:r>
          <w:rPr>
            <w:rStyle w:val="Hyperlink"/>
          </w:rPr>
          <w:t xml:space="preserve">11. Disponibilidad y continuidad</w:t>
        </w:r>
      </w:hyperlink>
    </w:p>
    <w:p>
      <w:pPr>
        <w:pStyle w:val="Compact"/>
        <w:numPr>
          <w:ilvl w:val="0"/>
          <w:numId w:val="1001"/>
        </w:numPr>
      </w:pPr>
      <w:hyperlink w:anchor="Xe8dbc84da1c11d8e66f27a4f417dfbaa33a5205">
        <w:r>
          <w:rPr>
            <w:rStyle w:val="Hyperlink"/>
          </w:rPr>
          <w:t xml:space="preserve">12. Confidencialidad, privacidad y ciclo de datos</w:t>
        </w:r>
      </w:hyperlink>
    </w:p>
    <w:p>
      <w:pPr>
        <w:pStyle w:val="Compact"/>
        <w:numPr>
          <w:ilvl w:val="0"/>
          <w:numId w:val="1001"/>
        </w:numPr>
      </w:pPr>
      <w:hyperlink w:anchor="Xe6fbf0e3137ad8e356571f9af9e97300baa8c7a">
        <w:r>
          <w:rPr>
            <w:rStyle w:val="Hyperlink"/>
          </w:rPr>
          <w:t xml:space="preserve">13. Proveedores y suborganizaciones</w:t>
        </w:r>
      </w:hyperlink>
    </w:p>
    <w:p>
      <w:pPr>
        <w:pStyle w:val="Compact"/>
        <w:numPr>
          <w:ilvl w:val="0"/>
          <w:numId w:val="1001"/>
        </w:numPr>
      </w:pPr>
      <w:hyperlink w:anchor="X20ce7c68b827590e353cdbdaa6365571cbc76df">
        <w:r>
          <w:rPr>
            <w:rStyle w:val="Hyperlink"/>
          </w:rPr>
          <w:t xml:space="preserve">14. Gestión de evidencia</w:t>
        </w:r>
      </w:hyperlink>
    </w:p>
    <w:p>
      <w:pPr>
        <w:pStyle w:val="Compact"/>
        <w:numPr>
          <w:ilvl w:val="0"/>
          <w:numId w:val="1001"/>
        </w:numPr>
      </w:pPr>
      <w:hyperlink w:anchor="Xc47c4db84eb3197f75ad91c09d715bd8aab2075">
        <w:r>
          <w:rPr>
            <w:rStyle w:val="Hyperlink"/>
          </w:rPr>
          <w:t xml:space="preserve">15. Población, muestreo y excepciones</w:t>
        </w:r>
      </w:hyperlink>
    </w:p>
    <w:p>
      <w:pPr>
        <w:pStyle w:val="Compact"/>
        <w:numPr>
          <w:ilvl w:val="0"/>
          <w:numId w:val="1001"/>
        </w:numPr>
      </w:pPr>
      <w:hyperlink w:anchor="Xb4eab13f4e2b4fcd449654d6272e69a29fd4a00">
        <w:r>
          <w:rPr>
            <w:rStyle w:val="Hyperlink"/>
          </w:rPr>
          <w:t xml:space="preserve">16. Descripción del sistema</w:t>
        </w:r>
      </w:hyperlink>
    </w:p>
    <w:p>
      <w:pPr>
        <w:pStyle w:val="Compact"/>
        <w:numPr>
          <w:ilvl w:val="0"/>
          <w:numId w:val="1001"/>
        </w:numPr>
      </w:pPr>
      <w:hyperlink w:anchor="X9789e5fd1cee14a33bbaa8707187dc3b7d3860b">
        <w:r>
          <w:rPr>
            <w:rStyle w:val="Hyperlink"/>
          </w:rPr>
          <w:t xml:space="preserve">17. Trabajo con el auditor</w:t>
        </w:r>
      </w:hyperlink>
    </w:p>
    <w:p>
      <w:pPr>
        <w:pStyle w:val="Compact"/>
        <w:numPr>
          <w:ilvl w:val="0"/>
          <w:numId w:val="1001"/>
        </w:numPr>
      </w:pPr>
      <w:hyperlink w:anchor="Xa44a3b7a40aa8e5613f0f342f44a2392b82db90">
        <w:r>
          <w:rPr>
            <w:rStyle w:val="Hyperlink"/>
          </w:rPr>
          <w:t xml:space="preserve">18. Fallas frecuentes</w:t>
        </w:r>
      </w:hyperlink>
    </w:p>
    <w:p>
      <w:pPr>
        <w:pStyle w:val="Compact"/>
        <w:numPr>
          <w:ilvl w:val="0"/>
          <w:numId w:val="1001"/>
        </w:numPr>
      </w:pPr>
      <w:hyperlink w:anchor="X4d941d2df1c7a97c3a11e11b2baa9c2a271ab42">
        <w:r>
          <w:rPr>
            <w:rStyle w:val="Hyperlink"/>
          </w:rPr>
          <w:t xml:space="preserve">19. Plan de 30/60/90 días</w:t>
        </w:r>
      </w:hyperlink>
    </w:p>
    <w:p>
      <w:pPr>
        <w:pStyle w:val="Compact"/>
        <w:numPr>
          <w:ilvl w:val="0"/>
          <w:numId w:val="1001"/>
        </w:numPr>
      </w:pPr>
      <w:hyperlink w:anchor="Xd30a2dfaa19d4876dfea7c9c2e6ddcde54d0954">
        <w:r>
          <w:rPr>
            <w:rStyle w:val="Hyperlink"/>
          </w:rPr>
          <w:t xml:space="preserve">20. Lista final y proyecto de portafolio</w:t>
        </w:r>
      </w:hyperlink>
    </w:p>
    <w:bookmarkEnd w:id="10"/>
    <w:bookmarkStart w:id="11"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pStyle w:val="Compact"/>
        <w:numPr>
          <w:ilvl w:val="0"/>
          <w:numId w:val="1002"/>
        </w:numPr>
      </w:pPr>
      <w:r>
        <w:t xml:space="preserve">Seguridad es el criterio común y forma parte de todo examen SOC 2.</w:t>
      </w:r>
    </w:p>
    <w:p>
      <w:pPr>
        <w:pStyle w:val="Compact"/>
        <w:numPr>
          <w:ilvl w:val="0"/>
          <w:numId w:val="1002"/>
        </w:numPr>
      </w:pPr>
      <w:r>
        <w:t xml:space="preserve">Disponibilidad, integridad del procesamiento, confidencialidad y privacidad se seleccionan cuando son pertinentes.</w:t>
      </w:r>
    </w:p>
    <w:p>
      <w:pPr>
        <w:pStyle w:val="Compact"/>
        <w:numPr>
          <w:ilvl w:val="0"/>
          <w:numId w:val="1002"/>
        </w:numPr>
      </w:pPr>
      <w:r>
        <w:t xml:space="preserve">El alcance debe reflejar los servicios, componentes, ubicaciones, personas, procesos, datos y suborganizaciones relevantes.</w:t>
      </w:r>
    </w:p>
    <w:bookmarkEnd w:id="11"/>
    <w:bookmarkStart w:id="12"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pStyle w:val="Compact"/>
        <w:numPr>
          <w:ilvl w:val="0"/>
          <w:numId w:val="1003"/>
        </w:numPr>
      </w:pPr>
      <w:r>
        <w:t xml:space="preserve">Seleccione el tipo según las necesidades del cliente, la madurez, el historial disponible y la orientación del auditor.</w:t>
      </w:r>
    </w:p>
    <w:p>
      <w:pPr>
        <w:pStyle w:val="Compact"/>
        <w:numPr>
          <w:ilvl w:val="0"/>
          <w:numId w:val="1003"/>
        </w:numPr>
      </w:pPr>
      <w:r>
        <w:t xml:space="preserve">No afirme que un control operó durante un período sin evidencia completa y consistente.</w:t>
      </w:r>
    </w:p>
    <w:p>
      <w:pPr>
        <w:pStyle w:val="Compact"/>
        <w:numPr>
          <w:ilvl w:val="0"/>
          <w:numId w:val="1003"/>
        </w:numPr>
      </w:pPr>
      <w:r>
        <w:t xml:space="preserve">Reserve tiempo para corregir brechas antes de iniciar el período.</w:t>
      </w:r>
    </w:p>
    <w:bookmarkEnd w:id="12"/>
    <w:bookmarkStart w:id="13"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pStyle w:val="Compact"/>
        <w:numPr>
          <w:ilvl w:val="0"/>
          <w:numId w:val="1004"/>
        </w:numPr>
      </w:pPr>
      <w:r>
        <w:t xml:space="preserve">Nombre patrocinador ejecutivo, líder del programa, propietarios de controles, proveedores de evidencia y responsables de corrección.</w:t>
      </w:r>
    </w:p>
    <w:p>
      <w:pPr>
        <w:pStyle w:val="Compact"/>
        <w:numPr>
          <w:ilvl w:val="0"/>
          <w:numId w:val="1004"/>
        </w:numPr>
      </w:pPr>
      <w:r>
        <w:t xml:space="preserve">Cree una matriz RACI y reuniones periódicas.</w:t>
      </w:r>
    </w:p>
    <w:p>
      <w:pPr>
        <w:pStyle w:val="Compact"/>
        <w:numPr>
          <w:ilvl w:val="0"/>
          <w:numId w:val="1004"/>
        </w:numPr>
      </w:pPr>
      <w:r>
        <w:t xml:space="preserve">Escale pronto la evidencia faltante, las correcciones vencidas y los cambios de alcance.</w:t>
      </w:r>
    </w:p>
    <w:bookmarkEnd w:id="13"/>
    <w:bookmarkStart w:id="14"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pStyle w:val="Compact"/>
        <w:numPr>
          <w:ilvl w:val="0"/>
          <w:numId w:val="1005"/>
        </w:numPr>
      </w:pPr>
      <w:r>
        <w:t xml:space="preserve">Documente productos y servicios incluidos.</w:t>
      </w:r>
    </w:p>
    <w:p>
      <w:pPr>
        <w:pStyle w:val="Compact"/>
        <w:numPr>
          <w:ilvl w:val="0"/>
          <w:numId w:val="1005"/>
        </w:numPr>
      </w:pPr>
      <w:r>
        <w:t xml:space="preserve">Identifique infraestructura, software, personas, procedimientos y datos.</w:t>
      </w:r>
    </w:p>
    <w:p>
      <w:pPr>
        <w:pStyle w:val="Compact"/>
        <w:numPr>
          <w:ilvl w:val="0"/>
          <w:numId w:val="1005"/>
        </w:numPr>
      </w:pPr>
      <w:r>
        <w:t xml:space="preserve">Defina límites físicos y lógicos.</w:t>
      </w:r>
    </w:p>
    <w:p>
      <w:pPr>
        <w:pStyle w:val="Compact"/>
        <w:numPr>
          <w:ilvl w:val="0"/>
          <w:numId w:val="1005"/>
        </w:numPr>
      </w:pPr>
      <w:r>
        <w:t xml:space="preserve">Identifique suborganizaciones y acuerde el método de presentación.</w:t>
      </w:r>
    </w:p>
    <w:p>
      <w:pPr>
        <w:pStyle w:val="Compact"/>
        <w:numPr>
          <w:ilvl w:val="0"/>
          <w:numId w:val="1005"/>
        </w:numPr>
      </w:pPr>
      <w:r>
        <w:t xml:space="preserve">Documente controles complementarios que deben ejecutar los clientes.</w:t>
      </w:r>
    </w:p>
    <w:bookmarkEnd w:id="14"/>
    <w:bookmarkStart w:id="15"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pStyle w:val="Compact"/>
        <w:numPr>
          <w:ilvl w:val="0"/>
          <w:numId w:val="1006"/>
        </w:numPr>
      </w:pPr>
      <w:r>
        <w:t xml:space="preserve">Comience con riesgos y compromisos.</w:t>
      </w:r>
    </w:p>
    <w:p>
      <w:pPr>
        <w:pStyle w:val="Compact"/>
        <w:numPr>
          <w:ilvl w:val="0"/>
          <w:numId w:val="1006"/>
        </w:numPr>
      </w:pPr>
      <w:r>
        <w:t xml:space="preserve">Mapee cada control y explique la relación.</w:t>
      </w:r>
    </w:p>
    <w:p>
      <w:pPr>
        <w:pStyle w:val="Compact"/>
        <w:numPr>
          <w:ilvl w:val="0"/>
          <w:numId w:val="1006"/>
        </w:numPr>
      </w:pPr>
      <w:r>
        <w:t xml:space="preserve">Evite duplicados artificiales.</w:t>
      </w:r>
    </w:p>
    <w:p>
      <w:pPr>
        <w:pStyle w:val="Compact"/>
        <w:numPr>
          <w:ilvl w:val="0"/>
          <w:numId w:val="1006"/>
        </w:numPr>
      </w:pPr>
      <w:r>
        <w:t xml:space="preserve">Use los puntos de enfoque como consideraciones, no como controles independientes obligatorios.</w:t>
      </w:r>
    </w:p>
    <w:bookmarkEnd w:id="15"/>
    <w:bookmarkStart w:id="16"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pStyle w:val="Compact"/>
        <w:numPr>
          <w:ilvl w:val="0"/>
          <w:numId w:val="1007"/>
        </w:numPr>
      </w:pPr>
      <w:r>
        <w:t xml:space="preserve">Defina criterios y propietarios.</w:t>
      </w:r>
    </w:p>
    <w:p>
      <w:pPr>
        <w:pStyle w:val="Compact"/>
        <w:numPr>
          <w:ilvl w:val="0"/>
          <w:numId w:val="1007"/>
        </w:numPr>
      </w:pPr>
      <w:r>
        <w:t xml:space="preserve">Conecte riesgos con controles y tratamientos.</w:t>
      </w:r>
    </w:p>
    <w:p>
      <w:pPr>
        <w:pStyle w:val="Compact"/>
        <w:numPr>
          <w:ilvl w:val="0"/>
          <w:numId w:val="1007"/>
        </w:numPr>
      </w:pPr>
      <w:r>
        <w:t xml:space="preserve">Incluya nube, identidad, cadena de suministro, privacidad, disponibilidad y riesgo interno.</w:t>
      </w:r>
    </w:p>
    <w:p>
      <w:pPr>
        <w:pStyle w:val="Compact"/>
        <w:numPr>
          <w:ilvl w:val="0"/>
          <w:numId w:val="1007"/>
        </w:numPr>
      </w:pPr>
      <w:r>
        <w:t xml:space="preserve">Registre riesgos aceptados y aprobación de la gerencia.</w:t>
      </w:r>
    </w:p>
    <w:bookmarkEnd w:id="16"/>
    <w:bookmarkStart w:id="17"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pStyle w:val="Compact"/>
        <w:numPr>
          <w:ilvl w:val="0"/>
          <w:numId w:val="1008"/>
        </w:numPr>
      </w:pPr>
      <w:r>
        <w:t xml:space="preserve">Mantenga versión, propietario, aprobador, vigencia y revisión.</w:t>
      </w:r>
    </w:p>
    <w:p>
      <w:pPr>
        <w:pStyle w:val="Compact"/>
        <w:numPr>
          <w:ilvl w:val="0"/>
          <w:numId w:val="1008"/>
        </w:numPr>
      </w:pPr>
      <w:r>
        <w:t xml:space="preserve">Capacite al personal afectado.</w:t>
      </w:r>
    </w:p>
    <w:p>
      <w:pPr>
        <w:pStyle w:val="Compact"/>
        <w:numPr>
          <w:ilvl w:val="0"/>
          <w:numId w:val="1008"/>
        </w:numPr>
      </w:pPr>
      <w:r>
        <w:t xml:space="preserve">Conecte declaraciones con controles implementados.</w:t>
      </w:r>
    </w:p>
    <w:p>
      <w:pPr>
        <w:pStyle w:val="Compact"/>
        <w:numPr>
          <w:ilvl w:val="0"/>
          <w:numId w:val="1008"/>
        </w:numPr>
      </w:pPr>
      <w:r>
        <w:t xml:space="preserve">Elimine documentos obsoletos o contradictorios.</w:t>
      </w:r>
    </w:p>
    <w:bookmarkEnd w:id="17"/>
    <w:bookmarkStart w:id="18"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pStyle w:val="Compact"/>
        <w:numPr>
          <w:ilvl w:val="0"/>
          <w:numId w:val="1009"/>
        </w:numPr>
      </w:pPr>
      <w:r>
        <w:t xml:space="preserve">Documente altas, cambios y bajas.</w:t>
      </w:r>
    </w:p>
    <w:p>
      <w:pPr>
        <w:pStyle w:val="Compact"/>
        <w:numPr>
          <w:ilvl w:val="0"/>
          <w:numId w:val="1009"/>
        </w:numPr>
      </w:pPr>
      <w:r>
        <w:t xml:space="preserve">Exija autenticación fuerte y proteja privilegios.</w:t>
      </w:r>
    </w:p>
    <w:p>
      <w:pPr>
        <w:pStyle w:val="Compact"/>
        <w:numPr>
          <w:ilvl w:val="0"/>
          <w:numId w:val="1009"/>
        </w:numPr>
      </w:pPr>
      <w:r>
        <w:t xml:space="preserve">Revise el acceso periódicamente.</w:t>
      </w:r>
    </w:p>
    <w:p>
      <w:pPr>
        <w:pStyle w:val="Compact"/>
        <w:numPr>
          <w:ilvl w:val="0"/>
          <w:numId w:val="1009"/>
        </w:numPr>
      </w:pPr>
      <w:r>
        <w:t xml:space="preserve">Monitoree cuentas inactivas, compartidas, de emergencia y no humanas.</w:t>
      </w:r>
    </w:p>
    <w:p>
      <w:pPr>
        <w:pStyle w:val="Compact"/>
        <w:numPr>
          <w:ilvl w:val="0"/>
          <w:numId w:val="1009"/>
        </w:numPr>
      </w:pPr>
      <w:r>
        <w:t xml:space="preserve">Conserve solicitudes, aprobaciones, provisión, revisiones y retiros.</w:t>
      </w:r>
    </w:p>
    <w:bookmarkEnd w:id="18"/>
    <w:bookmarkStart w:id="19"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pStyle w:val="Compact"/>
        <w:numPr>
          <w:ilvl w:val="0"/>
          <w:numId w:val="1010"/>
        </w:numPr>
      </w:pPr>
      <w:r>
        <w:t xml:space="preserve">Use tickets o pull requests aprobados.</w:t>
      </w:r>
    </w:p>
    <w:p>
      <w:pPr>
        <w:pStyle w:val="Compact"/>
        <w:numPr>
          <w:ilvl w:val="0"/>
          <w:numId w:val="1010"/>
        </w:numPr>
      </w:pPr>
      <w:r>
        <w:t xml:space="preserve">Proteja ramas y credenciales de despliegue.</w:t>
      </w:r>
    </w:p>
    <w:p>
      <w:pPr>
        <w:pStyle w:val="Compact"/>
        <w:numPr>
          <w:ilvl w:val="0"/>
          <w:numId w:val="1010"/>
        </w:numPr>
      </w:pPr>
      <w:r>
        <w:t xml:space="preserve">Documente cambios de emergencia y revisión posterior.</w:t>
      </w:r>
    </w:p>
    <w:p>
      <w:pPr>
        <w:pStyle w:val="Compact"/>
        <w:numPr>
          <w:ilvl w:val="0"/>
          <w:numId w:val="1010"/>
        </w:numPr>
      </w:pPr>
      <w:r>
        <w:t xml:space="preserve">Conecte corrección de vulnerabilidades con registros de cambio.</w:t>
      </w:r>
    </w:p>
    <w:p>
      <w:pPr>
        <w:pStyle w:val="Compact"/>
        <w:numPr>
          <w:ilvl w:val="0"/>
          <w:numId w:val="1010"/>
        </w:numPr>
      </w:pPr>
      <w:r>
        <w:t xml:space="preserve">Conserve evidencia de despliegue durante todo el período.</w:t>
      </w:r>
    </w:p>
    <w:bookmarkEnd w:id="19"/>
    <w:bookmarkStart w:id="20"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pStyle w:val="Compact"/>
        <w:numPr>
          <w:ilvl w:val="0"/>
          <w:numId w:val="1011"/>
        </w:numPr>
      </w:pPr>
      <w:r>
        <w:t xml:space="preserve">Defina severidad y escalamiento.</w:t>
      </w:r>
    </w:p>
    <w:p>
      <w:pPr>
        <w:pStyle w:val="Compact"/>
        <w:numPr>
          <w:ilvl w:val="0"/>
          <w:numId w:val="1011"/>
        </w:numPr>
      </w:pPr>
      <w:r>
        <w:t xml:space="preserve">Conserve escaneos, correcciones, alertas, casos, cronologías y revisiones.</w:t>
      </w:r>
    </w:p>
    <w:p>
      <w:pPr>
        <w:pStyle w:val="Compact"/>
        <w:numPr>
          <w:ilvl w:val="0"/>
          <w:numId w:val="1011"/>
        </w:numPr>
      </w:pPr>
      <w:r>
        <w:t xml:space="preserve">Pruebe el plan de respuesta.</w:t>
      </w:r>
    </w:p>
    <w:p>
      <w:pPr>
        <w:pStyle w:val="Compact"/>
        <w:numPr>
          <w:ilvl w:val="0"/>
          <w:numId w:val="1011"/>
        </w:numPr>
      </w:pPr>
      <w:r>
        <w:t xml:space="preserve">Rastree problemas recurrentes y acciones correctivas.</w:t>
      </w:r>
    </w:p>
    <w:bookmarkEnd w:id="20"/>
    <w:bookmarkStart w:id="21"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pStyle w:val="Compact"/>
        <w:numPr>
          <w:ilvl w:val="0"/>
          <w:numId w:val="1012"/>
        </w:numPr>
      </w:pPr>
      <w:r>
        <w:t xml:space="preserve">Defina objetivos de recuperación.</w:t>
      </w:r>
    </w:p>
    <w:p>
      <w:pPr>
        <w:pStyle w:val="Compact"/>
        <w:numPr>
          <w:ilvl w:val="0"/>
          <w:numId w:val="1012"/>
        </w:numPr>
      </w:pPr>
      <w:r>
        <w:t xml:space="preserve">Pruebe restauración, no solo finalización de copias.</w:t>
      </w:r>
    </w:p>
    <w:p>
      <w:pPr>
        <w:pStyle w:val="Compact"/>
        <w:numPr>
          <w:ilvl w:val="0"/>
          <w:numId w:val="1012"/>
        </w:numPr>
      </w:pPr>
      <w:r>
        <w:t xml:space="preserve">Ejercite continuidad y recuperación.</w:t>
      </w:r>
    </w:p>
    <w:p>
      <w:pPr>
        <w:pStyle w:val="Compact"/>
        <w:numPr>
          <w:ilvl w:val="0"/>
          <w:numId w:val="1012"/>
        </w:numPr>
      </w:pPr>
      <w:r>
        <w:t xml:space="preserve">Documente incidentes, caídas, capacidad y correcciones.</w:t>
      </w:r>
    </w:p>
    <w:bookmarkEnd w:id="21"/>
    <w:bookmarkStart w:id="22"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pStyle w:val="Compact"/>
        <w:numPr>
          <w:ilvl w:val="0"/>
          <w:numId w:val="1013"/>
        </w:numPr>
      </w:pPr>
      <w:r>
        <w:t xml:space="preserve">Inventarie datos sensibles y personales.</w:t>
      </w:r>
    </w:p>
    <w:p>
      <w:pPr>
        <w:pStyle w:val="Compact"/>
        <w:numPr>
          <w:ilvl w:val="0"/>
          <w:numId w:val="1013"/>
        </w:numPr>
      </w:pPr>
      <w:r>
        <w:t xml:space="preserve">Defina clasificación, retención, eliminación, cifrado y acceso.</w:t>
      </w:r>
    </w:p>
    <w:p>
      <w:pPr>
        <w:pStyle w:val="Compact"/>
        <w:numPr>
          <w:ilvl w:val="0"/>
          <w:numId w:val="1013"/>
        </w:numPr>
      </w:pPr>
      <w:r>
        <w:t xml:space="preserve">Revise acuerdos de intercambio y subprocesadores.</w:t>
      </w:r>
    </w:p>
    <w:p>
      <w:pPr>
        <w:pStyle w:val="Compact"/>
        <w:numPr>
          <w:ilvl w:val="0"/>
          <w:numId w:val="1013"/>
        </w:numPr>
      </w:pPr>
      <w:r>
        <w:t xml:space="preserve">Documente avisos, opciones, solicitudes e incidentes cuando privacidad esté en alcance.</w:t>
      </w:r>
    </w:p>
    <w:bookmarkEnd w:id="22"/>
    <w:bookmarkStart w:id="23"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pStyle w:val="Compact"/>
        <w:numPr>
          <w:ilvl w:val="0"/>
          <w:numId w:val="1014"/>
        </w:numPr>
      </w:pPr>
      <w:r>
        <w:t xml:space="preserve">Realice diligencia debida basada en riesgo.</w:t>
      </w:r>
    </w:p>
    <w:p>
      <w:pPr>
        <w:pStyle w:val="Compact"/>
        <w:numPr>
          <w:ilvl w:val="0"/>
          <w:numId w:val="1014"/>
        </w:numPr>
      </w:pPr>
      <w:r>
        <w:t xml:space="preserve">Revise contratos y compromisos.</w:t>
      </w:r>
    </w:p>
    <w:p>
      <w:pPr>
        <w:pStyle w:val="Compact"/>
        <w:numPr>
          <w:ilvl w:val="0"/>
          <w:numId w:val="1014"/>
        </w:numPr>
      </w:pPr>
      <w:r>
        <w:t xml:space="preserve">Obtenga y evalúe informes de aseguramiento.</w:t>
      </w:r>
    </w:p>
    <w:p>
      <w:pPr>
        <w:pStyle w:val="Compact"/>
        <w:numPr>
          <w:ilvl w:val="0"/>
          <w:numId w:val="1014"/>
        </w:numPr>
      </w:pPr>
      <w:r>
        <w:t xml:space="preserve">Rastree controles complementarios.</w:t>
      </w:r>
    </w:p>
    <w:p>
      <w:pPr>
        <w:pStyle w:val="Compact"/>
        <w:numPr>
          <w:ilvl w:val="0"/>
          <w:numId w:val="1014"/>
        </w:numPr>
      </w:pPr>
      <w:r>
        <w:t xml:space="preserve">Monitoree cambios, incidentes, desempeño y terminación.</w:t>
      </w:r>
    </w:p>
    <w:bookmarkEnd w:id="23"/>
    <w:bookmarkStart w:id="24"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pStyle w:val="Compact"/>
        <w:numPr>
          <w:ilvl w:val="0"/>
          <w:numId w:val="1015"/>
        </w:numPr>
      </w:pPr>
      <w:r>
        <w:t xml:space="preserve">Defina requisitos antes del período.</w:t>
      </w:r>
    </w:p>
    <w:p>
      <w:pPr>
        <w:pStyle w:val="Compact"/>
        <w:numPr>
          <w:ilvl w:val="0"/>
          <w:numId w:val="1015"/>
        </w:numPr>
      </w:pPr>
      <w:r>
        <w:t xml:space="preserve">Conserve poblaciones y exportaciones generadas por sistemas.</w:t>
      </w:r>
    </w:p>
    <w:p>
      <w:pPr>
        <w:pStyle w:val="Compact"/>
        <w:numPr>
          <w:ilvl w:val="0"/>
          <w:numId w:val="1015"/>
        </w:numPr>
      </w:pPr>
      <w:r>
        <w:t xml:space="preserve">Registre fuente, propietario, fecha, alcance y revisor.</w:t>
      </w:r>
    </w:p>
    <w:p>
      <w:pPr>
        <w:pStyle w:val="Compact"/>
        <w:numPr>
          <w:ilvl w:val="0"/>
          <w:numId w:val="1015"/>
        </w:numPr>
      </w:pPr>
      <w:r>
        <w:t xml:space="preserve">Proteja evidencia confidencial.</w:t>
      </w:r>
    </w:p>
    <w:p>
      <w:pPr>
        <w:pStyle w:val="Compact"/>
        <w:numPr>
          <w:ilvl w:val="0"/>
          <w:numId w:val="1015"/>
        </w:numPr>
      </w:pPr>
      <w:r>
        <w:t xml:space="preserve">Use nombres consistentes e índice de evidencia.</w:t>
      </w:r>
    </w:p>
    <w:bookmarkEnd w:id="24"/>
    <w:bookmarkStart w:id="25"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pStyle w:val="Compact"/>
        <w:numPr>
          <w:ilvl w:val="0"/>
          <w:numId w:val="1016"/>
        </w:numPr>
      </w:pPr>
      <w:r>
        <w:t xml:space="preserve">Reconcilie conteos con sistemas fuente.</w:t>
      </w:r>
    </w:p>
    <w:p>
      <w:pPr>
        <w:pStyle w:val="Compact"/>
        <w:numPr>
          <w:ilvl w:val="0"/>
          <w:numId w:val="1016"/>
        </w:numPr>
      </w:pPr>
      <w:r>
        <w:t xml:space="preserve">No elimine elementos fallidos.</w:t>
      </w:r>
    </w:p>
    <w:p>
      <w:pPr>
        <w:pStyle w:val="Compact"/>
        <w:numPr>
          <w:ilvl w:val="0"/>
          <w:numId w:val="1016"/>
        </w:numPr>
      </w:pPr>
      <w:r>
        <w:t xml:space="preserve">Investigue excepciones y causa raíz.</w:t>
      </w:r>
    </w:p>
    <w:p>
      <w:pPr>
        <w:pStyle w:val="Compact"/>
        <w:numPr>
          <w:ilvl w:val="0"/>
          <w:numId w:val="1016"/>
        </w:numPr>
      </w:pPr>
      <w:r>
        <w:t xml:space="preserve">Distinga brechas de evidencia de fallas de control.</w:t>
      </w:r>
    </w:p>
    <w:p>
      <w:pPr>
        <w:pStyle w:val="Compact"/>
        <w:numPr>
          <w:ilvl w:val="0"/>
          <w:numId w:val="1016"/>
        </w:numPr>
      </w:pPr>
      <w:r>
        <w:t xml:space="preserve">Documente corrección y pruebas adicionales.</w:t>
      </w:r>
    </w:p>
    <w:bookmarkEnd w:id="25"/>
    <w:bookmarkStart w:id="26"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pStyle w:val="Compact"/>
        <w:numPr>
          <w:ilvl w:val="0"/>
          <w:numId w:val="1017"/>
        </w:numPr>
      </w:pPr>
      <w:r>
        <w:t xml:space="preserve">Describa servicios, límites, infraestructura, software, personas, procedimientos, datos y eventos.</w:t>
      </w:r>
    </w:p>
    <w:p>
      <w:pPr>
        <w:pStyle w:val="Compact"/>
        <w:numPr>
          <w:ilvl w:val="0"/>
          <w:numId w:val="1017"/>
        </w:numPr>
      </w:pPr>
      <w:r>
        <w:t xml:space="preserve">Explique criterios, controles, suborganizaciones y controles de usuarios.</w:t>
      </w:r>
    </w:p>
    <w:p>
      <w:pPr>
        <w:pStyle w:val="Compact"/>
        <w:numPr>
          <w:ilvl w:val="0"/>
          <w:numId w:val="1017"/>
        </w:numPr>
      </w:pPr>
      <w:r>
        <w:t xml:space="preserve">Evite lenguaje comercial exagerado.</w:t>
      </w:r>
    </w:p>
    <w:p>
      <w:pPr>
        <w:pStyle w:val="Compact"/>
        <w:numPr>
          <w:ilvl w:val="0"/>
          <w:numId w:val="1017"/>
        </w:numPr>
      </w:pPr>
      <w:r>
        <w:t xml:space="preserve">Actualice ante cambios.</w:t>
      </w:r>
    </w:p>
    <w:bookmarkEnd w:id="26"/>
    <w:bookmarkStart w:id="27"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pStyle w:val="Compact"/>
        <w:numPr>
          <w:ilvl w:val="0"/>
          <w:numId w:val="1018"/>
        </w:numPr>
      </w:pPr>
      <w:r>
        <w:t xml:space="preserve">Proporcione información exacta y revele incidentes o fallas conocidas.</w:t>
      </w:r>
    </w:p>
    <w:p>
      <w:pPr>
        <w:pStyle w:val="Compact"/>
        <w:numPr>
          <w:ilvl w:val="0"/>
          <w:numId w:val="1018"/>
        </w:numPr>
      </w:pPr>
      <w:r>
        <w:t xml:space="preserve">Aclare solicitudes temprano.</w:t>
      </w:r>
    </w:p>
    <w:p>
      <w:pPr>
        <w:pStyle w:val="Compact"/>
        <w:numPr>
          <w:ilvl w:val="0"/>
          <w:numId w:val="1018"/>
        </w:numPr>
      </w:pPr>
      <w:r>
        <w:t xml:space="preserve">Rastree solicitudes, preguntas, excepciones y respuestas.</w:t>
      </w:r>
    </w:p>
    <w:p>
      <w:pPr>
        <w:pStyle w:val="Compact"/>
        <w:numPr>
          <w:ilvl w:val="0"/>
          <w:numId w:val="1018"/>
        </w:numPr>
      </w:pPr>
      <w:r>
        <w:t xml:space="preserve">La gerencia es responsable de la preparación; el auditor debe ser independiente.</w:t>
      </w:r>
    </w:p>
    <w:bookmarkEnd w:id="27"/>
    <w:bookmarkStart w:id="28"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pStyle w:val="Compact"/>
        <w:numPr>
          <w:ilvl w:val="0"/>
          <w:numId w:val="1019"/>
        </w:numPr>
      </w:pPr>
      <w:r>
        <w:t xml:space="preserve">Realice evaluación previa.</w:t>
      </w:r>
    </w:p>
    <w:p>
      <w:pPr>
        <w:pStyle w:val="Compact"/>
        <w:numPr>
          <w:ilvl w:val="0"/>
          <w:numId w:val="1019"/>
        </w:numPr>
      </w:pPr>
      <w:r>
        <w:t xml:space="preserve">Ejecute simulaciones de recopilación.</w:t>
      </w:r>
    </w:p>
    <w:p>
      <w:pPr>
        <w:pStyle w:val="Compact"/>
        <w:numPr>
          <w:ilvl w:val="0"/>
          <w:numId w:val="1019"/>
        </w:numPr>
      </w:pPr>
      <w:r>
        <w:t xml:space="preserve">Pruebe controles antes de depender de ellos.</w:t>
      </w:r>
    </w:p>
    <w:p>
      <w:pPr>
        <w:pStyle w:val="Compact"/>
        <w:numPr>
          <w:ilvl w:val="0"/>
          <w:numId w:val="1019"/>
        </w:numPr>
      </w:pPr>
      <w:r>
        <w:t xml:space="preserve">Administre cambios formalmente.</w:t>
      </w:r>
    </w:p>
    <w:p>
      <w:pPr>
        <w:pStyle w:val="Compact"/>
        <w:numPr>
          <w:ilvl w:val="0"/>
          <w:numId w:val="1019"/>
        </w:numPr>
      </w:pPr>
      <w:r>
        <w:t xml:space="preserve">Trate excepciones repetidas como problemas sistémicos.</w:t>
      </w:r>
    </w:p>
    <w:bookmarkEnd w:id="28"/>
    <w:bookmarkStart w:id="29"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pStyle w:val="Compact"/>
        <w:numPr>
          <w:ilvl w:val="0"/>
          <w:numId w:val="1020"/>
        </w:numPr>
      </w:pPr>
      <w:r>
        <w:t xml:space="preserve">Días 1-30: confirmar necesidad, alcance preliminar, propietarios, inventario, compromisos y brechas críticas.</w:t>
      </w:r>
    </w:p>
    <w:p>
      <w:pPr>
        <w:pStyle w:val="Compact"/>
        <w:numPr>
          <w:ilvl w:val="0"/>
          <w:numId w:val="1020"/>
        </w:numPr>
      </w:pPr>
      <w:r>
        <w:t xml:space="preserve">Días 31-60: finalizar matriz, corregir brechas, crear procedimientos de evidencia, redactar descripción y hacer pruebas simuladas.</w:t>
      </w:r>
    </w:p>
    <w:p>
      <w:pPr>
        <w:pStyle w:val="Compact"/>
        <w:numPr>
          <w:ilvl w:val="0"/>
          <w:numId w:val="1020"/>
        </w:numPr>
      </w:pPr>
      <w:r>
        <w:t xml:space="preserve">Días 61-90: operar controles, resolver excepciones, validar poblaciones y confirmar fechas con el auditor.</w:t>
      </w:r>
    </w:p>
    <w:bookmarkEnd w:id="29"/>
    <w:bookmarkStart w:id="30"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pStyle w:val="Compact"/>
        <w:numPr>
          <w:ilvl w:val="0"/>
          <w:numId w:val="1021"/>
        </w:numPr>
      </w:pPr>
      <w:r>
        <w:t xml:space="preserve">Nunca publique evidencia real, datos de empleados, capturas de producción, secretos ni papeles de trabajo de auditoría.</w:t>
      </w:r>
    </w:p>
    <w:p>
      <w:pPr>
        <w:pStyle w:val="Compact"/>
        <w:numPr>
          <w:ilvl w:val="0"/>
          <w:numId w:val="1021"/>
        </w:numPr>
      </w:pPr>
      <w:r>
        <w:t xml:space="preserve">Marque claramente los artefactos ficticios.</w:t>
      </w:r>
    </w:p>
    <w:p>
      <w:pPr>
        <w:pStyle w:val="Compact"/>
        <w:numPr>
          <w:ilvl w:val="0"/>
          <w:numId w:val="1021"/>
        </w:numPr>
      </w:pPr>
      <w:r>
        <w:t xml:space="preserve">Explique supuestos, limitaciones y cómo cada control reduce un riesgo.</w:t>
      </w:r>
    </w:p>
    <w:bookmarkEnd w:id="30"/>
    <w:bookmarkStart w:id="34" w:name="referencias-oficiales"/>
    <w:p>
      <w:pPr>
        <w:pStyle w:val="Heading2"/>
      </w:pPr>
      <w:r>
        <w:t xml:space="preserve">Referencias oficiales</w:t>
      </w:r>
    </w:p>
    <w:p>
      <w:pPr>
        <w:pStyle w:val="Compact"/>
        <w:numPr>
          <w:ilvl w:val="0"/>
          <w:numId w:val="1022"/>
        </w:numPr>
      </w:pPr>
      <w:hyperlink r:id="rId31">
        <w:r>
          <w:rPr>
            <w:rStyle w:val="Hyperlink"/>
          </w:rPr>
          <w:t xml:space="preserve">Descripción general de AICPA sobre SOC para organizaciones de servicios</w:t>
        </w:r>
      </w:hyperlink>
    </w:p>
    <w:p>
      <w:pPr>
        <w:pStyle w:val="Compact"/>
        <w:numPr>
          <w:ilvl w:val="0"/>
          <w:numId w:val="1022"/>
        </w:numPr>
      </w:pPr>
      <w:hyperlink r:id="rId32">
        <w:r>
          <w:rPr>
            <w:rStyle w:val="Hyperlink"/>
          </w:rPr>
          <w:t xml:space="preserve">Recursos de AICPA sobre SOC 2</w:t>
        </w:r>
      </w:hyperlink>
    </w:p>
    <w:p>
      <w:pPr>
        <w:pStyle w:val="Compact"/>
        <w:numPr>
          <w:ilvl w:val="0"/>
          <w:numId w:val="1022"/>
        </w:numPr>
      </w:pPr>
      <w:hyperlink r:id="rId33">
        <w:r>
          <w:rPr>
            <w:rStyle w:val="Hyperlink"/>
          </w:rPr>
          <w:t xml:space="preserve">Guía de AICPA sobre informes SOC 2</w:t>
        </w:r>
      </w:hyperlink>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31" Target="https://www.aicpa-cima.com/resources/download/soc-for-service-organizations-engagements-overview" TargetMode="External" /><Relationship Type="http://schemas.openxmlformats.org/officeDocument/2006/relationships/hyperlink" Id="rId32"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33"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31" Target="https://www.aicpa-cima.com/resources/download/soc-for-service-organizations-engagements-overview" TargetMode="External" /><Relationship Type="http://schemas.openxmlformats.org/officeDocument/2006/relationships/hyperlink" Id="rId32"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2026-07-28T20:07:48Z</dcterms:created>
  <dcterms:modified xsi:type="dcterms:W3CDTF">2026-07-28T20:07:48Z</dcterms:modified>
</cp:coreProperties>
</file>

<file path=docProps/custom.xml><?xml version="1.0" encoding="utf-8"?>
<Properties xmlns="http://schemas.openxmlformats.org/officeDocument/2006/custom-properties" xmlns:vt="http://schemas.openxmlformats.org/officeDocument/2006/docPropsVTypes"/>
</file>