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
          <w:bCs/>
        </w:rPr>
        <w:t xml:space="preserve">GDPR</w:t>
      </w:r>
    </w:p>
    <w:p>
      <w:pPr>
        <w:pStyle w:val="BodyText"/>
      </w:pPr>
      <w:r>
        <w:rPr>
          <w:b/>
          <w:bCs/>
        </w:rPr>
        <w:t xml:space="preserve">Um manual prático para gerentes e analistas júnior</w:t>
      </w:r>
    </w:p>
    <w:p>
      <w:pPr>
        <w:pStyle w:val="Compact"/>
        <w:numPr>
          <w:ilvl w:val="0"/>
          <w:numId w:val="1001"/>
        </w:numPr>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
          <w:bCs/>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9"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9"/>
    <w:bookmarkStart w:id="10"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10"/>
    <w:bookmarkStart w:id="11"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pStyle w:val="Compact"/>
        <w:numPr>
          <w:ilvl w:val="0"/>
          <w:numId w:val="1002"/>
        </w:numPr>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
          <w:iCs/>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11"/>
    <w:bookmarkStart w:id="12" w:name="fundação-gdpr"/>
    <w:p>
      <w:pPr>
        <w:pStyle w:val="Heading1"/>
      </w:pPr>
      <w:r>
        <w:t xml:space="preserve">1. Fundação GDPR</w:t>
      </w:r>
    </w:p>
    <w:p>
      <w:pPr>
        <w:pStyle w:val="FirstParagraph"/>
      </w:pPr>
      <w:r>
        <w:rPr>
          <w:i/>
          <w:iCs/>
        </w:rPr>
        <w:t xml:space="preserve">O que a lei protege, o que significa conformidade e o que os gestores possuem.</w:t>
      </w:r>
    </w:p>
    <w:p>
      <w:pPr>
        <w:pStyle w:val="BodyText"/>
      </w:pPr>
    </w:p>
    <w:p>
      <w:pPr>
        <w:pStyle w:val="BodyText"/>
      </w:pPr>
      <w:r>
        <w:t xml:space="preserve">Figura 1. GDPR como um programa prático de gestão</w:t>
      </w:r>
    </w:p>
    <w:bookmarkEnd w:id="12"/>
    <w:bookmarkStart w:id="14"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13"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13"/>
    <w:bookmarkEnd w:id="14"/>
    <w:bookmarkStart w:id="15"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15"/>
    <w:bookmarkStart w:id="23" w:name="escopo-funções-e-definições"/>
    <w:p>
      <w:pPr>
        <w:pStyle w:val="Heading1"/>
      </w:pPr>
      <w:r>
        <w:t xml:space="preserve">2. Escopo, Funções e Definições</w:t>
      </w:r>
    </w:p>
    <w:p>
      <w:pPr>
        <w:pStyle w:val="Compact"/>
        <w:numPr>
          <w:ilvl w:val="0"/>
          <w:numId w:val="1004"/>
        </w:numPr>
      </w:pPr>
      <w:r>
        <w:t xml:space="preserve">Como decidir se GDPR se aplica e quem é responsável.*</w:t>
      </w:r>
    </w:p>
    <w:bookmarkStart w:id="17"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pStyle w:val="Heading2"/>
        <w:numPr>
          <w:ilvl w:val="0"/>
          <w:numId w:val="1006"/>
        </w:numPr>
      </w:pPr>
      <w:bookmarkStart w:id="16" w:name="responsabilidade-chave"/>
      <w:r>
        <w:t xml:space="preserve">** ** ** ** ** ** Responsabilidade chave**</w:t>
      </w:r>
      <w:bookmarkEnd w:id="16"/>
    </w:p>
    <w:p>
      <w:pPr>
        <w:pStyle w:val="Compact"/>
        <w:numPr>
          <w:ilvl w:val="0"/>
          <w:numId w:val="1000"/>
        </w:numPr>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17"/>
    <w:bookmarkStart w:id="18"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18"/>
    <w:bookmarkStart w:id="19"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pStyle w:val="Compact"/>
        <w:numPr>
          <w:ilvl w:val="0"/>
          <w:numId w:val="1007"/>
        </w:numPr>
      </w:pPr>
      <w:r>
        <w:t xml:space="preserve">Princípios e Bases Legais</w:t>
      </w:r>
    </w:p>
    <w:p>
      <w:pPr>
        <w:pStyle w:val="Compact"/>
        <w:numPr>
          <w:ilvl w:val="0"/>
          <w:numId w:val="1008"/>
        </w:numPr>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19"/>
    <w:bookmarkStart w:id="20"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20"/>
    <w:bookmarkStart w:id="21"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21"/>
    <w:bookmarkStart w:id="22"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22"/>
    <w:bookmarkEnd w:id="23"/>
    <w:bookmarkStart w:id="26" w:name="direitos-dos-titulares-de-dados"/>
    <w:p>
      <w:pPr>
        <w:pStyle w:val="Heading1"/>
      </w:pPr>
      <w:r>
        <w:t xml:space="preserve">4. Direitos dos titulares de dados</w:t>
      </w:r>
    </w:p>
    <w:p>
      <w:pPr>
        <w:pStyle w:val="Compact"/>
        <w:numPr>
          <w:ilvl w:val="0"/>
          <w:numId w:val="1009"/>
        </w:numPr>
      </w:pPr>
      <w:r>
        <w:t xml:space="preserve">Como receber, avaliar, completar e solicitar documentos.*</w:t>
      </w:r>
    </w:p>
    <w:p>
      <w:pPr>
        <w:pStyle w:val="FirstParagraph"/>
      </w:pPr>
    </w:p>
    <w:p>
      <w:pPr>
        <w:pStyle w:val="BodyText"/>
      </w:pPr>
      <w:r>
        <w:t xml:space="preserve">Figura 3. Fluxo de trabalho de dados-sujeitos-direitos</w:t>
      </w:r>
    </w:p>
    <w:p>
      <w:pPr>
        <w:pStyle w:val="Heading2"/>
        <w:numPr>
          <w:ilvl w:val="0"/>
          <w:numId w:val="1010"/>
        </w:numPr>
      </w:pPr>
      <w:bookmarkStart w:id="24" w:name="direito-trabalho-prático-cuidado-com"/>
      <w:r>
        <w:t xml:space="preserve">** Direito** ** Trabalho prático** ** ** Cuidado com**</w:t>
      </w:r>
      <w:bookmarkEnd w:id="24"/>
    </w:p>
    <w:p>
      <w:pPr>
        <w:pStyle w:val="Compact"/>
        <w:numPr>
          <w:ilvl w:val="0"/>
          <w:numId w:val="1000"/>
        </w:numPr>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2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25"/>
    <w:bookmarkEnd w:id="26"/>
    <w:bookmarkStart w:id="31" w:name="controlador-e-governança-do-processador"/>
    <w:p>
      <w:pPr>
        <w:pStyle w:val="Heading1"/>
      </w:pPr>
      <w:r>
        <w:t xml:space="preserve">5. Controlador e Governança do Processador</w:t>
      </w:r>
    </w:p>
    <w:p>
      <w:pPr>
        <w:pStyle w:val="Compact"/>
        <w:numPr>
          <w:ilvl w:val="0"/>
          <w:numId w:val="1012"/>
        </w:numPr>
      </w:pPr>
      <w:r>
        <w:t xml:space="preserve">Os registros operacionais, contratos, papéis e revisões que tornam a responsabilização real.*</w:t>
      </w:r>
    </w:p>
    <w:bookmarkStart w:id="2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27"/>
    <w:bookmarkStart w:id="2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28"/>
    <w:bookmarkStart w:id="29"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pStyle w:val="Compact"/>
        <w:numPr>
          <w:ilvl w:val="0"/>
          <w:numId w:val="1013"/>
        </w:numPr>
      </w:pPr>
      <w:r>
        <w:t xml:space="preserve">Segurança e Violação de Dados Pessoais</w:t>
      </w:r>
    </w:p>
    <w:p>
      <w:pPr>
        <w:pStyle w:val="Compact"/>
        <w:numPr>
          <w:ilvl w:val="0"/>
          <w:numId w:val="1014"/>
        </w:numPr>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Ques</w:t>
            </w:r>
          </w:p>
        </w:tc>
        <w:tc>
          <w:tcPr/>
          <w:p>
            <w:pPr>
              <w:pStyle w:val="Compact"/>
              <w:jc w:val="left"/>
            </w:pPr>
            <w:r>
              <w:t xml:space="preserve">tão** ** ** Resultado possível** ** ** Prova**</w:t>
            </w:r>
          </w:p>
        </w:tc>
      </w:tr>
      <w:tr>
        <w:tc>
          <w:tcPr/>
          <w:p>
            <w:pPr>
              <w:pStyle w:val="Compac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pPr>
            <w:r>
              <w:t xml:space="preserve">É pr</w:t>
            </w:r>
          </w:p>
        </w:tc>
        <w:tc>
          <w:tcPr/>
          <w:p>
            <w:pPr>
              <w:pStyle w:val="Compact"/>
              <w:jc w:val="left"/>
            </w:pPr>
            <w:r>
              <w:t xml:space="preserve">ovável que seja de alto risco? □ Comunicar claramente às pessoas afetadas, a menos que uma exceção se aplique</w:t>
            </w:r>
          </w:p>
        </w:tc>
      </w:tr>
    </w:tbl>
    <w:bookmarkEnd w:id="29"/>
    <w:bookmarkStart w:id="30"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30"/>
    <w:bookmarkEnd w:id="31"/>
    <w:bookmarkStart w:id="35" w:name="dpias-privacy-by-design-and-the-dpo"/>
    <w:p>
      <w:pPr>
        <w:pStyle w:val="Heading1"/>
      </w:pPr>
      <w:r>
        <w:t xml:space="preserve">7. DPIAs, Privacy by Design, and the DPO</w:t>
      </w:r>
    </w:p>
    <w:p>
      <w:pPr>
        <w:pStyle w:val="Compact"/>
        <w:numPr>
          <w:ilvl w:val="0"/>
          <w:numId w:val="1016"/>
        </w:numPr>
      </w:pPr>
      <w:r>
        <w:t xml:space="preserve">Como encontrar processamento de alto risco precoce e construir salvaguardas em decisões.*</w:t>
      </w:r>
    </w:p>
    <w:bookmarkStart w:id="32"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32"/>
    <w:bookmarkStart w:id="33"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33"/>
    <w:bookmarkStart w:id="34"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34"/>
    <w:bookmarkEnd w:id="35"/>
    <w:bookmarkStart w:id="37" w:name="transferências-internacionais-de-dados"/>
    <w:p>
      <w:pPr>
        <w:pStyle w:val="Heading1"/>
      </w:pPr>
      <w:r>
        <w:t xml:space="preserve">8. Transferências Internacionais de Dados</w:t>
      </w:r>
    </w:p>
    <w:p>
      <w:pPr>
        <w:pStyle w:val="Compact"/>
        <w:numPr>
          <w:ilvl w:val="0"/>
          <w:numId w:val="1018"/>
        </w:numPr>
      </w:pPr>
      <w:r>
        <w:t xml:space="preserve">Como identificar transferências e usar ferramentas de transferência legais.*</w:t>
      </w:r>
    </w:p>
    <w:bookmarkStart w:id="36"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36"/>
    <w:bookmarkEnd w:id="37"/>
    <w:bookmarkStart w:id="51" w:name="evidências-comuns-de-transferência"/>
    <w:p>
      <w:pPr>
        <w:pStyle w:val="Heading1"/>
      </w:pPr>
      <w:r>
        <w:t xml:space="preserve">8.2 Evidências comuns de transferência</w:t>
      </w:r>
    </w:p>
    <w:p>
      <w:pPr>
        <w:pStyle w:val="Heading2"/>
        <w:numPr>
          <w:ilvl w:val="0"/>
          <w:numId w:val="1020"/>
        </w:numPr>
      </w:pPr>
      <w:bookmarkStart w:id="38" w:name="item-o-que-deveria-mostrar"/>
      <w:r>
        <w:t xml:space="preserve">Item** ** O que deveria mostrar**</w:t>
      </w:r>
      <w:bookmarkEnd w:id="38"/>
    </w:p>
    <w:p>
      <w:pPr>
        <w:pStyle w:val="Compact"/>
        <w:numPr>
          <w:ilvl w:val="0"/>
          <w:numId w:val="1000"/>
        </w:numPr>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pStyle w:val="Compact"/>
        <w:numPr>
          <w:ilvl w:val="0"/>
          <w:numId w:val="1021"/>
        </w:numPr>
      </w:pPr>
      <w:r>
        <w:t xml:space="preserve">Guia completo do artigo por artigo</w:t>
      </w:r>
    </w:p>
    <w:p>
      <w:pPr>
        <w:pStyle w:val="Compact"/>
        <w:numPr>
          <w:ilvl w:val="0"/>
          <w:numId w:val="1022"/>
        </w:numPr>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pStyle w:val="Heading2"/>
        <w:numPr>
          <w:ilvl w:val="0"/>
          <w:numId w:val="1023"/>
        </w:numPr>
      </w:pPr>
      <w:bookmarkStart w:id="39" w:name="art.-art.-art.-art."/>
      <w:r>
        <w:t xml:space="preserve">Art.** Art.** Art.** Art.</w:t>
      </w:r>
      <w:bookmarkEnd w:id="39"/>
    </w:p>
    <w:p>
      <w:pPr>
        <w:pStyle w:val="Compact"/>
        <w:numPr>
          <w:ilvl w:val="0"/>
          <w:numId w:val="1000"/>
        </w:numPr>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pStyle w:val="Heading2"/>
        <w:numPr>
          <w:ilvl w:val="0"/>
          <w:numId w:val="1024"/>
        </w:numPr>
      </w:pPr>
      <w:bookmarkStart w:id="40" w:name="art.-art.-art.-art.-1"/>
      <w:r>
        <w:t xml:space="preserve">Art.** Art.** Art.** Art.</w:t>
      </w:r>
      <w:bookmarkEnd w:id="40"/>
    </w:p>
    <w:p>
      <w:pPr>
        <w:pStyle w:val="Compact"/>
        <w:numPr>
          <w:ilvl w:val="0"/>
          <w:numId w:val="1000"/>
        </w:numPr>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pStyle w:val="Heading2"/>
        <w:numPr>
          <w:ilvl w:val="0"/>
          <w:numId w:val="1025"/>
        </w:numPr>
      </w:pPr>
      <w:bookmarkStart w:id="41" w:name="art.-art.-art.-art.-2"/>
      <w:r>
        <w:t xml:space="preserve">Art.** Art.** Art.** Art.</w:t>
      </w:r>
      <w:bookmarkEnd w:id="41"/>
    </w:p>
    <w:p>
      <w:pPr>
        <w:pStyle w:val="Compact"/>
        <w:numPr>
          <w:ilvl w:val="0"/>
          <w:numId w:val="1000"/>
        </w:numPr>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50" w:name="capítulo-iv-controlador-e-processador"/>
    <w:p>
      <w:pPr>
        <w:pStyle w:val="Heading2"/>
      </w:pPr>
      <w:r>
        <w:t xml:space="preserve">9.4 Capítulo IV — Controlador e processador</w:t>
      </w:r>
    </w:p>
    <w:p>
      <w:pPr>
        <w:pStyle w:val="Heading2"/>
        <w:numPr>
          <w:ilvl w:val="0"/>
          <w:numId w:val="1026"/>
        </w:numPr>
      </w:pPr>
      <w:bookmarkStart w:id="42" w:name="art.-art.-art.-art.-3"/>
      <w:r>
        <w:t xml:space="preserve">Art.** Art.** Art.** Art.</w:t>
      </w:r>
      <w:bookmarkEnd w:id="42"/>
    </w:p>
    <w:p>
      <w:pPr>
        <w:pStyle w:val="Compact"/>
        <w:numPr>
          <w:ilvl w:val="0"/>
          <w:numId w:val="1000"/>
        </w:numPr>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pStyle w:val="Heading2"/>
        <w:numPr>
          <w:ilvl w:val="0"/>
          <w:numId w:val="1027"/>
        </w:numPr>
      </w:pPr>
      <w:bookmarkStart w:id="43" w:name="art.-art.-art.-art.-4"/>
      <w:r>
        <w:t xml:space="preserve">Art.** Art.** Art.** Art.</w:t>
      </w:r>
      <w:bookmarkEnd w:id="43"/>
    </w:p>
    <w:p>
      <w:pPr>
        <w:pStyle w:val="Compact"/>
        <w:numPr>
          <w:ilvl w:val="0"/>
          <w:numId w:val="1000"/>
        </w:numPr>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pStyle w:val="Heading2"/>
        <w:numPr>
          <w:ilvl w:val="0"/>
          <w:numId w:val="1028"/>
        </w:numPr>
      </w:pPr>
      <w:bookmarkStart w:id="44" w:name="art.-art.-art.-art.-5"/>
      <w:r>
        <w:t xml:space="preserve">Art.** Art.** Art.** Art.</w:t>
      </w:r>
      <w:bookmarkEnd w:id="44"/>
    </w:p>
    <w:p>
      <w:pPr>
        <w:pStyle w:val="Compact"/>
        <w:numPr>
          <w:ilvl w:val="0"/>
          <w:numId w:val="1000"/>
        </w:numPr>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pStyle w:val="Heading2"/>
        <w:numPr>
          <w:ilvl w:val="0"/>
          <w:numId w:val="1029"/>
        </w:numPr>
      </w:pPr>
      <w:bookmarkStart w:id="45" w:name="art.-art.-art.-art.-6"/>
      <w:r>
        <w:t xml:space="preserve">Art.** Art.** Art.** Art.</w:t>
      </w:r>
      <w:bookmarkEnd w:id="45"/>
    </w:p>
    <w:p>
      <w:pPr>
        <w:pStyle w:val="Compact"/>
        <w:numPr>
          <w:ilvl w:val="0"/>
          <w:numId w:val="1000"/>
        </w:numPr>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pStyle w:val="Heading2"/>
        <w:numPr>
          <w:ilvl w:val="0"/>
          <w:numId w:val="1030"/>
        </w:numPr>
      </w:pPr>
      <w:bookmarkStart w:id="46" w:name="art.-art.-art.-art.-7"/>
      <w:r>
        <w:t xml:space="preserve">Art.** Art.** Art.** Art.</w:t>
      </w:r>
      <w:bookmarkEnd w:id="46"/>
    </w:p>
    <w:p>
      <w:pPr>
        <w:pStyle w:val="Compact"/>
        <w:numPr>
          <w:ilvl w:val="0"/>
          <w:numId w:val="1000"/>
        </w:numPr>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pStyle w:val="Heading2"/>
        <w:numPr>
          <w:ilvl w:val="0"/>
          <w:numId w:val="1031"/>
        </w:numPr>
      </w:pPr>
      <w:bookmarkStart w:id="47" w:name="art.-art.-art.-art.-8"/>
      <w:r>
        <w:t xml:space="preserve">Art.** Art.** Art.** Art.</w:t>
      </w:r>
      <w:bookmarkEnd w:id="47"/>
    </w:p>
    <w:p>
      <w:pPr>
        <w:pStyle w:val="Compact"/>
        <w:numPr>
          <w:ilvl w:val="0"/>
          <w:numId w:val="1000"/>
        </w:numPr>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pStyle w:val="Heading2"/>
        <w:numPr>
          <w:ilvl w:val="0"/>
          <w:numId w:val="1032"/>
        </w:numPr>
      </w:pPr>
      <w:bookmarkStart w:id="48" w:name="art.-art.-art.-art.-9"/>
      <w:r>
        <w:t xml:space="preserve">Art.** Art.** Art.** Art.</w:t>
      </w:r>
      <w:bookmarkEnd w:id="48"/>
    </w:p>
    <w:p>
      <w:pPr>
        <w:pStyle w:val="Compact"/>
        <w:numPr>
          <w:ilvl w:val="0"/>
          <w:numId w:val="1000"/>
        </w:numPr>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pStyle w:val="Heading2"/>
        <w:numPr>
          <w:ilvl w:val="0"/>
          <w:numId w:val="1033"/>
        </w:numPr>
      </w:pPr>
      <w:bookmarkStart w:id="49" w:name="art.-art.-art.-art.-10"/>
      <w:r>
        <w:t xml:space="preserve">Art.** Art.** Art.** Art.</w:t>
      </w:r>
      <w:bookmarkEnd w:id="49"/>
    </w:p>
    <w:p>
      <w:pPr>
        <w:pStyle w:val="Compact"/>
        <w:numPr>
          <w:ilvl w:val="0"/>
          <w:numId w:val="1000"/>
        </w:numPr>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50"/>
    <w:bookmarkEnd w:id="51"/>
    <w:bookmarkStart w:id="53" w:name="manual-do-gdpr-para-gerentes"/>
    <w:p>
      <w:pPr>
        <w:pStyle w:val="Heading1"/>
      </w:pPr>
      <w:r>
        <w:t xml:space="preserve">10. Manual do GDPR para gerentes</w:t>
      </w:r>
    </w:p>
    <w:p>
      <w:pPr>
        <w:pStyle w:val="FirstParagraph"/>
      </w:pPr>
      <w:r>
        <w:rPr>
          <w:i/>
          <w:iCs/>
        </w:rPr>
        <w:t xml:space="preserve">Perguntas, reuniões, métricas, decisões e sinais de alerta para a gestão.</w:t>
      </w:r>
    </w:p>
    <w:bookmarkStart w:id="52"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52"/>
    <w:bookmarkEnd w:id="53"/>
    <w:bookmarkStart w:id="56" w:name="painel-mensal"/>
    <w:p>
      <w:pPr>
        <w:pStyle w:val="Heading1"/>
      </w:pPr>
      <w:r>
        <w:t xml:space="preserve"># 10.2 Painel mensal</w:t>
      </w:r>
    </w:p>
    <w:bookmarkStart w:id="54"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54"/>
    <w:bookmarkStart w:id="55"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55"/>
    <w:bookmarkEnd w:id="56"/>
    <w:bookmarkStart w:id="57" w:name="X848756e16cceac916921876f5aeb01662c1d2a6"/>
    <w:p>
      <w:pPr>
        <w:pStyle w:val="Heading1"/>
      </w:pPr>
      <w:r>
        <w:t xml:space="preserve">11. Do Iniciante ao Analista de Privacidade Júnior</w:t>
      </w:r>
    </w:p>
    <w:p>
      <w:pPr>
        <w:pStyle w:val="Compact"/>
        <w:numPr>
          <w:ilvl w:val="0"/>
          <w:numId w:val="1036"/>
        </w:numPr>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57"/>
    <w:bookmarkStart w:id="58" w:name="títulos-de-trabalho"/>
    <w:p>
      <w:pPr>
        <w:pStyle w:val="Heading1"/>
      </w:pPr>
      <w:r>
        <w:t xml:space="preserve"># 11.1 Títulos de trabalho</w:t>
      </w:r>
    </w:p>
    <w:p>
      <w:pPr>
        <w:pStyle w:val="FirstParagraph"/>
      </w:pPr>
      <w:r>
        <w:rPr>
          <w:b/>
          <w:bCs/>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
          <w:bCs/>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58"/>
    <w:bookmarkStart w:id="59"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59"/>
    <w:bookmarkStart w:id="60"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pStyle w:val="Compact"/>
        <w:numPr>
          <w:ilvl w:val="0"/>
          <w:numId w:val="1038"/>
        </w:numPr>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60"/>
    <w:bookmarkStart w:id="62" w:name="Xc02dfe262555335ab5c76cb1a1e081265c01fcc"/>
    <w:p>
      <w:pPr>
        <w:pStyle w:val="Heading1"/>
      </w:pPr>
      <w:r>
        <w:t xml:space="preserve">12. Ferramentas de código aberto para GDPR Work</w:t>
      </w:r>
    </w:p>
    <w:p>
      <w:pPr>
        <w:pStyle w:val="Compact"/>
        <w:numPr>
          <w:ilvl w:val="0"/>
          <w:numId w:val="1039"/>
        </w:numPr>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61" w:name="ferramenta-purpose-suporte-típico-gdpr"/>
    <w:p>
      <w:pPr>
        <w:pStyle w:val="Heading2"/>
      </w:pPr>
      <w:r>
        <w:t xml:space="preserve">•</w:t>
      </w:r>
      <w:r>
        <w:t xml:space="preserve"> </w:t>
      </w:r>
      <w:r>
        <w:rPr>
          <w:b/>
          <w:bCs/>
        </w:rPr>
        <w:t xml:space="preserve">Ferramenta</w:t>
      </w:r>
      <w:r>
        <w:rPr>
          <w:b/>
          <w:bCs/>
        </w:rPr>
        <w:t xml:space="preserve"> </w:t>
      </w:r>
      <w:r>
        <w:t xml:space="preserve"> </w:t>
      </w:r>
      <w:r>
        <w:rPr>
          <w:b/>
          <w:bCs/>
        </w:rPr>
        <w:t xml:space="preserve">Purpose</w:t>
      </w:r>
      <w:r>
        <w:rPr>
          <w:b/>
          <w:bCs/>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61"/>
    <w:bookmarkEnd w:id="62"/>
    <w:bookmarkStart w:id="63"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63"/>
    <w:bookmarkStart w:id="66"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65"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64">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65"/>
    <w:bookmarkEnd w:id="66"/>
    <w:bookmarkStart w:id="67"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67"/>
    <w:bookmarkStart w:id="69"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68">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69"/>
    <w:bookmarkStart w:id="72"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1"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70">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71"/>
    <w:bookmarkEnd w:id="72"/>
    <w:bookmarkStart w:id="75"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4"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73">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74"/>
    <w:bookmarkEnd w:id="75"/>
    <w:bookmarkStart w:id="78"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7"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76">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77"/>
    <w:bookmarkEnd w:id="78"/>
    <w:bookmarkStart w:id="79"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9"/>
    <w:bookmarkStart w:id="81"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80">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81"/>
    <w:bookmarkStart w:id="84"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3"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82">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83"/>
    <w:bookmarkEnd w:id="84"/>
    <w:bookmarkStart w:id="87"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6"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8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86"/>
    <w:bookmarkEnd w:id="87"/>
    <w:bookmarkStart w:id="88"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88"/>
    <w:bookmarkStart w:id="90"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89">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90"/>
    <w:bookmarkStart w:id="91"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1"/>
    <w:bookmarkStart w:id="93"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92">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93"/>
    <w:bookmarkStart w:id="95"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94"/>
    <w:bookmarkEnd w:id="95"/>
    <w:bookmarkStart w:id="96" w:name="laboratório-ficcional-saas-e-portfólio"/>
    <w:p>
      <w:pPr>
        <w:pStyle w:val="Heading1"/>
      </w:pPr>
      <w:r>
        <w:t xml:space="preserve">13. Laboratório Ficcional SaaS e Portfólio</w:t>
      </w:r>
    </w:p>
    <w:p>
      <w:pPr>
        <w:pStyle w:val="Compact"/>
        <w:numPr>
          <w:ilvl w:val="0"/>
          <w:numId w:val="1041"/>
        </w:numPr>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96"/>
    <w:bookmarkStart w:id="97"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97"/>
    <w:bookmarkStart w:id="98"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98"/>
    <w:bookmarkStart w:id="99" w:name="projeto-3-direitos"/>
    <w:p>
      <w:pPr>
        <w:pStyle w:val="Heading1"/>
      </w:pPr>
      <w:r>
        <w:t xml:space="preserve"># Projeto 3 — Direitos</w:t>
      </w:r>
    </w:p>
    <w:p>
      <w:pPr>
        <w:pStyle w:val="FirstParagraph"/>
      </w:pPr>
      <w:r>
        <w:t xml:space="preserve">Acesso ficcional completo, correção, exclusão, objeção e pedidos de portabilidade.</w:t>
      </w:r>
    </w:p>
    <w:bookmarkEnd w:id="99"/>
    <w:bookmarkStart w:id="100" w:name="projeto-4---dpia"/>
    <w:p>
      <w:pPr>
        <w:pStyle w:val="Heading1"/>
      </w:pPr>
      <w:r>
        <w:t xml:space="preserve"># Projeto 4 - DPIA</w:t>
      </w:r>
    </w:p>
    <w:p>
      <w:pPr>
        <w:pStyle w:val="FirstParagraph"/>
      </w:pPr>
      <w:r>
        <w:t xml:space="preserve">Avaliar o monitoramento ou o recurso de suporte de IA e definir salvaguardas.</w:t>
      </w:r>
    </w:p>
    <w:bookmarkEnd w:id="100"/>
    <w:bookmarkStart w:id="101"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01"/>
    <w:bookmarkStart w:id="102"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02"/>
    <w:bookmarkStart w:id="103"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03"/>
    <w:bookmarkStart w:id="105"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pStyle w:val="Compact"/>
        <w:numPr>
          <w:ilvl w:val="0"/>
          <w:numId w:val="1043"/>
        </w:numPr>
      </w:pPr>
      <w:r>
        <w:t xml:space="preserve">Plano de Aprendizagem de Trinta Dias</w:t>
      </w:r>
    </w:p>
    <w:p>
      <w:pPr>
        <w:pStyle w:val="Compact"/>
        <w:numPr>
          <w:ilvl w:val="0"/>
          <w:numId w:val="1044"/>
        </w:numPr>
      </w:pPr>
      <w:r>
        <w:t xml:space="preserve">Um mês realista de estudo, prática, trabalho de carteira e preparação de entrevista.*</w:t>
      </w:r>
    </w:p>
    <w:bookmarkStart w:id="104" w:name="semana-foco-saída-exigida"/>
    <w:p>
      <w:pPr>
        <w:pStyle w:val="Heading2"/>
      </w:pPr>
      <w:r>
        <w:t xml:space="preserve">*Semana</w:t>
      </w:r>
      <w:r>
        <w:rPr>
          <w:b/>
          <w:bCs/>
        </w:rPr>
        <w:t xml:space="preserve"> </w:t>
      </w:r>
      <w:r>
        <w:t xml:space="preserve"> </w:t>
      </w:r>
      <w:r>
        <w:t xml:space="preserve">Foco</w:t>
      </w:r>
      <w:r>
        <w:rPr>
          <w:b/>
          <w:bCs/>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04"/>
    <w:bookmarkEnd w:id="105"/>
    <w:bookmarkStart w:id="106"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
          <w:iCs/>
        </w:rPr>
        <w:t xml:space="preserve">Perguntas e respostas curtas para analistas e gestores júnior.</w:t>
      </w:r>
    </w:p>
    <w:bookmarkEnd w:id="106"/>
    <w:bookmarkStart w:id="107"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07"/>
    <w:bookmarkStart w:id="108"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08"/>
    <w:bookmarkStart w:id="109"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09"/>
    <w:bookmarkStart w:id="110"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10"/>
    <w:bookmarkStart w:id="111"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11"/>
    <w:bookmarkStart w:id="112"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12"/>
    <w:bookmarkStart w:id="113"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13"/>
    <w:bookmarkStart w:id="114"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14"/>
    <w:bookmarkStart w:id="115"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15"/>
    <w:bookmarkStart w:id="116"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16"/>
    <w:bookmarkStart w:id="117" w:name="modelos-e-listas-de-verificação"/>
    <w:p>
      <w:pPr>
        <w:pStyle w:val="Heading1"/>
      </w:pPr>
      <w:r>
        <w:t xml:space="preserve">16. Modelos e Listas de Verificação</w:t>
      </w:r>
    </w:p>
    <w:p>
      <w:pPr>
        <w:pStyle w:val="Compact"/>
        <w:numPr>
          <w:ilvl w:val="0"/>
          <w:numId w:val="1046"/>
        </w:numPr>
      </w:pPr>
      <w:r>
        <w:t xml:space="preserve">Estruturas práticas para copiar para um sistema organizacional aprovado.*</w:t>
      </w:r>
    </w:p>
    <w:bookmarkEnd w:id="117"/>
    <w:bookmarkStart w:id="118"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18"/>
    <w:bookmarkStart w:id="119"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19"/>
    <w:bookmarkStart w:id="122" w:name="quebrar-a-folha-de-factos"/>
    <w:p>
      <w:pPr>
        <w:pStyle w:val="Heading1"/>
      </w:pPr>
      <w:r>
        <w:t xml:space="preserve"># 16.4 Quebrar a folha de factos</w:t>
      </w:r>
    </w:p>
    <w:bookmarkStart w:id="120"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20"/>
    <w:bookmarkStart w:id="121"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21"/>
    <w:bookmarkEnd w:id="122"/>
    <w:bookmarkStart w:id="125" w:name="gdpr-ai-e-analytics"/>
    <w:p>
      <w:pPr>
        <w:pStyle w:val="Heading1"/>
      </w:pPr>
      <w:r>
        <w:t xml:space="preserve">17. GDPR, AI e Analytics</w:t>
      </w:r>
    </w:p>
    <w:p>
      <w:pPr>
        <w:pStyle w:val="Compact"/>
        <w:numPr>
          <w:ilvl w:val="0"/>
          <w:numId w:val="1051"/>
        </w:numPr>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23"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23"/>
    <w:bookmarkStart w:id="124"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24"/>
    <w:bookmarkEnd w:id="125"/>
    <w:bookmarkStart w:id="126" w:name="glossário"/>
    <w:p>
      <w:pPr>
        <w:pStyle w:val="Heading1"/>
      </w:pPr>
      <w:r>
        <w:t xml:space="preserve">18. Glossário</w:t>
      </w:r>
    </w:p>
    <w:p>
      <w:pPr>
        <w:pStyle w:val="FirstParagraph"/>
      </w:pPr>
      <w:r>
        <w:rPr>
          <w:i/>
          <w:iCs/>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
          <w:bCs/>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
          <w:bCs/>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
          <w:bCs/>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
          <w:bCs/>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26"/>
    <w:bookmarkStart w:id="128" w:name="índice-de-assuntos"/>
    <w:p>
      <w:pPr>
        <w:pStyle w:val="Heading1"/>
      </w:pPr>
      <w:r>
        <w:t xml:space="preserve">19. Índice de assuntos</w:t>
      </w:r>
    </w:p>
    <w:p>
      <w:pPr>
        <w:pStyle w:val="Compact"/>
        <w:numPr>
          <w:ilvl w:val="0"/>
          <w:numId w:val="1053"/>
        </w:numPr>
      </w:pPr>
      <w:r>
        <w:t xml:space="preserve">Um guia alfabético para tópicos principais. As referências apontam para seções para que o índice permaneça útil após a edição.*</w:t>
      </w:r>
    </w:p>
    <w:bookmarkStart w:id="127"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
          <w:iCs/>
        </w:rPr>
        <w:t xml:space="preserve"> </w:t>
      </w:r>
      <w:r>
        <w:rPr>
          <w:i/>
          <w:iCs/>
        </w:rPr>
        <w:t xml:space="preserve">. Consentimento .. 3.2–3.3, 9.2 .. Registros de processamento .. 5.1, 9.4, 16.1 .</w:t>
      </w:r>
      <w:r>
        <w:rPr>
          <w:i/>
          <w:iCs/>
        </w:rPr>
        <w:t xml:space="preserve"> </w:t>
      </w:r>
      <w:r>
        <w:rPr>
          <w:i/>
          <w:iCs/>
        </w:rPr>
        <w:t xml:space="preserve">Controlador de Retenção</w:t>
      </w:r>
      <w:r>
        <w:rPr>
          <w:i/>
          <w:iCs/>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27"/>
    <w:bookmarkEnd w:id="128"/>
    <w:bookmarkStart w:id="139" w:name="referências-oficiais-e-estudo-adicional"/>
    <w:p>
      <w:pPr>
        <w:pStyle w:val="Heading1"/>
      </w:pPr>
      <w:r>
        <w:t xml:space="preserve">20. Referências Oficiais e Estudo Adicional</w:t>
      </w:r>
    </w:p>
    <w:p>
      <w:pPr>
        <w:pStyle w:val="Compact"/>
        <w:numPr>
          <w:ilvl w:val="0"/>
          <w:numId w:val="1054"/>
        </w:numPr>
      </w:pPr>
      <w:r>
        <w:t xml:space="preserve">Direito autoritário, orientação da UE e documentação oficial do projecto utilizada para verificação e estudo posterior.*</w:t>
      </w:r>
    </w:p>
    <w:p>
      <w:pPr>
        <w:pStyle w:val="FirstParagraph"/>
      </w:pPr>
      <w:hyperlink r:id="rId129">
        <w:r>
          <w:rPr>
            <w:rStyle w:val="Hyperlink"/>
          </w:rPr>
          <w:t xml:space="preserve">EUR-Lex — Regulamento (UE) 2016/679</w:t>
        </w:r>
      </w:hyperlink>
    </w:p>
    <w:p>
      <w:pPr>
        <w:pStyle w:val="BodyText"/>
      </w:pPr>
      <w:hyperlink r:id="rId130">
        <w:r>
          <w:rPr>
            <w:rStyle w:val="Hyperlink"/>
          </w:rPr>
          <w:t xml:space="preserve">EUR-Lex — Resumo GDPR actualizado em Março de 2026</w:t>
        </w:r>
      </w:hyperlink>
    </w:p>
    <w:p>
      <w:pPr>
        <w:pStyle w:val="BodyText"/>
      </w:pPr>
      <w:hyperlink r:id="rId131">
        <w:r>
          <w:rPr>
            <w:rStyle w:val="Hyperlink"/>
          </w:rPr>
          <w:t xml:space="preserve">Conselho Europeu de Protecção de Dados</w:t>
        </w:r>
      </w:hyperlink>
    </w:p>
    <w:p>
      <w:pPr>
        <w:pStyle w:val="BodyText"/>
      </w:pPr>
      <w:hyperlink r:id="rId132">
        <w:r>
          <w:rPr>
            <w:rStyle w:val="Hyperlink"/>
          </w:rPr>
          <w:t xml:space="preserve">Guia de Proteção de Dados das PME do EDPB</w:t>
        </w:r>
      </w:hyperlink>
    </w:p>
    <w:p>
      <w:pPr>
        <w:pStyle w:val="BodyText"/>
      </w:pPr>
      <w:hyperlink r:id="rId133">
        <w:r>
          <w:rPr>
            <w:rStyle w:val="Hyperlink"/>
          </w:rPr>
          <w:t xml:space="preserve">EDPB notification guidelines 9/2022</w:t>
        </w:r>
      </w:hyperlink>
    </w:p>
    <w:p>
      <w:pPr>
        <w:pStyle w:val="BodyText"/>
      </w:pPr>
      <w:hyperlink r:id="rId134">
        <w:r>
          <w:rPr>
            <w:rStyle w:val="Hyperlink"/>
          </w:rPr>
          <w:t xml:space="preserve">Comissão Europeia — Protecção de dados</w:t>
        </w:r>
      </w:hyperlink>
    </w:p>
    <w:p>
      <w:pPr>
        <w:pStyle w:val="BodyText"/>
      </w:pPr>
      <w:hyperlink r:id="rId135">
        <w:r>
          <w:rPr>
            <w:rStyle w:val="Hyperlink"/>
          </w:rPr>
          <w:t xml:space="preserve">Comissão Europeia — Cláusulas contratuais normalizadas</w:t>
        </w:r>
      </w:hyperlink>
    </w:p>
    <w:p>
      <w:pPr>
        <w:pStyle w:val="BodyText"/>
      </w:pPr>
      <w:hyperlink r:id="rId136">
        <w:r>
          <w:rPr>
            <w:rStyle w:val="Hyperlink"/>
          </w:rPr>
          <w:t xml:space="preserve">Comissão Europeia — Decisões de adequação</w:t>
        </w:r>
      </w:hyperlink>
    </w:p>
    <w:p>
      <w:pPr>
        <w:pStyle w:val="BodyText"/>
      </w:pPr>
      <w:hyperlink r:id="rId137">
        <w:r>
          <w:rPr>
            <w:rStyle w:val="Hyperlink"/>
          </w:rPr>
          <w:t xml:space="preserve">ENISA — Manual sobre Segurança do Tratamento de Dados Pessoais</w:t>
        </w:r>
      </w:hyperlink>
    </w:p>
    <w:p>
      <w:pPr>
        <w:pStyle w:val="BodyText"/>
      </w:pPr>
      <w:hyperlink r:id="rId138">
        <w:r>
          <w:rPr>
            <w:rStyle w:val="Hyperlink"/>
          </w:rPr>
          <w:t xml:space="preserve">Documentação do Assistente CISO</w:t>
        </w:r>
      </w:hyperlink>
    </w:p>
    <w:p>
      <w:pPr>
        <w:pStyle w:val="BodyText"/>
      </w:pPr>
      <w:hyperlink r:id="rId64">
        <w:r>
          <w:rPr>
            <w:rStyle w:val="Hyperlink"/>
          </w:rPr>
          <w:t xml:space="preserve">Documentação OpenMetada</w:t>
        </w:r>
      </w:hyperlink>
    </w:p>
    <w:p>
      <w:pPr>
        <w:pStyle w:val="BodyText"/>
      </w:pPr>
      <w:hyperlink r:id="rId68">
        <w:r>
          <w:rPr>
            <w:rStyle w:val="Hyperlink"/>
          </w:rPr>
          <w:t xml:space="preserve">Microsoft Presidio documentation</w:t>
        </w:r>
      </w:hyperlink>
    </w:p>
    <w:p>
      <w:pPr>
        <w:pStyle w:val="BodyText"/>
      </w:pPr>
      <w:hyperlink r:id="rId70">
        <w:r>
          <w:rPr>
            <w:rStyle w:val="Hyperlink"/>
          </w:rPr>
          <w:t xml:space="preserve">Documentação ARX</w:t>
        </w:r>
      </w:hyperlink>
    </w:p>
    <w:p>
      <w:pPr>
        <w:pStyle w:val="BodyText"/>
      </w:pPr>
      <w:hyperlink r:id="rId73">
        <w:r>
          <w:rPr>
            <w:rStyle w:val="Hyperlink"/>
          </w:rPr>
          <w:t xml:space="preserve">Documentação do keycloak</w:t>
        </w:r>
      </w:hyperlink>
    </w:p>
    <w:p>
      <w:pPr>
        <w:pStyle w:val="BodyText"/>
      </w:pPr>
      <w:hyperlink r:id="rId76">
        <w:r>
          <w:rPr>
            <w:rStyle w:val="Hyperlink"/>
          </w:rPr>
          <w:t xml:space="preserve">Documentação wazuh</w:t>
        </w:r>
      </w:hyperlink>
    </w:p>
    <w:p>
      <w:pPr>
        <w:pStyle w:val="BodyText"/>
      </w:pPr>
      <w:hyperlink r:id="rId80">
        <w:r>
          <w:rPr>
            <w:rStyle w:val="Hyperlink"/>
          </w:rPr>
          <w:t xml:space="preserve">OWASP documentação ZAP</w:t>
        </w:r>
      </w:hyperlink>
    </w:p>
    <w:p>
      <w:pPr>
        <w:pStyle w:val="BodyText"/>
      </w:pPr>
      <w:hyperlink r:id="rId82">
        <w:r>
          <w:rPr>
            <w:rStyle w:val="Hyperlink"/>
          </w:rPr>
          <w:t xml:space="preserve">Documentação trivy</w:t>
        </w:r>
      </w:hyperlink>
    </w:p>
    <w:p>
      <w:pPr>
        <w:pStyle w:val="BodyText"/>
      </w:pPr>
      <w:hyperlink r:id="rId85">
        <w:r>
          <w:rPr>
            <w:rStyle w:val="Hyperlink"/>
          </w:rPr>
          <w:t xml:space="preserve">Documentação do agente de política aberta</w:t>
        </w:r>
      </w:hyperlink>
    </w:p>
    <w:p>
      <w:pPr>
        <w:pStyle w:val="BodyText"/>
      </w:pPr>
      <w:hyperlink r:id="rId89">
        <w:r>
          <w:rPr>
            <w:rStyle w:val="Hyperlink"/>
          </w:rPr>
          <w:t xml:space="preserve">Documentação do Klaro!</w:t>
        </w:r>
      </w:hyperlink>
    </w:p>
    <w:p>
      <w:pPr>
        <w:pStyle w:val="BodyText"/>
      </w:pPr>
      <w:hyperlink r:id="rId92">
        <w:r>
          <w:rPr>
            <w:rStyle w:val="Hyperlink"/>
          </w:rPr>
          <w:t xml:space="preserve">Documentação da edição comunitária de Greenbone</w:t>
        </w:r>
      </w:hyperlink>
    </w:p>
    <w:p>
      <w:pPr>
        <w:pStyle w:val="BodyText"/>
      </w:pPr>
      <w:r>
        <w:rPr>
          <w:b/>
          <w:bCs/>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https://arx.deidentifier.org/anonymization-tool/" TargetMode="External" /><Relationship Type="http://schemas.openxmlformats.org/officeDocument/2006/relationships/hyperlink" Id="rId136" Target="https://commission.europa.eu/law/law-topic/data-protection/international-dimension-data-protection/adequacy-decisions_en" TargetMode="External" /><Relationship Type="http://schemas.openxmlformats.org/officeDocument/2006/relationships/hyperlink" Id="rId135" Target="https://commission.europa.eu/law/law-topic/data-protection/international-dimension-data-protection/standard-contractual-clauses-scc_en" TargetMode="External" /><Relationship Type="http://schemas.openxmlformats.org/officeDocument/2006/relationships/hyperlink" Id="rId134" Target="https://commission.europa.eu/law/law-topic/data-protection_en" TargetMode="External" /><Relationship Type="http://schemas.openxmlformats.org/officeDocument/2006/relationships/hyperlink" Id="rId64" Target="https://docs.open-metadata.org/" TargetMode="External" /><Relationship Type="http://schemas.openxmlformats.org/officeDocument/2006/relationships/hyperlink" Id="rId76" Target="https://documentation.wazuh.com/current/quickstart.html" TargetMode="External" /><Relationship Type="http://schemas.openxmlformats.org/officeDocument/2006/relationships/hyperlink" Id="rId130" Target="https://eur-lex.europa.eu/EN/legal-content/summary/general-data-protection-regulation-gdpr.html" TargetMode="External" /><Relationship Type="http://schemas.openxmlformats.org/officeDocument/2006/relationships/hyperlink" Id="rId129" Target="https://eur-lex.europa.eu/eli/reg/2016/679/oj/eng" TargetMode="External" /><Relationship Type="http://schemas.openxmlformats.org/officeDocument/2006/relationships/hyperlink" Id="rId92" Target="https://greenbone.github.io/docs/latest/" TargetMode="External" /><Relationship Type="http://schemas.openxmlformats.org/officeDocument/2006/relationships/hyperlink" Id="rId138" Target="https://intuitem.gitbook.io/ciso-assistant" TargetMode="External" /><Relationship Type="http://schemas.openxmlformats.org/officeDocument/2006/relationships/hyperlink" Id="rId89" Target="https://klaro.org/docs/" TargetMode="External" /><Relationship Type="http://schemas.openxmlformats.org/officeDocument/2006/relationships/hyperlink" Id="rId68" Target="https://microsoft.github.io/presidio/" TargetMode="External" /><Relationship Type="http://schemas.openxmlformats.org/officeDocument/2006/relationships/hyperlink" Id="rId82" Target="https://trivy.dev/latest/" TargetMode="External" /><Relationship Type="http://schemas.openxmlformats.org/officeDocument/2006/relationships/hyperlink" Id="rId131" Target="https://www.edpb.europa.eu/edpb_en" TargetMode="External" /><Relationship Type="http://schemas.openxmlformats.org/officeDocument/2006/relationships/hyperlink" Id="rId133" Target="https://www.edpb.europa.eu/our-work-tools/our-documents/guidelines/guidelines-92022-personal-data-breach-notification-under_en" TargetMode="External" /><Relationship Type="http://schemas.openxmlformats.org/officeDocument/2006/relationships/hyperlink" Id="rId132" Target="https://www.edpb.europa.eu/sme-data-protection-guide/home_en" TargetMode="External" /><Relationship Type="http://schemas.openxmlformats.org/officeDocument/2006/relationships/hyperlink" Id="rId137" Target="https://www.enisa.europa.eu/publications/handbook-on-security-of-personal-data-processing" TargetMode="External" /><Relationship Type="http://schemas.openxmlformats.org/officeDocument/2006/relationships/hyperlink" Id="rId73" Target="https://www.keycloak.org/guides" TargetMode="External" /><Relationship Type="http://schemas.openxmlformats.org/officeDocument/2006/relationships/hyperlink" Id="rId85" Target="https://www.openpolicyagent.org/docs" TargetMode="External" /><Relationship Type="http://schemas.openxmlformats.org/officeDocument/2006/relationships/hyperlink" Id="rId80"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70" Target="https://arx.deidentifier.org/anonymization-tool/" TargetMode="External" /><Relationship Type="http://schemas.openxmlformats.org/officeDocument/2006/relationships/hyperlink" Id="rId136" Target="https://commission.europa.eu/law/law-topic/data-protection/international-dimension-data-protection/adequacy-decisions_en" TargetMode="External" /><Relationship Type="http://schemas.openxmlformats.org/officeDocument/2006/relationships/hyperlink" Id="rId135" Target="https://commission.europa.eu/law/law-topic/data-protection/international-dimension-data-protection/standard-contractual-clauses-scc_en" TargetMode="External" /><Relationship Type="http://schemas.openxmlformats.org/officeDocument/2006/relationships/hyperlink" Id="rId134" Target="https://commission.europa.eu/law/law-topic/data-protection_en" TargetMode="External" /><Relationship Type="http://schemas.openxmlformats.org/officeDocument/2006/relationships/hyperlink" Id="rId64" Target="https://docs.open-metadata.org/" TargetMode="External" /><Relationship Type="http://schemas.openxmlformats.org/officeDocument/2006/relationships/hyperlink" Id="rId76" Target="https://documentation.wazuh.com/current/quickstart.html" TargetMode="External" /><Relationship Type="http://schemas.openxmlformats.org/officeDocument/2006/relationships/hyperlink" Id="rId130" Target="https://eur-lex.europa.eu/EN/legal-content/summary/general-data-protection-regulation-gdpr.html" TargetMode="External" /><Relationship Type="http://schemas.openxmlformats.org/officeDocument/2006/relationships/hyperlink" Id="rId129" Target="https://eur-lex.europa.eu/eli/reg/2016/679/oj/eng" TargetMode="External" /><Relationship Type="http://schemas.openxmlformats.org/officeDocument/2006/relationships/hyperlink" Id="rId92" Target="https://greenbone.github.io/docs/latest/" TargetMode="External" /><Relationship Type="http://schemas.openxmlformats.org/officeDocument/2006/relationships/hyperlink" Id="rId138" Target="https://intuitem.gitbook.io/ciso-assistant" TargetMode="External" /><Relationship Type="http://schemas.openxmlformats.org/officeDocument/2006/relationships/hyperlink" Id="rId89" Target="https://klaro.org/docs/" TargetMode="External" /><Relationship Type="http://schemas.openxmlformats.org/officeDocument/2006/relationships/hyperlink" Id="rId68" Target="https://microsoft.github.io/presidio/" TargetMode="External" /><Relationship Type="http://schemas.openxmlformats.org/officeDocument/2006/relationships/hyperlink" Id="rId82" Target="https://trivy.dev/latest/" TargetMode="External" /><Relationship Type="http://schemas.openxmlformats.org/officeDocument/2006/relationships/hyperlink" Id="rId131" Target="https://www.edpb.europa.eu/edpb_en" TargetMode="External" /><Relationship Type="http://schemas.openxmlformats.org/officeDocument/2006/relationships/hyperlink" Id="rId133" Target="https://www.edpb.europa.eu/our-work-tools/our-documents/guidelines/guidelines-92022-personal-data-breach-notification-under_en" TargetMode="External" /><Relationship Type="http://schemas.openxmlformats.org/officeDocument/2006/relationships/hyperlink" Id="rId132" Target="https://www.edpb.europa.eu/sme-data-protection-guide/home_en" TargetMode="External" /><Relationship Type="http://schemas.openxmlformats.org/officeDocument/2006/relationships/hyperlink" Id="rId137" Target="https://www.enisa.europa.eu/publications/handbook-on-security-of-personal-data-processing" TargetMode="External" /><Relationship Type="http://schemas.openxmlformats.org/officeDocument/2006/relationships/hyperlink" Id="rId73" Target="https://www.keycloak.org/guides" TargetMode="External" /><Relationship Type="http://schemas.openxmlformats.org/officeDocument/2006/relationships/hyperlink" Id="rId85" Target="https://www.openpolicyagent.org/docs" TargetMode="External" /><Relationship Type="http://schemas.openxmlformats.org/officeDocument/2006/relationships/hyperlink" Id="rId80"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2026-07-28T19:40:15Z</dcterms:created>
  <dcterms:modified xsi:type="dcterms:W3CDTF">2026-07-28T19:40:15Z</dcterms:modified>
</cp:coreProperties>
</file>

<file path=docProps/custom.xml><?xml version="1.0" encoding="utf-8"?>
<Properties xmlns="http://schemas.openxmlformats.org/officeDocument/2006/custom-properties" xmlns:vt="http://schemas.openxmlformats.org/officeDocument/2006/docPropsVTypes"/>
</file>