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
          <w:bCs/>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
          <w:bCs/>
        </w:rPr>
        <w:t xml:space="preserve">CYBERSECURITY, PRIVACY &amp; COMPLIANCE SERIES</w:t>
      </w:r>
    </w:p>
    <w:p>
      <w:pPr>
        <w:pStyle w:val="BodyText"/>
      </w:pPr>
      <w:r>
        <w:rPr>
          <w:b/>
          <w:bCs/>
        </w:rPr>
        <w:t xml:space="preserve">HIPAA</w:t>
      </w:r>
    </w:p>
    <w:p>
      <w:pPr>
        <w:pStyle w:val="BodyText"/>
      </w:pPr>
      <w:r>
        <w:rPr>
          <w:b/>
          <w:bCs/>
        </w:rPr>
        <w:t xml:space="preserve">Un Manual de Cumplimiento y Seguridad Prácticas para Gerentes y Analistas Junior</w:t>
      </w:r>
    </w:p>
    <w:p>
      <w:pPr>
        <w:pStyle w:val="BodyText"/>
      </w:pPr>
      <w:r>
        <w:rPr>
          <w:i/>
          <w:iCs/>
        </w:rPr>
        <w:t xml:space="preserve">How health-information privacy, security, breach response, evidence, and oversight work in practice</w:t>
      </w:r>
    </w:p>
    <w:p>
      <w:pPr>
        <w:pStyle w:val="BodyText"/>
      </w:pPr>
      <w:r>
        <w:rPr>
          <w:b/>
          <w:bCs/>
        </w:rPr>
        <w:t xml:space="preserve">Alberto (Al) Leiva</w:t>
      </w:r>
    </w:p>
    <w:p>
      <w:pPr>
        <w:pStyle w:val="BodyText"/>
      </w:pPr>
      <w:r>
        <w:t xml:space="preserve">Primera edición • Julio 2026</w:t>
      </w:r>
    </w:p>
    <w:p>
      <w:pPr>
        <w:pStyle w:val="BodyText"/>
      </w:pPr>
      <w:r>
        <w:rPr>
          <w:b/>
          <w:bCs/>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1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9"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9"/>
    <w:bookmarkStart w:id="10"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10"/>
    <w:bookmarkEnd w:id="11"/>
    <w:bookmarkStart w:id="12" w:name="prefacio"/>
    <w:p>
      <w:pPr>
        <w:pStyle w:val="Heading1"/>
      </w:pPr>
      <w:r>
        <w:t xml:space="preserve">Prefacio</w:t>
      </w:r>
    </w:p>
    <w:p>
      <w:pPr>
        <w:pStyle w:val="FirstParagraph"/>
      </w:pPr>
      <w:r>
        <w:rPr>
          <w:i/>
          <w:iCs/>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
          <w:bCs/>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
          <w:iCs/>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12"/>
    <w:bookmarkStart w:id="1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13"/>
    <w:bookmarkStart w:id="21" w:name="hipaa-foundations"/>
    <w:p>
      <w:pPr>
        <w:pStyle w:val="Heading1"/>
      </w:pPr>
      <w:r>
        <w:t xml:space="preserve">1. HIPAA Foundations</w:t>
      </w:r>
    </w:p>
    <w:p>
      <w:pPr>
        <w:pStyle w:val="FirstParagraph"/>
      </w:pPr>
      <w:r>
        <w:rPr>
          <w:i/>
          <w:iCs/>
        </w:rPr>
        <w:t xml:space="preserve">Lo que HIPAA cubre, lo que no cubre, y cómo sus reglas principales funcionan juntas.</w:t>
      </w:r>
    </w:p>
    <w:p>
      <w:pPr>
        <w:pStyle w:val="BodyText"/>
      </w:pPr>
      <w:r>
        <w:t xml:space="preserve">■img src=</w:t>
      </w:r>
      <w:r>
        <w:t xml:space="preserve">“media/image1.png”</w:t>
      </w:r>
      <w:r>
        <w:t xml:space="preserve"> </w:t>
      </w:r>
      <w:r>
        <w:t xml:space="preserve">estilo=</w:t>
      </w:r>
      <w:r>
        <w:t xml:space="preserve">“width:6.15in;height:2.9808in”</w:t>
      </w:r>
      <w:r>
        <w:t xml:space="preserve"> </w:t>
      </w:r>
      <w:r>
        <w:t xml:space="preserve">alt=</w:t>
      </w:r>
      <w:r>
        <w:t xml:space="preserve">“Privacy, Security, Breach Notification, and Enforcement are connected.”</w:t>
      </w:r>
      <w:r>
        <w:t xml:space="preserve"> </w:t>
      </w:r>
      <w:r>
        <w:t xml:space="preserve">/</w:t>
      </w:r>
    </w:p>
    <w:p>
      <w:pPr>
        <w:pStyle w:val="BodyText"/>
      </w:pPr>
      <w:r>
        <w:t xml:space="preserve">Figura 1. Las principales áreas de cumplimiento HIPAA</w:t>
      </w:r>
    </w:p>
    <w:bookmarkStart w:id="14" w:name="the-hipaa-rules"/>
    <w:p>
      <w:pPr>
        <w:pStyle w:val="Heading2"/>
      </w:pPr>
      <w:r>
        <w:t xml:space="preserve">1.1 The HIPAA Rules</w:t>
      </w:r>
    </w:p>
    <w:p>
      <w:pPr>
        <w:pStyle w:val="FirstParagraph"/>
      </w:pPr>
      <w:r>
        <w:rPr>
          <w:b/>
          <w:bCs/>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14"/>
    <w:bookmarkStart w:id="15"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15"/>
    <w:bookmarkStart w:id="16" w:name="punto-de-control-de-la-ley-actual"/>
    <w:p>
      <w:pPr>
        <w:pStyle w:val="Heading2"/>
      </w:pPr>
      <w:r>
        <w:t xml:space="preserve">1.3 Punto de control de la ley actual</w:t>
      </w:r>
    </w:p>
    <w:p>
      <w:pPr>
        <w:pStyle w:val="FirstParagraph"/>
      </w:pPr>
      <w:r>
        <w:rPr>
          <w:b/>
          <w:bCs/>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pStyle w:val="Compact"/>
        <w:numPr>
          <w:ilvl w:val="0"/>
          <w:numId w:val="1001"/>
        </w:numPr>
      </w:pPr>
      <w:r>
        <w:t xml:space="preserve">Alcance, Rols, PHI y ePHI</w:t>
      </w:r>
    </w:p>
    <w:p>
      <w:pPr>
        <w:pStyle w:val="FirstParagraph"/>
      </w:pPr>
      <w:r>
        <w:rPr>
          <w:i/>
          <w:iCs/>
        </w:rPr>
        <w:t xml:space="preserve">Cómo identificar entidades reguladas, información protegida, límites y responsabilidades</w:t>
      </w:r>
      <w:r>
        <w:t xml:space="preserve">.</w:t>
      </w:r>
    </w:p>
    <w:p>
      <w:pPr>
        <w:pStyle w:val="BodyText"/>
      </w:pPr>
      <w:r>
        <w:t xml:space="preserve">■img src=</w:t>
      </w:r>
      <w:r>
        <w:t xml:space="preserve">“media/image2.png”</w:t>
      </w:r>
      <w:r>
        <w:t xml:space="preserve"> </w:t>
      </w:r>
      <w:r>
        <w:t xml:space="preserve">estilo=</w:t>
      </w:r>
      <w:r>
        <w:t xml:space="preserve">“width:6.15in;height:3.27065in”</w:t>
      </w:r>
      <w:r>
        <w:t xml:space="preserve"> </w:t>
      </w:r>
      <w:r>
        <w:t xml:space="preserve">alt=</w:t>
      </w:r>
      <w:r>
        <w:t xml:space="preserve">“PHI es creado, utilizado, compartido, almacenado y destruido a través de su ciclo de vida.”</w:t>
      </w:r>
      <w:r>
        <w:t xml:space="preserve"> </w:t>
      </w:r>
      <w:r>
        <w:t xml:space="preserve">/</w:t>
      </w:r>
    </w:p>
    <w:p>
      <w:pPr>
        <w:pStyle w:val="BodyText"/>
      </w:pPr>
      <w:r>
        <w:t xml:space="preserve">Figura 2. Ciclo de vida de la PHI</w:t>
      </w:r>
    </w:p>
    <w:bookmarkEnd w:id="16"/>
    <w:bookmarkStart w:id="17"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17"/>
    <w:bookmarkStart w:id="18"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18"/>
    <w:bookmarkStart w:id="19"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19"/>
    <w:bookmarkStart w:id="20" w:name="de-identification"/>
    <w:p>
      <w:pPr>
        <w:pStyle w:val="Heading2"/>
      </w:pPr>
      <w:r>
        <w:t xml:space="preserve">2.4 De-identification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
          <w:bCs/>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20"/>
    <w:bookmarkEnd w:id="21"/>
    <w:bookmarkStart w:id="30" w:name="regla-de-privacidad-usos-y-divulgaciones"/>
    <w:p>
      <w:pPr>
        <w:pStyle w:val="Heading1"/>
      </w:pPr>
      <w:r>
        <w:t xml:space="preserve">3. Regla de Privacidad: Usos y Divulgaciones</w:t>
      </w:r>
    </w:p>
    <w:p>
      <w:pPr>
        <w:pStyle w:val="Compact"/>
        <w:numPr>
          <w:ilvl w:val="0"/>
          <w:numId w:val="1003"/>
        </w:numPr>
      </w:pPr>
      <w:r>
        <w:t xml:space="preserve">Usos, autorizaciones, mínimo necesario, verificación, avisos y situaciones especiales*.</w:t>
      </w:r>
    </w:p>
    <w:bookmarkStart w:id="22"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22"/>
    <w:bookmarkStart w:id="23"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23"/>
    <w:bookmarkStart w:id="24"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24"/>
    <w:bookmarkStart w:id="25"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25"/>
    <w:bookmarkStart w:id="26" w:name="publicaciones-permitidas-especiales"/>
    <w:p>
      <w:pPr>
        <w:pStyle w:val="Heading2"/>
      </w:pPr>
      <w:r>
        <w:t xml:space="preserve">3.5 Publicaciones permitidas especiales</w:t>
      </w:r>
    </w:p>
    <w:p>
      <w:pPr>
        <w:pStyle w:val="FirstParagraph"/>
      </w:pPr>
      <w:r>
        <w:rPr>
          <w:b/>
          <w:bCs/>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pStyle w:val="Compact"/>
        <w:numPr>
          <w:ilvl w:val="0"/>
          <w:numId w:val="1005"/>
        </w:numPr>
      </w:pPr>
      <w:r>
        <w:t xml:space="preserve">Derechos individuales y operaciones de privacidad</w:t>
      </w:r>
    </w:p>
    <w:p>
      <w:pPr>
        <w:pStyle w:val="FirstParagraph"/>
      </w:pPr>
      <w:r>
        <w:rPr>
          <w:i/>
          <w:iCs/>
        </w:rPr>
        <w:t xml:space="preserve">Cómo recibir, verificar, completar y documentar solicitudes de pacientes y miembros</w:t>
      </w:r>
      <w:r>
        <w:t xml:space="preserve">.</w:t>
      </w:r>
    </w:p>
    <w:bookmarkEnd w:id="26"/>
    <w:bookmarkStart w:id="27" w:name="sinopsis-de-derechos"/>
    <w:p>
      <w:pPr>
        <w:pStyle w:val="Heading2"/>
      </w:pPr>
      <w:r>
        <w:t xml:space="preserve">4.1 Sinopsis de derechos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Justo</w:t>
            </w:r>
            <w:r>
              <w:t xml:space="preserve"> </w:t>
            </w:r>
            <w:r>
              <w:t xml:space="preserve">Silencioso</w:t>
            </w:r>
            <w:r>
              <w:t xml:space="preserve"> </w:t>
            </w:r>
            <w:r>
              <w:rPr>
                <w:b/>
                <w:bCs/>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27"/>
    <w:bookmarkStart w:id="28"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28"/>
    <w:bookmarkStart w:id="29"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29"/>
    <w:bookmarkEnd w:id="30"/>
    <w:bookmarkStart w:id="35" w:name="security-rule-foundations"/>
    <w:p>
      <w:pPr>
        <w:pStyle w:val="Heading1"/>
      </w:pPr>
      <w:r>
        <w:t xml:space="preserve">5. Security Rule Foundations</w:t>
      </w:r>
    </w:p>
    <w:p>
      <w:pPr>
        <w:pStyle w:val="FirstParagraph"/>
      </w:pPr>
      <w:r>
        <w:rPr>
          <w:i/>
          <w:iCs/>
        </w:rPr>
        <w:t xml:space="preserve">Requisitos generales, flexibilidad, especificaciones requeridas y accesibles y pruebas</w:t>
      </w:r>
      <w:r>
        <w:t xml:space="preserve">.</w:t>
      </w:r>
    </w:p>
    <w:p>
      <w:pPr>
        <w:pStyle w:val="BodyText"/>
      </w:pPr>
      <w:r>
        <w:t xml:space="preserve">لimg src=</w:t>
      </w:r>
      <w:r>
        <w:t xml:space="preserve">“media/image3.png”</w:t>
      </w:r>
      <w:r>
        <w:t xml:space="preserve"> </w:t>
      </w:r>
      <w:r>
        <w:t xml:space="preserve">style=</w:t>
      </w:r>
      <w:r>
        <w:t xml:space="preserve">“width:6.15in;height:3.33266in”</w:t>
      </w:r>
      <w:r>
        <w:t xml:space="preserve"> </w:t>
      </w:r>
      <w:r>
        <w:t xml:space="preserve">alt=</w:t>
      </w:r>
      <w:r>
        <w:t xml:space="preserve">“Las salvaguardias administrativas, físicas y técnicas dependen del análisis de riesgos.”</w:t>
      </w:r>
      <w:r>
        <w:t xml:space="preserve"> </w:t>
      </w:r>
      <w:r>
        <w:t xml:space="preserve">/</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31" w:name="requisitos-y-accesibles"/>
    <w:p>
      <w:pPr>
        <w:pStyle w:val="Heading2"/>
      </w:pPr>
      <w:r>
        <w:t xml:space="preserve">5.2 Requisitos y accesibles</w:t>
      </w:r>
    </w:p>
    <w:p>
      <w:pPr>
        <w:pStyle w:val="FirstParagraph"/>
      </w:pPr>
      <w:r>
        <w:rPr>
          <w:b/>
          <w:bCs/>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31"/>
    <w:bookmarkStart w:id="3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pStyle w:val="Compact"/>
        <w:numPr>
          <w:ilvl w:val="0"/>
          <w:numId w:val="1008"/>
        </w:numPr>
      </w:pPr>
      <w:r>
        <w:t xml:space="preserve">Salvaguardias administrativas</w:t>
      </w:r>
    </w:p>
    <w:p>
      <w:pPr>
        <w:pStyle w:val="FirstParagraph"/>
      </w:pPr>
      <w:r>
        <w:rPr>
          <w:i/>
          <w:iCs/>
        </w:rPr>
        <w:t xml:space="preserve">Los procesos de gestión que convierten la política en protección repetible</w:t>
      </w:r>
      <w:r>
        <w:t xml:space="preserv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w:t>
            </w:r>
          </w:p>
        </w:tc>
      </w:tr>
      <w:tr>
        <w:tc>
          <w:tcPr/>
          <w:p>
            <w:pPr>
              <w:pStyle w:val="Compact"/>
            </w:pPr>
            <w:r>
              <w:t xml:space="preserve">TEN 164.308(a)(1)</w:t>
            </w:r>
          </w:p>
        </w:tc>
      </w:tr>
      <w:tr>
        <w:tc>
          <w:tcPr/>
          <w:p>
            <w:pPr>
              <w:pStyle w:val="Compact"/>
            </w:pPr>
            <w:r>
              <w:t xml:space="preserve">tención 164.308(a)(2)</w:t>
            </w:r>
          </w:p>
        </w:tc>
      </w:tr>
      <w:tr>
        <w:tc>
          <w:tcPr/>
          <w:p>
            <w:pPr>
              <w:pStyle w:val="Compact"/>
            </w:pPr>
            <w:r>
              <w:t xml:space="preserve">164.308(a)(3)</w:t>
            </w:r>
          </w:p>
        </w:tc>
      </w:tr>
      <w:tr>
        <w:tc>
          <w:tcPr/>
          <w:p>
            <w:pPr>
              <w:pStyle w:val="Compact"/>
            </w:pPr>
            <w:r>
              <w:t xml:space="preserve">164.308(a)(4)</w:t>
            </w:r>
          </w:p>
        </w:tc>
      </w:tr>
      <w:tr>
        <w:tc>
          <w:tcPr/>
          <w:p>
            <w:pPr>
              <w:pStyle w:val="Compact"/>
            </w:pPr>
            <w:r>
              <w:t xml:space="preserve">164.308(a)(5)</w:t>
            </w:r>
          </w:p>
        </w:tc>
      </w:tr>
      <w:tr>
        <w:tc>
          <w:tcPr/>
          <w:p>
            <w:pPr>
              <w:pStyle w:val="Compact"/>
            </w:pPr>
            <w:r>
              <w:t xml:space="preserve">tención 164.308(a)(6) Silenciosos procedimientos de incidentes de seguridad</w:t>
            </w:r>
          </w:p>
        </w:tc>
      </w:tr>
      <w:tr>
        <w:tc>
          <w:tcPr/>
          <w:p>
            <w:pPr>
              <w:pStyle w:val="Compact"/>
            </w:pPr>
            <w:r>
              <w:t xml:space="preserve">164.308(a)(7)</w:t>
            </w:r>
          </w:p>
        </w:tc>
      </w:tr>
      <w:tr>
        <w:tc>
          <w:tcPr/>
          <w:p>
            <w:pPr>
              <w:pStyle w:val="Compact"/>
            </w:pPr>
            <w:r>
              <w:t xml:space="preserve">tención 164.308(a)(8)</w:t>
            </w:r>
          </w:p>
        </w:tc>
      </w:tr>
      <w:tr>
        <w:tc>
          <w:tcPr/>
          <w:p>
            <w:pPr>
              <w:pStyle w:val="Compact"/>
            </w:pPr>
            <w:r>
              <w:t xml:space="preserve">164.308(b)</w:t>
            </w:r>
          </w:p>
        </w:tc>
      </w:tr>
    </w:tbl>
    <w:bookmarkEnd w:id="32"/>
    <w:bookmarkStart w:id="3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33"/>
    <w:bookmarkStart w:id="3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34"/>
    <w:bookmarkEnd w:id="35"/>
    <w:bookmarkStart w:id="39" w:name="salvaguardias-físicas-y-técnicas"/>
    <w:p>
      <w:pPr>
        <w:pStyle w:val="Heading1"/>
      </w:pPr>
      <w:r>
        <w:t xml:space="preserve">7. Salvaguardias físicas y técnicas</w:t>
      </w:r>
    </w:p>
    <w:p>
      <w:pPr>
        <w:pStyle w:val="FirstParagraph"/>
      </w:pPr>
      <w:r>
        <w:rPr>
          <w:i/>
          <w:iCs/>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36"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pStyle w:val="Compact"/>
        <w:numPr>
          <w:ilvl w:val="0"/>
          <w:numId w:val="1011"/>
        </w:numPr>
      </w:pPr>
      <w:r>
        <w:t xml:space="preserve">Regla de Notificación de Breach</w:t>
      </w:r>
    </w:p>
    <w:p>
      <w:pPr>
        <w:pStyle w:val="FirstParagraph"/>
      </w:pPr>
      <w:r>
        <w:rPr>
          <w:i/>
          <w:iCs/>
        </w:rPr>
        <w:t xml:space="preserve">Cómo evaluar los incidentes de PHI no garantizados y cumplir con las obligaciones de notificación</w:t>
      </w:r>
      <w:r>
        <w:t xml:space="preserve">.</w:t>
      </w:r>
    </w:p>
    <w:p>
      <w:pPr>
        <w:pStyle w:val="BodyText"/>
      </w:pPr>
      <w:r>
        <w:t xml:space="preserve">■img src=</w:t>
      </w:r>
      <w:r>
        <w:t xml:space="preserve">“media/image4.png”</w:t>
      </w:r>
      <w:r>
        <w:t xml:space="preserve"> </w:t>
      </w:r>
      <w:r>
        <w:t xml:space="preserve">estilo=</w:t>
      </w:r>
      <w:r>
        <w:t xml:space="preserve">“Ancho:6.15in; Altura:3.45654in”</w:t>
      </w:r>
      <w:r>
        <w:t xml:space="preserve"> </w:t>
      </w:r>
      <w:r>
        <w:t xml:space="preserve">alt=</w:t>
      </w:r>
      <w:r>
        <w:t xml:space="preserve">“Descubrimiento, contención, evaluación, notificación y mejora de un proceso.”</w:t>
      </w:r>
      <w:r>
        <w:t xml:space="preserve"> </w:t>
      </w:r>
      <w:r>
        <w:t xml:space="preserve">/</w:t>
      </w:r>
    </w:p>
    <w:p>
      <w:pPr>
        <w:pStyle w:val="BodyText"/>
      </w:pPr>
      <w:r>
        <w:t xml:space="preserve">Figura 4. Flujo de trabajo de ruptura HIPAA</w:t>
      </w:r>
    </w:p>
    <w:bookmarkEnd w:id="36"/>
    <w:bookmarkStart w:id="37"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
          <w:bCs/>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37"/>
    <w:bookmarkStart w:id="38"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38"/>
    <w:bookmarkEnd w:id="39"/>
    <w:bookmarkStart w:id="42" w:name="business-associates-and-vendor-oversight"/>
    <w:p>
      <w:pPr>
        <w:pStyle w:val="Heading1"/>
      </w:pPr>
      <w:r>
        <w:t xml:space="preserve">9. Business Associates and Vendor Oversight</w:t>
      </w:r>
    </w:p>
    <w:p>
      <w:pPr>
        <w:pStyle w:val="Compact"/>
        <w:numPr>
          <w:ilvl w:val="0"/>
          <w:numId w:val="1012"/>
        </w:numPr>
      </w:pPr>
      <w:r>
        <w:t xml:space="preserve">Contratos, subcontratistas, diligencia debida, vigilancia, incidentes y terminación*.</w:t>
      </w:r>
    </w:p>
    <w:bookmarkStart w:id="40"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40"/>
    <w:bookmarkStart w:id="41" w:name="due-diligence"/>
    <w:p>
      <w:pPr>
        <w:pStyle w:val="Heading2"/>
      </w:pPr>
      <w:r>
        <w:t xml:space="preserve">9.2 Due diligence</w:t>
      </w:r>
    </w:p>
    <w:p>
      <w:pPr>
        <w:pStyle w:val="FirstParagraph"/>
      </w:pPr>
      <w:r>
        <w:rPr>
          <w:b/>
          <w:bCs/>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41"/>
    <w:bookmarkEnd w:id="42"/>
    <w:bookmarkStart w:id="50" w:name="X495fbf7d511b193e762e9ae2eb0c2d60491f4bb"/>
    <w:p>
      <w:pPr>
        <w:pStyle w:val="Heading1"/>
      </w:pPr>
      <w:r>
        <w:t xml:space="preserve">10. Parte 2 y Información Especial sobre Salud</w:t>
      </w:r>
    </w:p>
    <w:p>
      <w:pPr>
        <w:pStyle w:val="Compact"/>
        <w:numPr>
          <w:ilvl w:val="0"/>
          <w:numId w:val="1013"/>
        </w:numPr>
      </w:pPr>
      <w:r>
        <w:t xml:space="preserve">Registros de trastornos de uso de sustancias, salud mental, genética y otras reglas de superposición.*</w:t>
      </w:r>
    </w:p>
    <w:bookmarkStart w:id="43"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43"/>
    <w:bookmarkStart w:id="44"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44"/>
    <w:bookmarkStart w:id="45" w:name="X35cb6950fee9fb748cd8a2c93db984b7626b9d1"/>
    <w:p>
      <w:pPr>
        <w:pStyle w:val="Heading2"/>
      </w:pPr>
      <w:r>
        <w:t xml:space="preserve">10.3 Situación de la norma de salud reproductiva</w:t>
      </w:r>
    </w:p>
    <w:p>
      <w:pPr>
        <w:pStyle w:val="FirstParagraph"/>
      </w:pPr>
      <w:r>
        <w:rPr>
          <w:b/>
          <w:bCs/>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pStyle w:val="Compact"/>
        <w:numPr>
          <w:ilvl w:val="0"/>
          <w:numId w:val="1014"/>
        </w:numPr>
      </w:pPr>
      <w:r>
        <w:t xml:space="preserve">Ejecución, derecho del Estado y desarrollos actuales</w:t>
      </w:r>
    </w:p>
    <w:p>
      <w:pPr>
        <w:pStyle w:val="FirstParagraph"/>
      </w:pPr>
      <w:r>
        <w:rPr>
          <w:i/>
          <w:iCs/>
        </w:rPr>
        <w:t xml:space="preserve">Denuncias, investigaciones, sanciones, preenciones, decisiones judiciales y cambios propuestos</w:t>
      </w:r>
      <w:r>
        <w:t xml:space="preserve">.</w:t>
      </w:r>
    </w:p>
    <w:bookmarkEnd w:id="45"/>
    <w:bookmarkStart w:id="46"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46"/>
    <w:bookmarkStart w:id="47"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47"/>
    <w:bookmarkStart w:id="48"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48"/>
    <w:bookmarkStart w:id="49"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49"/>
    <w:bookmarkEnd w:id="50"/>
    <w:bookmarkStart w:id="57" w:name="X5278eae6c0e8e791f5beb8cc623814db4bafc1c"/>
    <w:p>
      <w:pPr>
        <w:pStyle w:val="Heading1"/>
      </w:pPr>
      <w:r>
        <w:t xml:space="preserve">12. Guía de requisitos reglamentarios completos</w:t>
      </w:r>
    </w:p>
    <w:p>
      <w:pPr>
        <w:pStyle w:val="FirstParagraph"/>
      </w:pPr>
      <w:r>
        <w:rPr>
          <w:i/>
          <w:iCs/>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Citación</w:t>
            </w:r>
          </w:p>
        </w:tc>
      </w:tr>
      <w:tr>
        <w:tc>
          <w:tcPr/>
          <w:p>
            <w:pPr>
              <w:pStyle w:val="Compact"/>
            </w:pPr>
            <w:r>
              <w:t xml:space="preserve">164.306</w:t>
            </w:r>
          </w:p>
        </w:tc>
      </w:tr>
      <w:tr>
        <w:tc>
          <w:tcPr/>
          <w:p>
            <w:pPr>
              <w:pStyle w:val="Compact"/>
            </w:pPr>
            <w:r>
              <w:t xml:space="preserve">TEN 164.308(a)(1)</w:t>
            </w:r>
          </w:p>
        </w:tc>
      </w:tr>
      <w:tr>
        <w:tc>
          <w:tcPr/>
          <w:p>
            <w:pPr>
              <w:pStyle w:val="Compact"/>
            </w:pPr>
            <w:r>
              <w:t xml:space="preserve">tención 164.308(a)(2)</w:t>
            </w:r>
          </w:p>
        </w:tc>
      </w:tr>
      <w:tr>
        <w:tc>
          <w:tcPr/>
          <w:p>
            <w:pPr>
              <w:pStyle w:val="Compact"/>
            </w:pPr>
            <w:r>
              <w:t xml:space="preserve">164.308(a)(3)</w:t>
            </w:r>
          </w:p>
        </w:tc>
      </w:tr>
      <w:tr>
        <w:tc>
          <w:tcPr/>
          <w:p>
            <w:pPr>
              <w:pStyle w:val="Compact"/>
            </w:pPr>
            <w:r>
              <w:t xml:space="preserve">164.308(a)(4)</w:t>
            </w:r>
          </w:p>
        </w:tc>
      </w:tr>
      <w:tr>
        <w:tc>
          <w:tcPr/>
          <w:p>
            <w:pPr>
              <w:pStyle w:val="Compact"/>
            </w:pPr>
            <w:r>
              <w:t xml:space="preserve">164.308(a)(5)</w:t>
            </w:r>
          </w:p>
        </w:tc>
      </w:tr>
      <w:tr>
        <w:tc>
          <w:tcPr/>
          <w:p>
            <w:pPr>
              <w:pStyle w:val="Compact"/>
            </w:pPr>
            <w:r>
              <w:t xml:space="preserve">tención 164.308(a)(6) Silenciosos procedimientos de incidentes de seguridad</w:t>
            </w:r>
          </w:p>
        </w:tc>
      </w:tr>
      <w:tr>
        <w:tc>
          <w:tcPr/>
          <w:p>
            <w:pPr>
              <w:pStyle w:val="Compact"/>
            </w:pPr>
            <w:r>
              <w:t xml:space="preserve">164.308(a)(7)</w:t>
            </w:r>
          </w:p>
        </w:tc>
      </w:tr>
      <w:tr>
        <w:tc>
          <w:tcPr/>
          <w:p>
            <w:pPr>
              <w:pStyle w:val="Compact"/>
            </w:pPr>
            <w:r>
              <w:t xml:space="preserve">tención 164.308(a)(8)</w:t>
            </w:r>
          </w:p>
        </w:tc>
      </w:tr>
      <w:tr>
        <w:tc>
          <w:tcPr/>
          <w:p>
            <w:pPr>
              <w:pStyle w:val="Compact"/>
            </w:pPr>
            <w:r>
              <w:t xml:space="preserve">164.308(b)</w:t>
            </w:r>
          </w:p>
        </w:tc>
      </w:tr>
      <w:tr>
        <w:tc>
          <w:tcPr/>
          <w:p>
            <w:pPr>
              <w:pStyle w:val="Compact"/>
            </w:pPr>
            <w:r>
              <w:t xml:space="preserve">tención 164.310(a) tención Controles de acceso a las instalaciones</w:t>
            </w:r>
          </w:p>
        </w:tc>
      </w:tr>
      <w:tr>
        <w:tc>
          <w:tcPr/>
          <w:p>
            <w:pPr>
              <w:pStyle w:val="Compact"/>
            </w:pPr>
            <w:r>
              <w:t xml:space="preserve">tención 164.310(b)</w:t>
            </w:r>
          </w:p>
        </w:tc>
      </w:tr>
      <w:tr>
        <w:tc>
          <w:tcPr/>
          <w:p>
            <w:pPr>
              <w:pStyle w:val="Compact"/>
            </w:pPr>
            <w:r>
              <w:t xml:space="preserve">164.310(c)</w:t>
            </w:r>
          </w:p>
        </w:tc>
      </w:tr>
      <w:tr>
        <w:tc>
          <w:tcPr/>
          <w:p>
            <w:pPr>
              <w:pStyle w:val="Compact"/>
            </w:pPr>
            <w:r>
              <w:t xml:space="preserve">TEN 164.310(d)</w:t>
            </w:r>
          </w:p>
        </w:tc>
      </w:tr>
      <w:tr>
        <w:tc>
          <w:tcPr/>
          <w:p>
            <w:pPr>
              <w:pStyle w:val="Compact"/>
            </w:pPr>
            <w:r>
              <w:t xml:space="preserve">164.312(a)</w:t>
            </w:r>
          </w:p>
        </w:tc>
      </w:tr>
      <w:tr>
        <w:tc>
          <w:tcPr/>
          <w:p>
            <w:pPr>
              <w:pStyle w:val="Compact"/>
            </w:pPr>
            <w:r>
              <w:t xml:space="preserve">tención 164.312(b)</w:t>
            </w:r>
          </w:p>
        </w:tc>
      </w:tr>
      <w:tr>
        <w:tc>
          <w:tcPr/>
          <w:p>
            <w:pPr>
              <w:pStyle w:val="Compact"/>
            </w:pPr>
            <w:r>
              <w:t xml:space="preserve">164.312(c)</w:t>
            </w:r>
          </w:p>
        </w:tc>
      </w:tr>
      <w:tr>
        <w:tc>
          <w:tcPr/>
          <w:p>
            <w:pPr>
              <w:pStyle w:val="Compact"/>
            </w:pPr>
            <w:r>
              <w:t xml:space="preserve">164.312(d)</w:t>
            </w:r>
          </w:p>
        </w:tc>
      </w:tr>
      <w:tr>
        <w:tc>
          <w:tcPr/>
          <w:p>
            <w:pPr>
              <w:pStyle w:val="Compact"/>
            </w:pPr>
            <w:r>
              <w:t xml:space="preserve">164.312(e)</w:t>
            </w:r>
          </w:p>
        </w:tc>
      </w:tr>
      <w:tr>
        <w:tc>
          <w:tcPr/>
          <w:p>
            <w:pPr>
              <w:pStyle w:val="Compact"/>
            </w:pPr>
            <w:r>
              <w:t xml:space="preserve">164.314</w:t>
            </w:r>
          </w:p>
        </w:tc>
      </w:tr>
      <w:tr>
        <w:tc>
          <w:tcPr/>
          <w:p>
            <w:pPr>
              <w:pStyle w:val="Compact"/>
            </w:pPr>
            <w:r>
              <w:t xml:space="preserve">TEN 164.316 TENRI Políticas, procedimientos y documentación TEN Aplicar políticas razonables y conservar la documentación necesaria durante seis años.</w:t>
            </w:r>
          </w:p>
        </w:tc>
      </w:tr>
    </w:tbl>
    <w:bookmarkStart w:id="51" w:name="privacy-rule"/>
    <w:p>
      <w:pPr>
        <w:pStyle w:val="Heading2"/>
      </w:pPr>
      <w:r>
        <w:t xml:space="preserve">12.2 Privacy Rule</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Citación</w:t>
            </w:r>
          </w:p>
        </w:tc>
      </w:tr>
      <w:tr>
        <w:tc>
          <w:tcPr/>
          <w:p>
            <w:pPr>
              <w:pStyle w:val="Compact"/>
            </w:pPr>
            <w:r>
              <w:t xml:space="preserve">TEN 164.502</w:t>
            </w:r>
          </w:p>
        </w:tc>
      </w:tr>
      <w:tr>
        <w:tc>
          <w:tcPr/>
          <w:p>
            <w:pPr>
              <w:pStyle w:val="Compact"/>
            </w:pPr>
            <w:r>
              <w:t xml:space="preserve">164.504</w:t>
            </w:r>
          </w:p>
        </w:tc>
      </w:tr>
      <w:tr>
        <w:tc>
          <w:tcPr/>
          <w:p>
            <w:pPr>
              <w:pStyle w:val="Compac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51"/>
    <w:bookmarkStart w:id="52" w:name="breach-notification-rule"/>
    <w:p>
      <w:pPr>
        <w:pStyle w:val="Heading2"/>
      </w:pPr>
      <w:r>
        <w:t xml:space="preserve">12.3 Breach Notification Rule</w:t>
      </w:r>
    </w:p>
    <w:p>
      <w:pPr>
        <w:pStyle w:val="FirstParagraph"/>
      </w:pPr>
      <w:r>
        <w:rPr>
          <w:b/>
          <w:bCs/>
        </w:rPr>
        <w:t xml:space="preserve">Citación</w:t>
      </w:r>
      <w:r>
        <w:t xml:space="preserve"> </w:t>
      </w:r>
      <w:r>
        <w:t xml:space="preserve">|</w:t>
      </w:r>
      <w:r>
        <w:t xml:space="preserve"> </w:t>
      </w:r>
      <w:r>
        <w:rPr>
          <w:b/>
          <w:bCs/>
        </w:rPr>
        <w:t xml:space="preserve">Requisito</w:t>
      </w:r>
      <w:r>
        <w:t xml:space="preserve"> </w:t>
      </w:r>
      <w:r>
        <w:t xml:space="preserve">|</w:t>
      </w:r>
      <w:r>
        <w:t xml:space="preserve"> </w:t>
      </w:r>
      <w:r>
        <w:rPr>
          <w:b/>
          <w:bCs/>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52"/>
    <w:bookmarkStart w:id="53"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53"/>
    <w:bookmarkStart w:id="54"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BodyText"/>
      </w:pPr>
      <w:r>
        <w:t xml:space="preserve">Altura:3.56987in” alt=</w:t>
      </w:r>
      <w:r>
        <w:t xml:space="preserve">“Empieza con el requisito y el alcance, prueba el control, las excepciones correctas y la prueba antes de concluir.”</w:t>
      </w:r>
      <w:r>
        <w:t xml:space="preserve"> </w:t>
      </w:r>
      <w:r>
        <w:t xml:space="preserve">/ Propiedad</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54"/>
    <w:bookmarkStart w:id="55" w:name="pruebas-de-verificación-práctica"/>
    <w:p>
      <w:pPr>
        <w:pStyle w:val="Heading2"/>
      </w:pPr>
      <w:r>
        <w:t xml:space="preserve">12.6 Pruebas de verificación práctica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Área de control</w:t>
            </w:r>
            <w:r>
              <w:t xml:space="preserve"> </w:t>
            </w:r>
            <w:r>
              <w:t xml:space="preserve">Silencioso</w:t>
            </w:r>
            <w:r>
              <w:t xml:space="preserve"> </w:t>
            </w:r>
            <w:r>
              <w:rPr>
                <w:b/>
                <w:bCs/>
              </w:rPr>
              <w:t xml:space="preserve">Populación y muestra</w:t>
            </w:r>
          </w:p>
        </w:tc>
      </w:tr>
      <w:tr>
        <w:tc>
          <w:tcPr/>
          <w:p>
            <w:pPr>
              <w:pStyle w:val="Compact"/>
            </w:pPr>
            <w:r>
              <w:t xml:space="preserve">Acceso terminado TEN Todas las terminaciones de la fuerza laboral en el período; muestra de salidas de mayor riesgo y corrientes</w:t>
            </w:r>
          </w:p>
        </w:tc>
      </w:tr>
      <w:tr>
        <w:tc>
          <w:tcPr/>
          <w:p>
            <w:pPr>
              <w:pStyle w:val="Compact"/>
            </w:pPr>
            <w:r>
              <w:t xml:space="preserve">tención Revisión periódica de acceso</w:t>
            </w:r>
          </w:p>
        </w:tc>
      </w:tr>
      <w:tr>
        <w:tc>
          <w:tcPr/>
          <w:p>
            <w:pPr>
              <w:pStyle w:val="Compac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55"/>
    <w:bookmarkStart w:id="56" w:name="confiabilidad-de-la-evidencia"/>
    <w:p>
      <w:pPr>
        <w:pStyle w:val="Heading2"/>
      </w:pPr>
      <w:r>
        <w:t xml:space="preserve">12.7 Confiabilidad de la evidencia</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La calidad de la prueba</w:t>
            </w:r>
            <w:r>
              <w:t xml:space="preserve"> </w:t>
            </w:r>
            <w:r>
              <w:t xml:space="preserve">Silencioso**</w:t>
            </w:r>
          </w:p>
        </w:tc>
      </w:tr>
      <w:tr>
        <w:tc>
          <w:tcPr/>
          <w:p>
            <w:pPr>
              <w:pStyle w:val="Compact"/>
            </w:pPr>
            <w:r>
              <w:t xml:space="preserve">TEN Weak</w:t>
            </w:r>
          </w:p>
        </w:tc>
      </w:tr>
      <w:tr>
        <w:tc>
          <w:tcPr/>
          <w:p>
            <w:pPr>
              <w:pStyle w:val="Compac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
          <w:bCs/>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56"/>
    <w:bookmarkEnd w:id="57"/>
    <w:bookmarkStart w:id="61" w:name="manual-de-hipaa-para-gerentes"/>
    <w:p>
      <w:pPr>
        <w:pStyle w:val="Heading1"/>
      </w:pPr>
      <w:r>
        <w:t xml:space="preserve">13. Manual de HIPAA para gerentes</w:t>
      </w:r>
    </w:p>
    <w:p>
      <w:pPr>
        <w:pStyle w:val="FirstParagraph"/>
      </w:pPr>
      <w:r>
        <w:rPr>
          <w:i/>
          <w:iCs/>
        </w:rPr>
        <w:t xml:space="preserve">Las preguntas, los paneles, las reuniones y los administradores de decisiones deben controlarse</w:t>
      </w:r>
      <w:r>
        <w:t xml:space="preserve">.</w:t>
      </w:r>
    </w:p>
    <w:bookmarkStart w:id="58"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58"/>
    <w:bookmarkStart w:id="59" w:name="dashboard-mensual"/>
    <w:p>
      <w:pPr>
        <w:pStyle w:val="Heading2"/>
      </w:pPr>
      <w:r>
        <w:t xml:space="preserve">13.2 Dashboard mensual</w:t>
      </w:r>
    </w:p>
    <w:p>
      <w:pPr>
        <w:pStyle w:val="FirstParagraph"/>
      </w:pPr>
      <w:r>
        <w:rPr>
          <w:b/>
          <w:bCs/>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59"/>
    <w:bookmarkStart w:id="60"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60"/>
    <w:bookmarkEnd w:id="61"/>
    <w:bookmarkStart w:id="65" w:name="from-beginner-to-junior-hipaa-analista"/>
    <w:p>
      <w:pPr>
        <w:pStyle w:val="Heading1"/>
      </w:pPr>
      <w:r>
        <w:t xml:space="preserve">14. From Beginner to Junior HIPAA Analista</w:t>
      </w:r>
    </w:p>
    <w:p>
      <w:pPr>
        <w:pStyle w:val="FirstParagraph"/>
      </w:pPr>
      <w:r>
        <w:rPr>
          <w:i/>
          <w:iCs/>
        </w:rPr>
        <w:t xml:space="preserve">Un camino seguro y honesto a la privacidad, seguridad y cumplimiento.</w:t>
      </w:r>
    </w:p>
    <w:p>
      <w:pPr>
        <w:pStyle w:val="BodyText"/>
      </w:pPr>
      <w:r>
        <w:t xml:space="preserve">■img src=</w:t>
      </w:r>
      <w:r>
        <w:t xml:space="preserve">“media/image6.png”</w:t>
      </w:r>
      <w:r>
        <w:t xml:space="preserve"> </w:t>
      </w:r>
      <w:r>
        <w:t xml:space="preserve">style=</w:t>
      </w:r>
      <w:r>
        <w:t xml:space="preserve">“width:6.15in;height:3.31039in”</w:t>
      </w:r>
      <w:r>
        <w:t xml:space="preserve"> </w:t>
      </w:r>
      <w:r>
        <w:t xml:space="preserve">alt=</w:t>
      </w:r>
      <w:r>
        <w:t xml:space="preserve">“Aprendizaje, mapeo, pruebas, documentación y aplicación de empleo forman una trayectoria profesional”</w:t>
      </w:r>
      <w:r>
        <w:t xml:space="preserve">. /</w:t>
      </w:r>
    </w:p>
    <w:p>
      <w:pPr>
        <w:pStyle w:val="BodyText"/>
      </w:pPr>
      <w:r>
        <w:t xml:space="preserve">Figura 5. Vía analista Junior HIPAA</w:t>
      </w:r>
    </w:p>
    <w:bookmarkStart w:id="62"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62"/>
    <w:bookmarkStart w:id="63"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63"/>
    <w:bookmarkStart w:id="64" w:name="portafolio-proof"/>
    <w:p>
      <w:pPr>
        <w:pStyle w:val="Heading2"/>
      </w:pPr>
      <w:r>
        <w:t xml:space="preserve">14.3 Portafolio proof</w:t>
      </w:r>
    </w:p>
    <w:p>
      <w:pPr>
        <w:pStyle w:val="FirstParagraph"/>
      </w:pPr>
      <w:r>
        <w:rPr>
          <w:b/>
          <w:bCs/>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64"/>
    <w:bookmarkEnd w:id="65"/>
    <w:bookmarkStart w:id="103" w:name="Xaf135cf7954024c63da62587a94dc203ff1f275"/>
    <w:p>
      <w:pPr>
        <w:pStyle w:val="Heading1"/>
      </w:pPr>
      <w:r>
        <w:t xml:space="preserve">15. Herramientas de código abierto para el trabajo HIPAA</w:t>
      </w:r>
    </w:p>
    <w:p>
      <w:pPr>
        <w:pStyle w:val="Compact"/>
        <w:numPr>
          <w:ilvl w:val="0"/>
          <w:numId w:val="1020"/>
        </w:numPr>
      </w:pPr>
      <w:r>
        <w:t xml:space="preserve">Enlaces oficiales, inicios rápidos seguros, pruebas y limitaciones.*</w:t>
      </w:r>
    </w:p>
    <w:p>
      <w:pPr>
        <w:pStyle w:val="FirstParagraph"/>
      </w:pPr>
      <w:r>
        <w:t xml:space="preserve">tención</w:t>
      </w:r>
      <w:r>
        <w:t xml:space="preserve"> </w:t>
      </w:r>
      <w:r>
        <w:rPr>
          <w:b/>
          <w:bCs/>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w:t>
            </w:r>
          </w:p>
        </w:tc>
      </w:tr>
      <w:tr>
        <w:tc>
          <w:tcPr/>
          <w:p>
            <w:pPr>
              <w:pStyle w:val="Compact"/>
            </w:pPr>
            <w:r>
              <w:t xml:space="preserve">CISO Assistant</w:t>
            </w:r>
          </w:p>
        </w:tc>
      </w:tr>
      <w:tr>
        <w:tc>
          <w:tcPr/>
          <w:p>
            <w:pPr>
              <w:pStyle w:val="Compact"/>
            </w:pPr>
            <w:r>
              <w:t xml:space="preserve">tención Wazuh ← SIEM, monitoreo de puntos finales, integridad de archivos</w:t>
            </w:r>
          </w:p>
        </w:tc>
      </w:tr>
      <w:tr>
        <w:tc>
          <w:tcPr/>
          <w:p>
            <w:pPr>
              <w:pStyle w:val="Compact"/>
            </w:pPr>
            <w:r>
              <w:t xml:space="preserve">TEN OpenSCAP</w:t>
            </w:r>
          </w:p>
        </w:tc>
      </w:tr>
      <w:tr>
        <w:tc>
          <w:tcPr/>
          <w:p>
            <w:pPr>
              <w:pStyle w:val="Compact"/>
            </w:pPr>
            <w:r>
              <w:t xml:space="preserve">Greenbone Community Edition ← Vulnerability escanear ← Análisis de riesgos, operación de salvaguardia, evidencia o remediación</w:t>
            </w:r>
          </w:p>
        </w:tc>
      </w:tr>
      <w:tr>
        <w:tc>
          <w:tcPr/>
          <w:p>
            <w:pPr>
              <w:pStyle w:val="Compact"/>
            </w:pPr>
            <w:r>
              <w:t xml:space="preserve">osquery</w:t>
            </w:r>
          </w:p>
        </w:tc>
      </w:tr>
      <w:tr>
        <w:tc>
          <w:tcPr/>
          <w:p>
            <w:pPr>
              <w:pStyle w:val="Compact"/>
            </w:pPr>
            <w:r>
              <w:t xml:space="preserve">tención Trivy</w:t>
            </w:r>
          </w:p>
        </w:tc>
      </w:tr>
      <w:tr>
        <w:tc>
          <w:tcPr/>
          <w:p>
            <w:pPr>
              <w:pStyle w:val="Compact"/>
            </w:pPr>
            <w:r>
              <w:t xml:space="preserve">OWASP ZAP</w:t>
            </w:r>
          </w:p>
        </w:tc>
      </w:tr>
      <w:tr>
        <w:tc>
          <w:tcPr/>
          <w:p>
            <w:pPr>
              <w:pStyle w:val="Compact"/>
            </w:pPr>
            <w:r>
              <w:t xml:space="preserve">← Keycloak</w:t>
            </w:r>
          </w:p>
        </w:tc>
      </w:tr>
      <w:tr>
        <w:tc>
          <w:tcPr/>
          <w:p>
            <w:pPr>
              <w:pStyle w:val="Compact"/>
            </w:pPr>
            <w:r>
              <w:t xml:space="preserve">← DefectDojo</w:t>
            </w:r>
          </w:p>
        </w:tc>
      </w:tr>
      <w:tr>
        <w:tc>
          <w:tcPr/>
          <w:p>
            <w:pPr>
              <w:pStyle w:val="Compact"/>
            </w:pPr>
            <w:r>
              <w:t xml:space="preserve">Velociraptor</w:t>
            </w:r>
          </w:p>
        </w:tc>
      </w:tr>
      <w:tr>
        <w:tc>
          <w:tcPr/>
          <w:p>
            <w:pPr>
              <w:pStyle w:val="Compact"/>
            </w:pPr>
            <w:r>
              <w:t xml:space="preserve">TEN Open Policy Agent</w:t>
            </w:r>
          </w:p>
        </w:tc>
      </w:tr>
    </w:tbl>
    <w:bookmarkStart w:id="66" w:name="X9c695fc9e4dfd97e8824155c30b22bca2e3d583"/>
    <w:p>
      <w:pPr>
        <w:pStyle w:val="Heading2"/>
      </w:pPr>
      <w:r>
        <w:t xml:space="preserve">15.1 Matriz de verificación de la herramienta a la adquisición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Herramienta o recurso</w:t>
            </w:r>
          </w:p>
        </w:tc>
      </w:tr>
      <w:tr>
        <w:tc>
          <w:tcPr/>
          <w:p>
            <w:pPr>
              <w:pStyle w:val="Compact"/>
            </w:pPr>
            <w:r>
              <w:t xml:space="preserve">TEN CISO Assistant TEN 164.308(a)(1), 164.316, proveedor y gobernanza de pruebas TENER Map EPHI riesgos para las salvaguardias, propietarios, evidencias, hallazgos y tratamiento</w:t>
            </w:r>
          </w:p>
        </w:tc>
      </w:tr>
      <w:tr>
        <w:tc>
          <w:tcPr/>
          <w:p>
            <w:pPr>
              <w:pStyle w:val="Compact"/>
            </w:pPr>
            <w:r>
              <w:t xml:space="preserve">HHS/ONC SRA Tool</w:t>
            </w:r>
          </w:p>
        </w:tc>
      </w:tr>
      <w:tr>
        <w:tc>
          <w:tcPr/>
          <w:p>
            <w:pPr>
              <w:pStyle w:val="Compact"/>
            </w:pPr>
            <w:r>
              <w:t xml:space="preserve">osquery</w:t>
            </w:r>
          </w:p>
        </w:tc>
      </w:tr>
      <w:tr>
        <w:tc>
          <w:tcPr/>
          <w:p>
            <w:pPr>
              <w:pStyle w:val="Compact"/>
            </w:pPr>
            <w:r>
              <w:t xml:space="preserve">Keycloak</w:t>
            </w:r>
          </w:p>
        </w:tc>
      </w:tr>
      <w:tr>
        <w:tc>
          <w:tcPr/>
          <w:p>
            <w:pPr>
              <w:pStyle w:val="Compac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pPr>
            <w:r>
              <w:t xml:space="preserve">Greenbone</w:t>
            </w:r>
          </w:p>
        </w:tc>
      </w:tr>
      <w:tr>
        <w:tc>
          <w:tcPr/>
          <w:p>
            <w:pPr>
              <w:pStyle w:val="Compact"/>
            </w:pPr>
            <w:r>
              <w:t xml:space="preserve">Trivy</w:t>
            </w:r>
          </w:p>
        </w:tc>
      </w:tr>
      <w:tr>
        <w:tc>
          <w:tcPr/>
          <w:p>
            <w:pPr>
              <w:pStyle w:val="Compact"/>
            </w:pPr>
            <w:r>
              <w:t xml:space="preserve">OWASP ZAP TEN 164.308(a)(8), 164.312(c) y (e)</w:t>
            </w:r>
          </w:p>
        </w:tc>
      </w:tr>
      <w:tr>
        <w:tc>
          <w:tcPr/>
          <w:p>
            <w:pPr>
              <w:pStyle w:val="Compact"/>
            </w:pPr>
            <w:r>
              <w:t xml:space="preserve">DefectDojo</w:t>
            </w:r>
          </w:p>
        </w:tc>
      </w:tr>
      <w:tr>
        <w:tc>
          <w:tcPr/>
          <w:p>
            <w:pPr>
              <w:pStyle w:val="Compact"/>
            </w:pPr>
            <w:r>
              <w:t xml:space="preserve">Velociraptor</w:t>
            </w:r>
          </w:p>
        </w:tc>
      </w:tr>
      <w:tr>
        <w:tc>
          <w:tcPr/>
          <w:p>
            <w:pPr>
              <w:pStyle w:val="Compact"/>
            </w:pPr>
            <w:r>
              <w:t xml:space="preserve">TEN Open Policy Agent TEN 164.308(a)(1), 164.312(a) y (c)</w:t>
            </w:r>
          </w:p>
        </w:tc>
      </w:tr>
    </w:tbl>
    <w:bookmarkEnd w:id="66"/>
    <w:bookmarkStart w:id="67"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67"/>
    <w:bookmarkStart w:id="68"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FirstParagraph"/>
      </w:pPr>
      <w:r>
        <w:t xml:space="preserve">“Un informe no es prueba, autorización, validación, remediación y retesting crear la cadena de evidencia”</w:t>
      </w:r>
      <w:r>
        <w:t xml:space="preserve"> </w:t>
      </w:r>
      <w:r>
        <w:t xml:space="preserve">(No es una prueba única).</w:t>
      </w:r>
    </w:p>
    <w:p>
      <w:pPr>
        <w:pStyle w:val="BodyText"/>
      </w:pPr>
      <w:r>
        <w:t xml:space="preserve">Gráfico 7 De la producción de herramientas a la evidencia de cumplimiento</w:t>
      </w:r>
    </w:p>
    <w:bookmarkEnd w:id="68"/>
    <w:bookmarkStart w:id="70" w:name="ciso-assistant"/>
    <w:p>
      <w:pPr>
        <w:pStyle w:val="Heading2"/>
      </w:pPr>
      <w:r>
        <w:t xml:space="preserve">15.4 CISO Assistant</w:t>
      </w:r>
    </w:p>
    <w:p>
      <w:pPr>
        <w:pStyle w:val="FirstParagraph"/>
      </w:pPr>
      <w:r>
        <w:t xml:space="preserve">GRC, riesgos, controles, evidencia.</w:t>
      </w:r>
    </w:p>
    <w:p>
      <w:pPr>
        <w:pStyle w:val="BodyText"/>
      </w:pPr>
      <w:r>
        <w:rPr>
          <w:b/>
          <w:bCs/>
        </w:rPr>
        <w:t xml:space="preserve">Documentación y configuración oficiales</w:t>
      </w:r>
      <w:r>
        <w:t xml:space="preserve"> </w:t>
      </w:r>
      <w:r>
        <w:t xml:space="preserve">Abra la guía oficial de asistentes CISO(https://intuitem.gitbook.io/ciso-assistant)</w:t>
      </w:r>
    </w:p>
    <w:bookmarkStart w:id="69"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69"/>
    <w:bookmarkEnd w:id="70"/>
    <w:bookmarkStart w:id="71"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71"/>
    <w:bookmarkStart w:id="73" w:name="wazuh"/>
    <w:p>
      <w:pPr>
        <w:pStyle w:val="Heading2"/>
      </w:pPr>
      <w:r>
        <w:t xml:space="preserve">15.5 Wazuh</w:t>
      </w:r>
    </w:p>
    <w:p>
      <w:pPr>
        <w:pStyle w:val="FirstParagraph"/>
      </w:pPr>
      <w:r>
        <w:t xml:space="preserve">SIEM, monitoreo de puntos finales, integridad de archivos.</w:t>
      </w:r>
    </w:p>
    <w:p>
      <w:pPr>
        <w:pStyle w:val="BodyText"/>
      </w:pPr>
      <w:r>
        <w:rPr>
          <w:b/>
          <w:bCs/>
        </w:rPr>
        <w:t xml:space="preserve">Documentación y configuración oficiales</w:t>
      </w:r>
      <w:r>
        <w:t xml:space="preserve"> </w:t>
      </w:r>
      <w:r>
        <w:t xml:space="preserve">Abra la guía oficial Wazuh realizada/u título](https://documentation.wazuh.com/current/quickstart.html)</w:t>
      </w:r>
    </w:p>
    <w:bookmarkStart w:id="72"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72"/>
    <w:bookmarkEnd w:id="73"/>
    <w:bookmarkStart w:id="74"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74"/>
    <w:bookmarkStart w:id="76" w:name="openscap"/>
    <w:p>
      <w:pPr>
        <w:pStyle w:val="Heading2"/>
      </w:pPr>
      <w:r>
        <w:t xml:space="preserve">15.6 OpenSCAP</w:t>
      </w:r>
    </w:p>
    <w:p>
      <w:pPr>
        <w:pStyle w:val="FirstParagraph"/>
      </w:pPr>
      <w:r>
        <w:t xml:space="preserve">Evaluación de configuración de Linux.</w:t>
      </w:r>
    </w:p>
    <w:p>
      <w:pPr>
        <w:pStyle w:val="BodyText"/>
      </w:pPr>
      <w:r>
        <w:rPr>
          <w:b/>
          <w:bCs/>
        </w:rPr>
        <w:t xml:space="preserve">Característica y configuración:</w:t>
      </w:r>
      <w:r>
        <w:t xml:space="preserve"> </w:t>
      </w:r>
      <w:r>
        <w:t xml:space="preserve">[ejecutado]Abre la guía oficial OpenSCAP realizada/u contacto](https://www.open-scap.org/getting-started/)</w:t>
      </w:r>
    </w:p>
    <w:bookmarkStart w:id="75"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75"/>
    <w:bookmarkEnd w:id="76"/>
    <w:bookmarkStart w:id="77"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77"/>
    <w:bookmarkStart w:id="79" w:name="greenbone-community-edition"/>
    <w:p>
      <w:pPr>
        <w:pStyle w:val="Heading2"/>
      </w:pPr>
      <w:r>
        <w:t xml:space="preserve">15.7 Greenbone Community Edition</w:t>
      </w:r>
    </w:p>
    <w:p>
      <w:pPr>
        <w:pStyle w:val="FirstParagraph"/>
      </w:pPr>
      <w:r>
        <w:t xml:space="preserve">Escaneo de vulnerabilidad.</w:t>
      </w:r>
    </w:p>
    <w:p>
      <w:pPr>
        <w:pStyle w:val="BodyText"/>
      </w:pPr>
      <w:r>
        <w:rPr>
          <w:b/>
          <w:bCs/>
        </w:rPr>
        <w:t xml:space="preserve">Documentación y configuración oficiales:</w:t>
      </w:r>
      <w:r>
        <w:t xml:space="preserve"> </w:t>
      </w:r>
      <w:r>
        <w:t xml:space="preserve">[Seguridad]Abre la guía oficial Greenbone Community Edition realizada/u contactos](https://greenbone.github.io/docs/latest/)</w:t>
      </w:r>
    </w:p>
    <w:bookmarkStart w:id="78"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78"/>
    <w:bookmarkEnd w:id="79"/>
    <w:bookmarkStart w:id="80"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0"/>
    <w:bookmarkStart w:id="82" w:name="osquery"/>
    <w:p>
      <w:pPr>
        <w:pStyle w:val="Heading2"/>
      </w:pPr>
      <w:r>
        <w:t xml:space="preserve">15.8 osquery</w:t>
      </w:r>
    </w:p>
    <w:p>
      <w:pPr>
        <w:pStyle w:val="FirstParagraph"/>
      </w:pPr>
      <w:r>
        <w:t xml:space="preserve">Fin de inventario y consultas.</w:t>
      </w:r>
    </w:p>
    <w:p>
      <w:pPr>
        <w:pStyle w:val="BodyText"/>
      </w:pPr>
      <w:r>
        <w:rPr>
          <w:b/>
          <w:bCs/>
        </w:rPr>
        <w:t xml:space="preserve">Documentación y configuración oficiales:</w:t>
      </w:r>
      <w:r>
        <w:t xml:space="preserve"> </w:t>
      </w:r>
      <w:r>
        <w:t xml:space="preserve">[Seguridad]Abre la guía oficial del osquery realizada/u contacto](https://osquery.readthedocs.io/en/stable/)</w:t>
      </w:r>
    </w:p>
    <w:bookmarkStart w:id="81"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81"/>
    <w:bookmarkEnd w:id="82"/>
    <w:bookmarkStart w:id="83"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3"/>
    <w:bookmarkStart w:id="85" w:name="trivy"/>
    <w:p>
      <w:pPr>
        <w:pStyle w:val="Heading2"/>
      </w:pPr>
      <w:r>
        <w:t xml:space="preserve">15.9 Trivy</w:t>
      </w:r>
    </w:p>
    <w:p>
      <w:pPr>
        <w:pStyle w:val="FirstParagraph"/>
      </w:pPr>
      <w:r>
        <w:t xml:space="preserve">Código, imagen, secreto y análisis de configuración.</w:t>
      </w:r>
    </w:p>
    <w:p>
      <w:pPr>
        <w:pStyle w:val="BodyText"/>
      </w:pPr>
      <w:r>
        <w:rPr>
          <w:b/>
          <w:bCs/>
        </w:rPr>
        <w:t xml:space="preserve">Documentación y configuración oficiales</w:t>
      </w:r>
      <w:r>
        <w:t xml:space="preserve"> </w:t>
      </w:r>
      <w:r>
        <w:t xml:space="preserve">Abra la guía oficial Trivy realizada/u título](https://trivy.dev/latest/)</w:t>
      </w:r>
    </w:p>
    <w:bookmarkStart w:id="84"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84"/>
    <w:bookmarkEnd w:id="85"/>
    <w:bookmarkStart w:id="86"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6"/>
    <w:bookmarkStart w:id="88" w:name="owasp-zap"/>
    <w:p>
      <w:pPr>
        <w:pStyle w:val="Heading2"/>
      </w:pPr>
      <w:r>
        <w:t xml:space="preserve">15.10 OWASP ZAP</w:t>
      </w:r>
    </w:p>
    <w:p>
      <w:pPr>
        <w:pStyle w:val="FirstParagraph"/>
      </w:pPr>
      <w:r>
        <w:t xml:space="preserve">Pruebas de aplicación web autorizadas.</w:t>
      </w:r>
    </w:p>
    <w:p>
      <w:pPr>
        <w:pStyle w:val="BodyText"/>
      </w:pPr>
      <w:r>
        <w:rPr>
          <w:b/>
          <w:bCs/>
        </w:rPr>
        <w:t xml:space="preserve">Documentación y configuración oficiales</w:t>
      </w:r>
      <w:r>
        <w:t xml:space="preserve"> </w:t>
      </w:r>
      <w:r>
        <w:t xml:space="preserve">Abra la guía oficial OWASP ZAP efectuada / u fiel](https://www.zaproxy.org/getting-started/)</w:t>
      </w:r>
    </w:p>
    <w:bookmarkStart w:id="87"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87"/>
    <w:bookmarkEnd w:id="88"/>
    <w:bookmarkStart w:id="89"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89"/>
    <w:bookmarkStart w:id="91" w:name="keycloak"/>
    <w:p>
      <w:pPr>
        <w:pStyle w:val="Heading2"/>
      </w:pPr>
      <w:r>
        <w:t xml:space="preserve">15.11 Keycloak</w:t>
      </w:r>
    </w:p>
    <w:p>
      <w:pPr>
        <w:pStyle w:val="FirstParagraph"/>
      </w:pPr>
      <w:r>
        <w:t xml:space="preserve">Identidad, roles, autenticación, MFA.</w:t>
      </w:r>
    </w:p>
    <w:p>
      <w:pPr>
        <w:pStyle w:val="BodyText"/>
      </w:pPr>
      <w:r>
        <w:rPr>
          <w:b/>
          <w:bCs/>
        </w:rPr>
        <w:t xml:space="preserve">Característica y configuración:</w:t>
      </w:r>
      <w:r>
        <w:t xml:space="preserve"> </w:t>
      </w:r>
      <w:r>
        <w:t xml:space="preserve">[ejecutado]Abre la guía oficial de Keycloak realizada/u contacto](https://www.keycloak.org/guides)</w:t>
      </w:r>
    </w:p>
    <w:bookmarkStart w:id="90"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90"/>
    <w:bookmarkEnd w:id="91"/>
    <w:bookmarkStart w:id="92"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2"/>
    <w:bookmarkStart w:id="94" w:name="defectodojo"/>
    <w:p>
      <w:pPr>
        <w:pStyle w:val="Heading2"/>
      </w:pPr>
      <w:r>
        <w:t xml:space="preserve">15.12 DefectoDojo</w:t>
      </w:r>
    </w:p>
    <w:p>
      <w:pPr>
        <w:pStyle w:val="FirstParagraph"/>
      </w:pPr>
      <w:r>
        <w:t xml:space="preserve">Encontrar captación y seguimiento de remediación.</w:t>
      </w:r>
    </w:p>
    <w:p>
      <w:pPr>
        <w:pStyle w:val="BodyText"/>
      </w:pPr>
      <w:r>
        <w:rPr>
          <w:b/>
          <w:bCs/>
        </w:rPr>
        <w:t xml:space="preserve">Característica y configuración:</w:t>
      </w:r>
      <w:r>
        <w:t xml:space="preserve"> </w:t>
      </w:r>
      <w:r>
        <w:t xml:space="preserve">[ejecutado]Abre el defecto oficialDojo guía seleccionada/u contacto](https://docs.defectdojo.com/)</w:t>
      </w:r>
    </w:p>
    <w:bookmarkStart w:id="93"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93"/>
    <w:bookmarkEnd w:id="94"/>
    <w:bookmarkStart w:id="96"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
          <w:bCs/>
        </w:rPr>
        <w:t xml:space="preserve">Documentación y configuración oficiales</w:t>
      </w:r>
      <w:r>
        <w:t xml:space="preserve"> </w:t>
      </w:r>
      <w:r>
        <w:t xml:space="preserve">Abra la guía oficial Velociraptor realizada/u título](https://docs.velociraptor.app/)</w:t>
      </w:r>
    </w:p>
    <w:bookmarkStart w:id="95"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95"/>
    <w:bookmarkEnd w:id="96"/>
    <w:bookmarkStart w:id="97"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97"/>
    <w:bookmarkStart w:id="99" w:name="open-policy-agent"/>
    <w:p>
      <w:pPr>
        <w:pStyle w:val="Heading2"/>
      </w:pPr>
      <w:r>
        <w:t xml:space="preserve">15.14 Open Policy Agent</w:t>
      </w:r>
    </w:p>
    <w:p>
      <w:pPr>
        <w:pStyle w:val="FirstParagraph"/>
      </w:pPr>
      <w:r>
        <w:t xml:space="preserve">Política como código.</w:t>
      </w:r>
    </w:p>
    <w:p>
      <w:pPr>
        <w:pStyle w:val="BodyText"/>
      </w:pPr>
      <w:r>
        <w:rPr>
          <w:b/>
          <w:bCs/>
        </w:rPr>
        <w:t xml:space="preserve">Documentación y configuración oficiales</w:t>
      </w:r>
      <w:r>
        <w:t xml:space="preserve"> </w:t>
      </w:r>
      <w:r>
        <w:t xml:space="preserve">Abra la guía oficial de Agentes de Política Abierta(https://www.openpolicyagent.org/docs)</w:t>
      </w:r>
    </w:p>
    <w:bookmarkStart w:id="98"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98"/>
    <w:bookmarkEnd w:id="99"/>
    <w:bookmarkStart w:id="100"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0"/>
    <w:bookmarkStart w:id="101"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01"/>
    <w:bookmarkStart w:id="102"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02"/>
    <w:bookmarkEnd w:id="103"/>
    <w:bookmarkStart w:id="120" w:name="X0c1d7be92e05c2db97337c84d6ca2641d277003"/>
    <w:p>
      <w:pPr>
        <w:pStyle w:val="Heading1"/>
      </w:pPr>
      <w:r>
        <w:t xml:space="preserve">16. Fictional Healthcare Laboratory and Portfolio</w:t>
      </w:r>
    </w:p>
    <w:p>
      <w:pPr>
        <w:pStyle w:val="FirstParagraph"/>
      </w:pPr>
      <w:r>
        <w:rPr>
          <w:i/>
          <w:iCs/>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04"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04"/>
    <w:bookmarkStart w:id="105"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05"/>
    <w:bookmarkStart w:id="106"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06"/>
    <w:bookmarkStart w:id="107"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07"/>
    <w:bookmarkStart w:id="108"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pStyle w:val="Compact"/>
        <w:numPr>
          <w:ilvl w:val="0"/>
          <w:numId w:val="1024"/>
        </w:numPr>
      </w:pPr>
      <w:r>
        <w:t xml:space="preserve">Plan de aprendizaje de 30 días</w:t>
      </w:r>
    </w:p>
    <w:p>
      <w:pPr>
        <w:pStyle w:val="FirstParagraph"/>
      </w:pPr>
      <w:r>
        <w:rPr>
          <w:i/>
          <w:iCs/>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tblPr>
      <w:tblGrid>
        <w:gridCol w:w="7920"/>
      </w:tblGrid>
      <w:tr>
        <w:trPr>
          <w:tblHeader w:val="on"/>
        </w:trPr>
        <w:tc>
          <w:tcPr/>
          <w:p>
            <w:pPr>
              <w:pStyle w:val="Compact"/>
            </w:pPr>
            <w:r>
              <w:rPr>
                <w:b/>
                <w:bCs/>
              </w:rPr>
              <w:t xml:space="preserve">Week</w:t>
            </w:r>
          </w:p>
        </w:tc>
      </w:tr>
      <w:tr>
        <w:tc>
          <w:tcPr/>
          <w:p>
            <w:pPr>
              <w:pStyle w:val="Compac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08"/>
    <w:bookmarkStart w:id="109"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pStyle w:val="Compact"/>
        <w:numPr>
          <w:ilvl w:val="0"/>
          <w:numId w:val="1025"/>
        </w:numPr>
      </w:pPr>
      <w:r>
        <w:t xml:space="preserve">Preparación de entrevistas</w:t>
      </w:r>
    </w:p>
    <w:p>
      <w:pPr>
        <w:pStyle w:val="FirstParagraph"/>
      </w:pPr>
      <w:r>
        <w:rPr>
          <w:i/>
          <w:iCs/>
        </w:rPr>
        <w:t xml:space="preserve">Preguntas y respuestas cortas para analistas y administradores.</w:t>
      </w:r>
    </w:p>
    <w:bookmarkEnd w:id="109"/>
    <w:bookmarkStart w:id="110"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10"/>
    <w:bookmarkStart w:id="111"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11"/>
    <w:bookmarkStart w:id="112"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12"/>
    <w:bookmarkStart w:id="113"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13"/>
    <w:bookmarkStart w:id="114"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14"/>
    <w:bookmarkStart w:id="115"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15"/>
    <w:bookmarkStart w:id="116"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16"/>
    <w:bookmarkStart w:id="117"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17"/>
    <w:bookmarkStart w:id="118"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18"/>
    <w:bookmarkStart w:id="119" w:name="X7b79c52f5596d92db90439bb8138b84f290985c"/>
    <w:p>
      <w:pPr>
        <w:pStyle w:val="Heading2"/>
      </w:pPr>
      <w:r>
        <w:t xml:space="preserve">18.1 Respuesta del administrador de 60 segundos</w:t>
      </w:r>
    </w:p>
    <w:p>
      <w:pPr>
        <w:pStyle w:val="Compact"/>
        <w:numPr>
          <w:ilvl w:val="0"/>
          <w:numId w:val="1026"/>
        </w:numPr>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19"/>
    <w:bookmarkEnd w:id="120"/>
    <w:bookmarkStart w:id="126" w:name="plantillas-y-listas-de-verificación"/>
    <w:p>
      <w:pPr>
        <w:pStyle w:val="Heading1"/>
      </w:pPr>
      <w:r>
        <w:t xml:space="preserve">19. Plantillas y listas de verificación</w:t>
      </w:r>
    </w:p>
    <w:p>
      <w:pPr>
        <w:pStyle w:val="Compact"/>
        <w:numPr>
          <w:ilvl w:val="0"/>
          <w:numId w:val="1027"/>
        </w:numPr>
      </w:pPr>
      <w:r>
        <w:t xml:space="preserve">Estructuras prácticas para un sistema de organización aprobado*.</w:t>
      </w:r>
    </w:p>
    <w:bookmarkStart w:id="121"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21"/>
    <w:bookmarkStart w:id="122"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22"/>
    <w:bookmarkStart w:id="123" w:name="breach-fact-sheet"/>
    <w:p>
      <w:pPr>
        <w:pStyle w:val="Heading2"/>
      </w:pPr>
      <w:r>
        <w:t xml:space="preserve">19.3 Breach fact sheet</w:t>
      </w:r>
    </w:p>
    <w:p>
      <w:pPr>
        <w:pStyle w:val="FirstParagraph"/>
      </w:pPr>
      <w:r>
        <w:rPr>
          <w:b/>
          <w:bCs/>
        </w:rPr>
        <w:t xml:space="preserve">Field</w:t>
      </w:r>
      <w:r>
        <w:t xml:space="preserve"> </w:t>
      </w:r>
      <w:r>
        <w:t xml:space="preserve">|</w:t>
      </w:r>
      <w:r>
        <w:t xml:space="preserve"> </w:t>
      </w:r>
      <w:r>
        <w:rPr>
          <w:b/>
          <w:bCs/>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23"/>
    <w:bookmarkStart w:id="124"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24"/>
    <w:bookmarkStart w:id="125"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25"/>
    <w:bookmarkEnd w:id="126"/>
    <w:bookmarkStart w:id="127" w:name="glosario"/>
    <w:p>
      <w:pPr>
        <w:pStyle w:val="Heading1"/>
      </w:pPr>
      <w:r>
        <w:t xml:space="preserve">20. Glosario</w:t>
      </w:r>
    </w:p>
    <w:p>
      <w:pPr>
        <w:pStyle w:val="FirstParagraph"/>
      </w:pPr>
      <w:r>
        <w:rPr>
          <w:i/>
          <w:iCs/>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
          <w:bCs/>
        </w:rPr>
        <w:t xml:space="preserve">Autorización.</w:t>
      </w:r>
      <w:r>
        <w:t xml:space="preserve"> </w:t>
      </w:r>
      <w:r>
        <w:t xml:space="preserve">Un permiso por escrito que reúne los elementos y declaraciones requeridos de la Regla de Privacidad.</w:t>
      </w:r>
    </w:p>
    <w:p>
      <w:pPr>
        <w:pStyle w:val="BodyText"/>
      </w:pPr>
      <w:r>
        <w:rPr>
          <w:b/>
          <w:bCs/>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
          <w:bCs/>
        </w:rPr>
        <w:t xml:space="preserve">Ente civil.</w:t>
      </w:r>
      <w:r>
        <w:t xml:space="preserve"> </w:t>
      </w:r>
      <w:r>
        <w:t xml:space="preserve">Un plan de salud, un centro de salud o un proveedor de atención médica calificado bajo HIPAA.</w:t>
      </w:r>
    </w:p>
    <w:p>
      <w:pPr>
        <w:pStyle w:val="BodyText"/>
      </w:pPr>
      <w:r>
        <w:rPr>
          <w:b/>
          <w:bCs/>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
          <w:iCs/>
        </w:rPr>
        <w:t xml:space="preserve">HITECH Act</w:t>
      </w:r>
      <w:r>
        <w:t xml:space="preserve"> </w:t>
      </w:r>
      <w:r>
        <w:t xml:space="preserve">A federal law that expanded health-information technology, breach, business associate, and HIPAA enforcement provisions.</w:t>
      </w:r>
    </w:p>
    <w:p>
      <w:pPr>
        <w:pStyle w:val="BodyText"/>
      </w:pPr>
      <w:r>
        <w:rPr>
          <w:b/>
          <w:bCs/>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
          <w:bCs/>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
          <w:bCs/>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
          <w:bCs/>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27"/>
    <w:bookmarkStart w:id="128" w:name="índice-de-asunto"/>
    <w:p>
      <w:pPr>
        <w:pStyle w:val="Heading1"/>
      </w:pPr>
      <w:r>
        <w:t xml:space="preserve">21. Índice de asunto</w:t>
      </w:r>
    </w:p>
    <w:p>
      <w:pPr>
        <w:pStyle w:val="FirstParagraph"/>
      </w:pPr>
      <w:r>
        <w:rPr>
          <w:i/>
          <w:iCs/>
        </w:rPr>
        <w:t xml:space="preserve">Una guía alfabética para los principales temas. Referencias apuntan a secciones para que el índice siga siendo útil después de la edición.</w:t>
      </w:r>
    </w:p>
    <w:p>
      <w:pPr>
        <w:pStyle w:val="Compact"/>
        <w:numPr>
          <w:ilvl w:val="0"/>
          <w:numId w:val="1028"/>
        </w:numPr>
      </w:pPr>
      <w:r>
        <w:t xml:space="preserve">Tema*</w:t>
      </w:r>
      <w:r>
        <w:t xml:space="preserve"> </w:t>
      </w:r>
      <w:r>
        <w:rPr>
          <w:i/>
          <w:iCs/>
        </w:rPr>
        <w:t xml:space="preserve">Tema</w:t>
      </w:r>
      <w:r>
        <w:t xml:space="preserve"> </w:t>
      </w:r>
      <w:r>
        <w:t xml:space="preserve">*Las secciones**</w:t>
      </w:r>
      <w:r>
        <w:t xml:space="preserve"> </w:t>
      </w:r>
      <w:r>
        <w:rPr>
          <w:i/>
          <w:iCs/>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28"/>
    <w:bookmarkStart w:id="138" w:name="referencias-oficiales-y-estudio-ulterior"/>
    <w:p>
      <w:pPr>
        <w:pStyle w:val="Heading1"/>
      </w:pPr>
      <w:r>
        <w:t xml:space="preserve">22. Referencias oficiales y estudio ulterior</w:t>
      </w:r>
    </w:p>
    <w:p>
      <w:pPr>
        <w:pStyle w:val="FirstParagraph"/>
      </w:pPr>
      <w:r>
        <w:rPr>
          <w:i/>
          <w:iCs/>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29">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30">
        <w:r>
          <w:rPr>
            <w:rStyle w:val="Hyperlink"/>
          </w:rPr>
          <w:t xml:space="preserve">Se indica</w:t>
        </w:r>
      </w:hyperlink>
    </w:p>
    <w:p>
      <w:pPr>
        <w:pStyle w:val="BodyText"/>
      </w:pPr>
      <w:r>
        <w:t xml:space="preserve">[ ]](https://www.open-scap.org/getting-started/)</w:t>
      </w:r>
    </w:p>
    <w:p>
      <w:pPr>
        <w:pStyle w:val="BodyText"/>
      </w:pPr>
      <w:hyperlink r:id="rId131">
        <w:r>
          <w:rPr>
            <w:rStyle w:val="Hyperlink"/>
          </w:rPr>
          <w:t xml:space="preserve">Se indica</w:t>
        </w:r>
      </w:hyperlink>
    </w:p>
    <w:p>
      <w:pPr>
        <w:pStyle w:val="BodyText"/>
      </w:pPr>
      <w:hyperlink r:id="rId132">
        <w:r>
          <w:rPr>
            <w:rStyle w:val="Hyperlink"/>
          </w:rPr>
          <w:t xml:space="preserve">Se indica</w:t>
        </w:r>
      </w:hyperlink>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r>
        <w:t xml:space="preserve">[ ]](https://www.openpolicyagent.org/docs)</w:t>
      </w:r>
    </w:p>
    <w:p>
      <w:pPr>
        <w:pStyle w:val="BodyText"/>
      </w:pPr>
      <w:r>
        <w:rPr>
          <w:b/>
          <w:bCs/>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6" Target="https://docs.defectdojo.com/" TargetMode="External" /><Relationship Type="http://schemas.openxmlformats.org/officeDocument/2006/relationships/hyperlink" Id="rId137" Target="https://docs.velociraptor.app/" TargetMode="External" /><Relationship Type="http://schemas.openxmlformats.org/officeDocument/2006/relationships/hyperlink" Id="rId130" Target="https://documentation.wazuh.com/current/quickstart.html" TargetMode="External" /><Relationship Type="http://schemas.openxmlformats.org/officeDocument/2006/relationships/hyperlink" Id="rId131" Target="https://greenbone.github.io/docs/latest/" TargetMode="External" /><Relationship Type="http://schemas.openxmlformats.org/officeDocument/2006/relationships/hyperlink" Id="rId132" Target="https://osquery.readthedocs.io/en/stable/" TargetMode="External" /><Relationship Type="http://schemas.openxmlformats.org/officeDocument/2006/relationships/hyperlink" Id="rId133" Target="https://trivy.dev/latest/" TargetMode="External" /><Relationship Type="http://schemas.openxmlformats.org/officeDocument/2006/relationships/hyperlink" Id="rId129" Target="https://www.hhs.gov/hipaa/for-professionals/privacy/index.html" TargetMode="External" /><Relationship Type="http://schemas.openxmlformats.org/officeDocument/2006/relationships/hyperlink" Id="rId135" Target="https://www.keycloak.org/guides" TargetMode="External" /><Relationship Type="http://schemas.openxmlformats.org/officeDocument/2006/relationships/hyperlink" Id="rId134"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6" Target="https://docs.defectdojo.com/" TargetMode="External" /><Relationship Type="http://schemas.openxmlformats.org/officeDocument/2006/relationships/hyperlink" Id="rId137" Target="https://docs.velociraptor.app/" TargetMode="External" /><Relationship Type="http://schemas.openxmlformats.org/officeDocument/2006/relationships/hyperlink" Id="rId130" Target="https://documentation.wazuh.com/current/quickstart.html" TargetMode="External" /><Relationship Type="http://schemas.openxmlformats.org/officeDocument/2006/relationships/hyperlink" Id="rId131" Target="https://greenbone.github.io/docs/latest/" TargetMode="External" /><Relationship Type="http://schemas.openxmlformats.org/officeDocument/2006/relationships/hyperlink" Id="rId132" Target="https://osquery.readthedocs.io/en/stable/" TargetMode="External" /><Relationship Type="http://schemas.openxmlformats.org/officeDocument/2006/relationships/hyperlink" Id="rId133" Target="https://trivy.dev/latest/" TargetMode="External" /><Relationship Type="http://schemas.openxmlformats.org/officeDocument/2006/relationships/hyperlink" Id="rId129" Target="https://www.hhs.gov/hipaa/for-professionals/privacy/index.html" TargetMode="External" /><Relationship Type="http://schemas.openxmlformats.org/officeDocument/2006/relationships/hyperlink" Id="rId135" Target="https://www.keycloak.org/guides" TargetMode="External" /><Relationship Type="http://schemas.openxmlformats.org/officeDocument/2006/relationships/hyperlink" Id="rId134"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2026-07-28T20:07:49Z</dcterms:created>
  <dcterms:modified xsi:type="dcterms:W3CDTF">2026-07-28T20:07:49Z</dcterms:modified>
</cp:coreProperties>
</file>

<file path=docProps/custom.xml><?xml version="1.0" encoding="utf-8"?>
<Properties xmlns="http://schemas.openxmlformats.org/officeDocument/2006/custom-properties" xmlns:vt="http://schemas.openxmlformats.org/officeDocument/2006/docPropsVTypes"/>
</file>