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
          <w:bCs/>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
          <w:bCs/>
        </w:rPr>
        <w:t xml:space="preserve">HIPAA</w:t>
      </w:r>
    </w:p>
    <w:p>
      <w:pPr>
        <w:pStyle w:val="BodyText"/>
      </w:pPr>
      <w:r>
        <w:rPr>
          <w:b/>
          <w:bCs/>
        </w:rPr>
        <w:t xml:space="preserve">Manual prático de conformidade e segurança para gerentes e analistas júnior</w:t>
      </w:r>
    </w:p>
    <w:p>
      <w:pPr>
        <w:pStyle w:val="Compact"/>
        <w:numPr>
          <w:ilvl w:val="0"/>
          <w:numId w:val="1001"/>
        </w:numPr>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9"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9"/>
    <w:bookmarkStart w:id="13"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10"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10"/>
    <w:bookmarkStart w:id="11"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pStyle w:val="Compact"/>
        <w:numPr>
          <w:ilvl w:val="0"/>
          <w:numId w:val="1002"/>
        </w:numPr>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11"/>
    <w:bookmarkStart w:id="12"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
          <w:iCs/>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12"/>
    <w:bookmarkEnd w:id="13"/>
    <w:bookmarkStart w:id="19" w:name="fundação-hipaa"/>
    <w:p>
      <w:pPr>
        <w:pStyle w:val="Heading1"/>
      </w:pPr>
      <w:r>
        <w:t xml:space="preserve">1. Fundação HIPAA</w:t>
      </w:r>
    </w:p>
    <w:p>
      <w:pPr>
        <w:pStyle w:val="Compact"/>
        <w:numPr>
          <w:ilvl w:val="0"/>
          <w:numId w:val="1003"/>
        </w:numPr>
      </w:pPr>
      <w:r>
        <w:t xml:space="preserve">O que HIPAA cobre, o que não cobre, e como suas principais regras funcionam juntas.*</w:t>
      </w:r>
    </w:p>
    <w:p>
      <w:pPr>
        <w:pStyle w:val="FirstParagraph"/>
      </w:pPr>
    </w:p>
    <w:p>
      <w:pPr>
        <w:pStyle w:val="BodyText"/>
      </w:pPr>
      <w:r>
        <w:t xml:space="preserve">Figura 1. As principais áreas de conformidade HIPAA</w:t>
      </w:r>
    </w:p>
    <w:bookmarkStart w:id="14" w:name="regras-hipaa"/>
    <w:p>
      <w:pPr>
        <w:pStyle w:val="Heading2"/>
      </w:pPr>
      <w:r>
        <w:t xml:space="preserve">1.1 Regras HIPAA</w:t>
      </w:r>
    </w:p>
    <w:bookmarkEnd w:id="14"/>
    <w:bookmarkStart w:id="15"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15"/>
    <w:bookmarkStart w:id="16"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16"/>
    <w:bookmarkStart w:id="17" w:name="controlo-da-lei-actual"/>
    <w:p>
      <w:pPr>
        <w:pStyle w:val="Heading2"/>
      </w:pPr>
      <w:r>
        <w:t xml:space="preserve">1.3 Controlo da lei actual</w:t>
      </w:r>
    </w:p>
    <w:bookmarkEnd w:id="17"/>
    <w:bookmarkStart w:id="18"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18"/>
    <w:bookmarkEnd w:id="19"/>
    <w:bookmarkStart w:id="28" w:name="escopo-funções-phi-e-phi"/>
    <w:p>
      <w:pPr>
        <w:pStyle w:val="Heading1"/>
      </w:pPr>
      <w:r>
        <w:t xml:space="preserve">2. Escopo, Funções, PHI, e PHI</w:t>
      </w:r>
    </w:p>
    <w:p>
      <w:pPr>
        <w:pStyle w:val="Compact"/>
        <w:numPr>
          <w:ilvl w:val="0"/>
          <w:numId w:val="1004"/>
        </w:numPr>
      </w:pPr>
      <w:r>
        <w:t xml:space="preserve">Como identificar entidades regulamentadas, informações protegidas, fronteiras e responsabilidades.*</w:t>
      </w:r>
    </w:p>
    <w:p>
      <w:pPr>
        <w:pStyle w:val="FirstParagraph"/>
      </w:pP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20"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20"/>
    <w:bookmarkStart w:id="22"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pStyle w:val="Heading2"/>
        <w:numPr>
          <w:ilvl w:val="0"/>
          <w:numId w:val="1006"/>
        </w:numPr>
      </w:pPr>
      <w:bookmarkStart w:id="21" w:name="X911b73e2a1b29e82129b43d8aeba30143bb10e9"/>
      <w:r>
        <w:t xml:space="preserve">Metodologia** Metodologia** Metodologia** Evidência**</w:t>
      </w:r>
      <w:bookmarkEnd w:id="21"/>
    </w:p>
    <w:p>
      <w:pPr>
        <w:pStyle w:val="Compact"/>
        <w:numPr>
          <w:ilvl w:val="0"/>
          <w:numId w:val="1000"/>
        </w:numPr>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22"/>
    <w:bookmarkStart w:id="23"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pStyle w:val="Compact"/>
        <w:numPr>
          <w:ilvl w:val="0"/>
          <w:numId w:val="1007"/>
        </w:numPr>
      </w:pPr>
      <w:r>
        <w:t xml:space="preserve">Regra de privacidade: Usos e Divulgação</w:t>
      </w:r>
    </w:p>
    <w:p>
      <w:pPr>
        <w:pStyle w:val="Compact"/>
        <w:numPr>
          <w:ilvl w:val="0"/>
          <w:numId w:val="1008"/>
        </w:numPr>
      </w:pPr>
      <w:r>
        <w:t xml:space="preserve">Usos autorizados, autorizações, mínimo necessário, verificação, avisos e situações especiais.*</w:t>
      </w:r>
    </w:p>
    <w:bookmarkEnd w:id="23"/>
    <w:bookmarkStart w:id="24"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24"/>
    <w:bookmarkStart w:id="25"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25"/>
    <w:bookmarkStart w:id="26"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26"/>
    <w:bookmarkStart w:id="27" w:name="situação"/>
    <w:p>
      <w:pPr>
        <w:pStyle w:val="Heading2"/>
      </w:pPr>
      <w:r>
        <w:rPr>
          <w:b/>
          <w:bCs/>
        </w:rPr>
        <w:t xml:space="preserve">Situação</w:t>
      </w:r>
    </w:p>
    <w:p>
      <w:pPr>
        <w:pStyle w:val="Compact"/>
        <w:numPr>
          <w:ilvl w:val="0"/>
          <w:numId w:val="1010"/>
        </w:numPr>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27"/>
    <w:bookmarkEnd w:id="28"/>
    <w:bookmarkStart w:id="33" w:name="X5587b61cf5f989326a2a3485a9244ddb08af3cf"/>
    <w:p>
      <w:pPr>
        <w:pStyle w:val="Heading1"/>
      </w:pPr>
      <w:r>
        <w:t xml:space="preserve">4. Direitos individuais e operações de privacidade</w:t>
      </w:r>
    </w:p>
    <w:p>
      <w:pPr>
        <w:pStyle w:val="Compact"/>
        <w:numPr>
          <w:ilvl w:val="0"/>
          <w:numId w:val="1011"/>
        </w:numPr>
      </w:pPr>
      <w:r>
        <w:t xml:space="preserve">Como receber, verificar, completar e documentar solicitações de pacientes e membros.*</w:t>
      </w:r>
    </w:p>
    <w:bookmarkStart w:id="30" w:name="visão-geral-dos-direitos"/>
    <w:p>
      <w:pPr>
        <w:pStyle w:val="Heading2"/>
      </w:pPr>
      <w:r>
        <w:t xml:space="preserve">4.1 Visão geral dos direitos</w:t>
      </w:r>
    </w:p>
    <w:p>
      <w:pPr>
        <w:pStyle w:val="Heading2"/>
        <w:numPr>
          <w:ilvl w:val="0"/>
          <w:numId w:val="1012"/>
        </w:numPr>
      </w:pPr>
      <w:bookmarkStart w:id="29" w:name="X82ea82feda45033b70eb8d06309c53c156ce706"/>
      <w:r>
        <w:t xml:space="preserve">Direito** ** Prazo típico** ** Trabalho operacional**</w:t>
      </w:r>
      <w:bookmarkEnd w:id="29"/>
    </w:p>
    <w:p>
      <w:pPr>
        <w:pStyle w:val="Compact"/>
        <w:numPr>
          <w:ilvl w:val="0"/>
          <w:numId w:val="1000"/>
        </w:numPr>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pStyle w:val="Compact"/>
        <w:numPr>
          <w:ilvl w:val="0"/>
          <w:numId w:val="1012"/>
        </w:numPr>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30"/>
    <w:bookmarkStart w:id="31"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31"/>
    <w:bookmarkStart w:id="32"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32"/>
    <w:bookmarkEnd w:id="33"/>
    <w:bookmarkStart w:id="37" w:name="fundações-de-regras-de-segurança"/>
    <w:p>
      <w:pPr>
        <w:pStyle w:val="Heading1"/>
      </w:pPr>
      <w:r>
        <w:t xml:space="preserve">5. Fundações de Regras de Segurança</w:t>
      </w:r>
    </w:p>
    <w:p>
      <w:pPr>
        <w:pStyle w:val="Compact"/>
        <w:numPr>
          <w:ilvl w:val="0"/>
          <w:numId w:val="1014"/>
        </w:numPr>
      </w:pPr>
      <w:r>
        <w:t xml:space="preserve">Requisitos gerais, flexibilidade, especificações necessárias e endereçáveis, e provas.*</w:t>
      </w:r>
    </w:p>
    <w:p>
      <w:pPr>
        <w:pStyle w:val="FirstParagraph"/>
      </w:pP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3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pStyle w:val="Compact"/>
        <w:numPr>
          <w:ilvl w:val="0"/>
          <w:numId w:val="1016"/>
        </w:numPr>
      </w:pPr>
      <w:r>
        <w:t xml:space="preserve">Salvaguardas administrativas</w:t>
      </w:r>
    </w:p>
    <w:p>
      <w:pPr>
        <w:pStyle w:val="Compact"/>
        <w:numPr>
          <w:ilvl w:val="0"/>
          <w:numId w:val="1017"/>
        </w:numPr>
      </w:pPr>
      <w:r>
        <w:t xml:space="preserve">Os processos de gestão que transformam a política em proteção repetitiva.*</w:t>
      </w:r>
    </w:p>
    <w:bookmarkEnd w:id="34"/>
    <w:bookmarkStart w:id="3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pStyle w:val="Compact"/>
        <w:numPr>
          <w:ilvl w:val="0"/>
          <w:numId w:val="1019"/>
        </w:numPr>
      </w:pPr>
      <w:r>
        <w:t xml:space="preserve">Salvaguardas físicas e técnicas</w:t>
      </w:r>
    </w:p>
    <w:p>
      <w:pPr>
        <w:pStyle w:val="Compact"/>
        <w:numPr>
          <w:ilvl w:val="0"/>
          <w:numId w:val="1020"/>
        </w:numPr>
      </w:pPr>
      <w:r>
        <w:t xml:space="preserve">Facilidades, estações de trabalho, mídia, identidade, acesso, auditoria, integridade e controles de transmissão.*</w:t>
      </w:r>
    </w:p>
    <w:bookmarkEnd w:id="35"/>
    <w:bookmarkStart w:id="36" w:name="section-1"/>
    <w:p>
      <w:pPr>
        <w:pStyle w:val="Heading2"/>
      </w:pPr>
      <w:r>
        <w:t xml:space="preserve">* ** ** ** ** ** ** ** ** ** ** ** ** ** ** ** ** ** **</w:t>
      </w:r>
    </w:p>
    <w:p>
      <w:pPr>
        <w:pStyle w:val="Compact"/>
        <w:numPr>
          <w:ilvl w:val="0"/>
          <w:numId w:val="1021"/>
        </w:numPr>
      </w:pPr>
    </w:p>
    <w:p>
      <w:pPr>
        <w:pStyle w:val="Compact"/>
        <w:numPr>
          <w:ilvl w:val="1"/>
          <w:numId w:val="1022"/>
        </w:numPr>
      </w:pPr>
    </w:p>
    <w:p>
      <w:pPr>
        <w:pStyle w:val="Compact"/>
        <w:numPr>
          <w:ilvl w:val="2"/>
          <w:numId w:val="1023"/>
        </w:numPr>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pStyle w:val="Compact"/>
        <w:numPr>
          <w:ilvl w:val="0"/>
          <w:numId w:val="1021"/>
        </w:numPr>
      </w:pPr>
    </w:p>
    <w:p>
      <w:pPr>
        <w:pStyle w:val="Compact"/>
        <w:numPr>
          <w:ilvl w:val="1"/>
          <w:numId w:val="1024"/>
        </w:numPr>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pStyle w:val="Compact"/>
        <w:numPr>
          <w:ilvl w:val="0"/>
          <w:numId w:val="1021"/>
        </w:numPr>
      </w:pPr>
    </w:p>
    <w:p>
      <w:pPr>
        <w:pStyle w:val="Compact"/>
        <w:numPr>
          <w:ilvl w:val="1"/>
          <w:numId w:val="1025"/>
        </w:numPr>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36"/>
    <w:bookmarkEnd w:id="37"/>
    <w:bookmarkStart w:id="40" w:name="regra-de-violação-da-notificação"/>
    <w:p>
      <w:pPr>
        <w:pStyle w:val="Heading1"/>
      </w:pPr>
      <w:r>
        <w:t xml:space="preserve">8. Regra de violação da notificação</w:t>
      </w:r>
    </w:p>
    <w:p>
      <w:pPr>
        <w:pStyle w:val="Compact"/>
        <w:numPr>
          <w:ilvl w:val="0"/>
          <w:numId w:val="1027"/>
        </w:numPr>
      </w:pPr>
      <w:r>
        <w:t xml:space="preserve">Como avaliar incidentes PHI não seguros e cumprir as obrigações de notificação.*</w:t>
      </w:r>
    </w:p>
    <w:p>
      <w:pPr>
        <w:pStyle w:val="FirstParagraph"/>
      </w:pPr>
    </w:p>
    <w:p>
      <w:pPr>
        <w:pStyle w:val="BodyText"/>
      </w:pPr>
      <w:r>
        <w:t xml:space="preserve">Figura 4. Fluxo de trabalho de violação HIPAA</w:t>
      </w:r>
    </w:p>
    <w:bookmarkStart w:id="38"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38"/>
    <w:bookmarkStart w:id="39"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39"/>
    <w:bookmarkEnd w:id="40"/>
    <w:bookmarkStart w:id="45" w:name="Xa7cbbacefe2771af659fa4099c4f64cac49ec65"/>
    <w:p>
      <w:pPr>
        <w:pStyle w:val="Heading1"/>
      </w:pPr>
      <w:r>
        <w:t xml:space="preserve">9. Associados de Negócios e Oversight do Fornecedor</w:t>
      </w:r>
    </w:p>
    <w:p>
      <w:pPr>
        <w:pStyle w:val="Compact"/>
        <w:numPr>
          <w:ilvl w:val="0"/>
          <w:numId w:val="1028"/>
        </w:numPr>
      </w:pPr>
      <w:r>
        <w:t xml:space="preserve">Contratos, subcontratantes, due diligence, monitoramento, incidentes e rescisão.*</w:t>
      </w:r>
    </w:p>
    <w:bookmarkStart w:id="41"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41"/>
    <w:bookmarkStart w:id="42" w:name="diligência-devida"/>
    <w:p>
      <w:pPr>
        <w:pStyle w:val="Heading2"/>
      </w:pPr>
      <w:r>
        <w:t xml:space="preserve">9.2 Diligência devida</w:t>
      </w:r>
    </w:p>
    <w:bookmarkEnd w:id="42"/>
    <w:bookmarkStart w:id="43"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43"/>
    <w:bookmarkStart w:id="44"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44"/>
    <w:bookmarkEnd w:id="45"/>
    <w:bookmarkStart w:id="46" w:name="parte-2-e-informações-especiais-de-saúde"/>
    <w:p>
      <w:pPr>
        <w:pStyle w:val="Heading1"/>
      </w:pPr>
      <w:r>
        <w:t xml:space="preserve">10. Parte 2 e Informações Especiais de Saúde</w:t>
      </w:r>
    </w:p>
    <w:p>
      <w:pPr>
        <w:pStyle w:val="Compact"/>
        <w:numPr>
          <w:ilvl w:val="0"/>
          <w:numId w:val="1029"/>
        </w:numPr>
      </w:pPr>
      <w:r>
        <w:t xml:space="preserve">Registros de transtornos de uso de substâncias, saúde mental, genética e outras regras sobrepostas.*</w:t>
      </w:r>
    </w:p>
    <w:bookmarkEnd w:id="46"/>
    <w:bookmarkStart w:id="49"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47"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47"/>
    <w:bookmarkStart w:id="48"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48"/>
    <w:bookmarkEnd w:id="49"/>
    <w:bookmarkStart w:id="50" w:name="Xb8ca734ea72da2d628cebbfc7716289ea454888"/>
    <w:p>
      <w:pPr>
        <w:pStyle w:val="Heading1"/>
      </w:pPr>
      <w:r>
        <w:t xml:space="preserve">11. Aplicação, Lei Estadual e Desenvolvimentos Atuais</w:t>
      </w:r>
    </w:p>
    <w:p>
      <w:pPr>
        <w:pStyle w:val="Compact"/>
        <w:numPr>
          <w:ilvl w:val="0"/>
          <w:numId w:val="1030"/>
        </w:numPr>
      </w:pPr>
      <w:r>
        <w:t xml:space="preserve">Queixas, investigações, sanções, preempção, decisões judiciais e alterações propostas.*</w:t>
      </w:r>
    </w:p>
    <w:bookmarkEnd w:id="50"/>
    <w:bookmarkStart w:id="51"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51"/>
    <w:bookmarkStart w:id="52"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52"/>
    <w:bookmarkStart w:id="54"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53"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53"/>
    <w:bookmarkEnd w:id="54"/>
    <w:bookmarkStart w:id="55" w:name="X6768ae872f3eed2180f19f37b02de7b1f3927b5"/>
    <w:p>
      <w:pPr>
        <w:pStyle w:val="Heading1"/>
      </w:pPr>
      <w:r>
        <w:t xml:space="preserve">12. Guia completo dos requisitos regulamentares</w:t>
      </w:r>
    </w:p>
    <w:p>
      <w:pPr>
        <w:pStyle w:val="FirstParagraph"/>
      </w:pPr>
      <w:r>
        <w:rPr>
          <w:i/>
          <w:iCs/>
        </w:rPr>
        <w:t xml:space="preserve">Um cruzamento prático com os requisitos atuais de privacidade, segurança e notificação de violação.</w:t>
      </w:r>
    </w:p>
    <w:bookmarkEnd w:id="55"/>
    <w:bookmarkStart w:id="57" w:name="regra-de-segurança"/>
    <w:p>
      <w:pPr>
        <w:pStyle w:val="Heading1"/>
      </w:pPr>
      <w:r>
        <w:t xml:space="preserve"># 12.1 Regra de segurança</w:t>
      </w:r>
    </w:p>
    <w:p>
      <w:pPr>
        <w:pStyle w:val="Heading2"/>
        <w:numPr>
          <w:ilvl w:val="0"/>
          <w:numId w:val="1032"/>
        </w:numPr>
      </w:pPr>
      <w:bookmarkStart w:id="56" w:name="evidência-típica"/>
      <w:r>
        <w:t xml:space="preserve">** ** ** ** ** ** ** ** ** ** ** ** Evidência típica** **</w:t>
      </w:r>
      <w:bookmarkEnd w:id="56"/>
    </w:p>
    <w:p>
      <w:pPr>
        <w:pStyle w:val="Compact"/>
        <w:numPr>
          <w:ilvl w:val="0"/>
          <w:numId w:val="1000"/>
        </w:numPr>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pStyle w:val="Compact"/>
        <w:numPr>
          <w:ilvl w:val="0"/>
          <w:numId w:val="1033"/>
        </w:numPr>
      </w:pPr>
    </w:p>
    <w:p>
      <w:pPr>
        <w:pStyle w:val="Compact"/>
        <w:numPr>
          <w:ilvl w:val="1"/>
          <w:numId w:val="1034"/>
        </w:numPr>
      </w:pPr>
    </w:p>
    <w:p>
      <w:pPr>
        <w:pStyle w:val="Compact"/>
        <w:numPr>
          <w:ilvl w:val="2"/>
          <w:numId w:val="1035"/>
        </w:numPr>
      </w:pPr>
    </w:p>
    <w:p>
      <w:pPr>
        <w:pStyle w:val="Compact"/>
        <w:numPr>
          <w:ilvl w:val="3"/>
          <w:numId w:val="1036"/>
        </w:numPr>
      </w:pPr>
      <w:r>
        <w:t xml:space="preserve">(n)) (n) (n) (n) (n) (n) (n) (n) (n) (n) (n) (n) (n) (n) (n) (n) (n) (n) (n)) (n) (n) (n) (n) (n) (n) (n) (n) (n) (n) (n) (n) (n) (n) (n) (n) (n) (n) (n) (n) (n) (n) (n) (n) (n) (n) (n) (n) (n) (n) (n) (n) (n) (n) (n) (n) (n)) (n) (n) (n) (n) (n) (n)) (n) (n) (n) (n) (n) (n) (n)) (n) (n) (n) (n) (n) (n) (n) (n) (n) (n) (n BAA, diligência devida, acompanhamento</w:t>
      </w:r>
    </w:p>
    <w:p>
      <w:pPr>
        <w:pStyle w:val="Compact"/>
        <w:numPr>
          <w:ilvl w:val="0"/>
          <w:numId w:val="1033"/>
        </w:numPr>
      </w:pPr>
    </w:p>
    <w:p>
      <w:pPr>
        <w:pStyle w:val="Compact"/>
        <w:numPr>
          <w:ilvl w:val="1"/>
          <w:numId w:val="1037"/>
        </w:numPr>
      </w:pPr>
    </w:p>
    <w:p>
      <w:pPr>
        <w:pStyle w:val="Compact"/>
        <w:numPr>
          <w:ilvl w:val="2"/>
          <w:numId w:val="1038"/>
        </w:numPr>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pStyle w:val="Compact"/>
        <w:numPr>
          <w:ilvl w:val="0"/>
          <w:numId w:val="1033"/>
        </w:numPr>
      </w:pPr>
    </w:p>
    <w:p>
      <w:pPr>
        <w:pStyle w:val="Compact"/>
        <w:numPr>
          <w:ilvl w:val="1"/>
          <w:numId w:val="1039"/>
        </w:numPr>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pStyle w:val="Compact"/>
        <w:numPr>
          <w:ilvl w:val="0"/>
          <w:numId w:val="1033"/>
        </w:numPr>
      </w:pPr>
    </w:p>
    <w:p>
      <w:pPr>
        <w:pStyle w:val="Compact"/>
        <w:numPr>
          <w:ilvl w:val="1"/>
          <w:numId w:val="1040"/>
        </w:numPr>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57"/>
    <w:bookmarkStart w:id="59" w:name="regra-de-privacidade"/>
    <w:p>
      <w:pPr>
        <w:pStyle w:val="Heading1"/>
      </w:pPr>
      <w:r>
        <w:t xml:space="preserve"># 12.2 Regra de privacidade</w:t>
      </w:r>
    </w:p>
    <w:p>
      <w:pPr>
        <w:pStyle w:val="Heading2"/>
        <w:numPr>
          <w:ilvl w:val="0"/>
          <w:numId w:val="1041"/>
        </w:numPr>
      </w:pPr>
      <w:bookmarkStart w:id="58" w:name="evidência-típica-1"/>
      <w:r>
        <w:t xml:space="preserve">** ** ** ** ** ** ** ** ** ** ** ** Evidência típica** **</w:t>
      </w:r>
      <w:bookmarkEnd w:id="58"/>
    </w:p>
    <w:p>
      <w:pPr>
        <w:pStyle w:val="Compact"/>
        <w:numPr>
          <w:ilvl w:val="0"/>
          <w:numId w:val="1000"/>
        </w:numPr>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59"/>
    <w:bookmarkStart w:id="67" w:name="regra-de-violação-da-notificação-1"/>
    <w:p>
      <w:pPr>
        <w:pStyle w:val="Heading1"/>
      </w:pPr>
      <w:r>
        <w:t xml:space="preserve"># 12.3 Regra de violação da notificação</w:t>
      </w:r>
    </w:p>
    <w:p>
      <w:pPr>
        <w:pStyle w:val="Heading2"/>
        <w:numPr>
          <w:ilvl w:val="0"/>
          <w:numId w:val="1042"/>
        </w:numPr>
      </w:pPr>
      <w:bookmarkStart w:id="60" w:name="evidência-típica-2"/>
      <w:r>
        <w:t xml:space="preserve">** ** ** ** ** ** ** ** ** ** ** ** Evidência típica** **</w:t>
      </w:r>
      <w:bookmarkEnd w:id="60"/>
    </w:p>
    <w:p>
      <w:pPr>
        <w:pStyle w:val="Compact"/>
        <w:numPr>
          <w:ilvl w:val="0"/>
          <w:numId w:val="1000"/>
        </w:numPr>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61"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61"/>
    <w:bookmarkStart w:id="62"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BodyText"/>
      </w:pP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62"/>
    <w:bookmarkStart w:id="64" w:name="testes-práticos-de-verificação"/>
    <w:p>
      <w:pPr>
        <w:pStyle w:val="Heading2"/>
      </w:pPr>
      <w:r>
        <w:t xml:space="preserve">12.6 Testes práticos de verificação</w:t>
      </w:r>
    </w:p>
    <w:p>
      <w:pPr>
        <w:pStyle w:val="Heading2"/>
        <w:numPr>
          <w:ilvl w:val="0"/>
          <w:numId w:val="1044"/>
        </w:numPr>
      </w:pPr>
      <w:bookmarkStart w:id="63" w:name="X4929606a588143104c363914eb35ee3e3fa115e"/>
      <w:r>
        <w:t xml:space="preserve">** Área de controlo**</w:t>
      </w:r>
      <w:r>
        <w:t xml:space="preserve"> </w:t>
      </w:r>
      <w:r>
        <w:rPr>
          <w:b/>
          <w:bCs/>
        </w:rPr>
        <w:t xml:space="preserve">População e amostra</w:t>
      </w:r>
      <w:r>
        <w:t xml:space="preserve"> </w:t>
      </w:r>
      <w:r>
        <w:t xml:space="preserve">** Procedimento de teste** ** Prova e conclusão**</w:t>
      </w:r>
      <w:bookmarkEnd w:id="63"/>
    </w:p>
    <w:p>
      <w:pPr>
        <w:pStyle w:val="Compact"/>
        <w:numPr>
          <w:ilvl w:val="0"/>
          <w:numId w:val="1000"/>
        </w:numPr>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64"/>
    <w:bookmarkStart w:id="65" w:name="confiabilidade-das-provas"/>
    <w:p>
      <w:pPr>
        <w:pStyle w:val="Heading2"/>
      </w:pPr>
      <w:r>
        <w:t xml:space="preserve">12.7 Confiabilidade das provas</w:t>
      </w:r>
    </w:p>
    <w:bookmarkEnd w:id="65"/>
    <w:bookmarkStart w:id="66"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66"/>
    <w:bookmarkEnd w:id="67"/>
    <w:bookmarkStart w:id="68" w:name="manual-da-hipaa-para-gerentes"/>
    <w:p>
      <w:pPr>
        <w:pStyle w:val="Heading1"/>
      </w:pPr>
      <w:r>
        <w:t xml:space="preserve">13. Manual da HIPAA para gerentes</w:t>
      </w:r>
    </w:p>
    <w:p>
      <w:pPr>
        <w:pStyle w:val="FirstParagraph"/>
      </w:pPr>
      <w:r>
        <w:rPr>
          <w:i/>
          <w:iCs/>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68"/>
    <w:bookmarkStart w:id="70" w:name="painel-mensal"/>
    <w:p>
      <w:pPr>
        <w:pStyle w:val="Heading1"/>
      </w:pPr>
      <w:r>
        <w:t xml:space="preserve"># 13.2 Painel mensal</w:t>
      </w:r>
    </w:p>
    <w:bookmarkStart w:id="69"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69"/>
    <w:bookmarkEnd w:id="70"/>
    <w:bookmarkStart w:id="71"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71"/>
    <w:bookmarkStart w:id="72" w:name="de-iniciante-a-júnior-hipaa-analisador"/>
    <w:p>
      <w:pPr>
        <w:pStyle w:val="Heading1"/>
      </w:pPr>
      <w:r>
        <w:t xml:space="preserve">14. De Iniciante a Júnior HIPAA Analisador</w:t>
      </w:r>
    </w:p>
    <w:p>
      <w:pPr>
        <w:pStyle w:val="Compact"/>
        <w:numPr>
          <w:ilvl w:val="0"/>
          <w:numId w:val="1048"/>
        </w:numPr>
      </w:pPr>
      <w:r>
        <w:t xml:space="preserve">Um caminho seguro e honesto para o trabalho de privacidade, segurança e conformidade.*</w:t>
      </w:r>
    </w:p>
    <w:p>
      <w:pPr>
        <w:pStyle w:val="FirstParagraph"/>
      </w:pPr>
    </w:p>
    <w:p>
      <w:pPr>
        <w:pStyle w:val="BodyText"/>
      </w:pPr>
      <w:r>
        <w:t xml:space="preserve">Figura 5. Caminho de analista HIPAA júnior</w:t>
      </w:r>
    </w:p>
    <w:bookmarkEnd w:id="72"/>
    <w:bookmarkStart w:id="73"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73"/>
    <w:bookmarkStart w:id="74"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74"/>
    <w:bookmarkStart w:id="77" w:name="prova-de-carteira"/>
    <w:p>
      <w:pPr>
        <w:pStyle w:val="Heading1"/>
      </w:pPr>
      <w:r>
        <w:t xml:space="preserve"># 14.3 Prova de carteira</w:t>
      </w:r>
    </w:p>
    <w:bookmarkStart w:id="76" w:name="habilidade-item-de-carteira"/>
    <w:p>
      <w:pPr>
        <w:pStyle w:val="Heading2"/>
      </w:pPr>
      <w:r>
        <w:t xml:space="preserve">**</w:t>
      </w:r>
      <w:r>
        <w:t xml:space="preserve"> </w:t>
      </w:r>
      <w:r>
        <w:rPr>
          <w:b/>
          <w:bCs/>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pStyle w:val="Heading2"/>
        <w:numPr>
          <w:ilvl w:val="0"/>
          <w:numId w:val="1050"/>
        </w:numPr>
      </w:pPr>
      <w:bookmarkStart w:id="75"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75"/>
    </w:p>
    <w:bookmarkEnd w:id="76"/>
    <w:bookmarkEnd w:id="77"/>
    <w:bookmarkStart w:id="80" w:name="X2968ee90b6ea64f85649075cf396f026d841a13"/>
    <w:p>
      <w:pPr>
        <w:pStyle w:val="Heading1"/>
      </w:pPr>
      <w:r>
        <w:t xml:space="preserve">15. Ferramentas de código aberto para HIPAA Work</w:t>
      </w:r>
    </w:p>
    <w:p>
      <w:pPr>
        <w:pStyle w:val="Compact"/>
        <w:numPr>
          <w:ilvl w:val="0"/>
          <w:numId w:val="1051"/>
        </w:numPr>
      </w:pPr>
      <w:r>
        <w:t xml:space="preserve">Links oficiais, inícios rápidos seguros, evidências e limitações.*</w:t>
      </w:r>
    </w:p>
    <w:bookmarkStart w:id="78"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78"/>
    <w:bookmarkStart w:id="79" w:name="X0763fc6bb665e2b6093b937ee401e95be78f7d2"/>
    <w:p>
      <w:pPr>
        <w:pStyle w:val="Heading2"/>
      </w:pPr>
      <w:r>
        <w:t xml:space="preserve">•</w:t>
      </w:r>
      <w:r>
        <w:t xml:space="preserve"> </w:t>
      </w:r>
      <w:r>
        <w:rPr>
          <w:b/>
          <w:bCs/>
        </w:rPr>
        <w:t xml:space="preserve">Ferramenta</w:t>
      </w:r>
      <w:r>
        <w:t xml:space="preserve"> </w:t>
      </w:r>
      <w:r>
        <w:rPr>
          <w:b/>
          <w:bCs/>
        </w:rPr>
        <w:t xml:space="preserve">Purpose</w:t>
      </w:r>
      <w:r>
        <w:t xml:space="preserve"> </w:t>
      </w:r>
      <w:r>
        <w:rPr>
          <w:b/>
          <w:bCs/>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79"/>
    <w:bookmarkEnd w:id="80"/>
    <w:bookmarkStart w:id="83" w:name="Xd16b606d2c107a9aa9b77ec123dee02690b91f5"/>
    <w:p>
      <w:pPr>
        <w:pStyle w:val="Heading1"/>
      </w:pPr>
      <w:r>
        <w:t xml:space="preserve"># 15.1 Matriz de verificação da ferramenta de exigência</w:t>
      </w:r>
    </w:p>
    <w:bookmarkStart w:id="81" w:name="X763af72f26b62863a07094201bd79c6f08ff2f1"/>
    <w:p>
      <w:pPr>
        <w:pStyle w:val="Heading2"/>
      </w:pPr>
      <w:r>
        <w:t xml:space="preserve">•</w:t>
      </w:r>
      <w:r>
        <w:t xml:space="preserve"> </w:t>
      </w:r>
      <w:r>
        <w:rPr>
          <w:b/>
          <w:bCs/>
        </w:rPr>
        <w:t xml:space="preserve">Ferramenta ou recurso</w:t>
      </w:r>
      <w:r>
        <w:t xml:space="preserve"> </w:t>
      </w:r>
      <w:r>
        <w:rPr>
          <w:b/>
          <w:bCs/>
        </w:rPr>
        <w:t xml:space="preserve">HIPAA support</w:t>
      </w:r>
      <w:r>
        <w:t xml:space="preserve"> </w:t>
      </w:r>
      <w:r>
        <w:t xml:space="preserve">**</w:t>
      </w:r>
      <w:r>
        <w:t xml:space="preserve"> </w:t>
      </w:r>
      <w:r>
        <w:rPr>
          <w:b/>
          <w:bCs/>
        </w:rPr>
        <w:t xml:space="preserve">Tarefa de verificação</w:t>
      </w:r>
      <w:r>
        <w:t xml:space="preserve"> </w:t>
      </w:r>
      <w:r>
        <w:rPr>
          <w:b/>
          <w:bCs/>
        </w:rPr>
        <w:t xml:space="preserve">Saída para reter</w:t>
      </w:r>
      <w:r>
        <w:t xml:space="preserve"> </w:t>
      </w:r>
      <w:r>
        <w:rPr>
          <w:b/>
          <w:bCs/>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81"/>
    <w:bookmarkStart w:id="82"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82"/>
    <w:bookmarkEnd w:id="83"/>
    <w:bookmarkStart w:id="84"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FirstParagraph"/>
      </w:pP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84"/>
    <w:bookmarkStart w:id="85"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85"/>
    <w:bookmarkStart w:id="87"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86">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87"/>
    <w:bookmarkStart w:id="90"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89"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88">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89"/>
    <w:bookmarkEnd w:id="90"/>
    <w:bookmarkStart w:id="91"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91"/>
    <w:bookmarkStart w:id="93"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92">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93"/>
    <w:bookmarkStart w:id="94"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94"/>
    <w:bookmarkStart w:id="96"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95">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96"/>
    <w:bookmarkStart w:id="97"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97"/>
    <w:bookmarkStart w:id="99"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9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99"/>
    <w:bookmarkStart w:id="100"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0"/>
    <w:bookmarkStart w:id="102"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01">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02"/>
    <w:bookmarkStart w:id="103"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3"/>
    <w:bookmarkStart w:id="105"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04">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05"/>
    <w:bookmarkStart w:id="106"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6"/>
    <w:bookmarkStart w:id="108"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07">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08"/>
    <w:bookmarkStart w:id="109"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9"/>
    <w:bookmarkStart w:id="111"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10">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11"/>
    <w:bookmarkStart w:id="112"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2"/>
    <w:bookmarkStart w:id="114"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13">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14"/>
    <w:bookmarkStart w:id="115"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5"/>
    <w:bookmarkStart w:id="117" w:name="recursos-governamentais-livres"/>
    <w:p>
      <w:pPr>
        <w:pStyle w:val="Heading1"/>
      </w:pPr>
      <w:r>
        <w:t xml:space="preserve"># 15.15 Recursos governamentais livres</w:t>
      </w:r>
    </w:p>
    <w:p>
      <w:pPr>
        <w:pStyle w:val="FirstParagraph"/>
      </w:pPr>
      <w:r>
        <w:rPr>
          <w:b/>
          <w:bCs/>
        </w:rPr>
        <w:t xml:space="preserve">Ferramenta de Avaliação de Riscos de Segurança do HHS/ONC:</w:t>
      </w:r>
      <w:r>
        <w:t xml:space="preserve"> </w:t>
      </w:r>
      <w:hyperlink r:id="rId116">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17"/>
    <w:bookmarkStart w:id="118"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18"/>
    <w:bookmarkStart w:id="119" w:name="X06edb961b43cf7666022f9d04514739c68efcac"/>
    <w:p>
      <w:pPr>
        <w:pStyle w:val="Heading1"/>
      </w:pPr>
      <w:r>
        <w:t xml:space="preserve">16. Laboratório Ficcional de Saúde e Portfólio</w:t>
      </w:r>
    </w:p>
    <w:p>
      <w:pPr>
        <w:pStyle w:val="Compact"/>
        <w:numPr>
          <w:ilvl w:val="0"/>
          <w:numId w:val="1055"/>
        </w:numPr>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19"/>
    <w:bookmarkStart w:id="121"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20"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20"/>
    <w:bookmarkEnd w:id="121"/>
    <w:bookmarkStart w:id="122"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22"/>
    <w:bookmarkStart w:id="123"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23"/>
    <w:bookmarkStart w:id="124"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24"/>
    <w:bookmarkStart w:id="125"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25"/>
    <w:bookmarkStart w:id="126"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26"/>
    <w:bookmarkStart w:id="127"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pStyle w:val="Compact"/>
        <w:numPr>
          <w:ilvl w:val="0"/>
          <w:numId w:val="1056"/>
        </w:numPr>
      </w:pPr>
      <w:r>
        <w:t xml:space="preserve">Plano de Aprendizagem de Trinta Dias</w:t>
      </w:r>
    </w:p>
    <w:p>
      <w:pPr>
        <w:pStyle w:val="Compact"/>
        <w:numPr>
          <w:ilvl w:val="0"/>
          <w:numId w:val="1057"/>
        </w:numPr>
      </w:pPr>
      <w:r>
        <w:t xml:space="preserve">Um mês realista de leitura oficial, prática, trabalho de portfólio, e preparação de entrevista.*</w:t>
      </w:r>
    </w:p>
    <w:p>
      <w:pPr>
        <w:pStyle w:val="FirstParagraph"/>
      </w:pPr>
      <w:r>
        <w:t xml:space="preserve">*Semana</w:t>
      </w:r>
      <w:r>
        <w:rPr>
          <w:b/>
          <w:bCs/>
        </w:rPr>
        <w:t xml:space="preserve"> </w:t>
      </w:r>
      <w:r>
        <w:t xml:space="preserve"> </w:t>
      </w:r>
      <w:r>
        <w:t xml:space="preserve">Foco</w:t>
      </w:r>
      <w:r>
        <w:rPr>
          <w:b/>
          <w:bCs/>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27"/>
    <w:bookmarkStart w:id="128"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28"/>
    <w:bookmarkStart w:id="129" w:name="preparação-da-entrevista"/>
    <w:p>
      <w:pPr>
        <w:pStyle w:val="Heading1"/>
      </w:pPr>
      <w:r>
        <w:t xml:space="preserve">18. Preparação da entrevista</w:t>
      </w:r>
    </w:p>
    <w:p>
      <w:pPr>
        <w:pStyle w:val="FirstParagraph"/>
      </w:pPr>
      <w:r>
        <w:rPr>
          <w:i/>
          <w:iCs/>
        </w:rPr>
        <w:t xml:space="preserve">Perguntas e respostas curtas para analistas e gestores.</w:t>
      </w:r>
    </w:p>
    <w:bookmarkEnd w:id="129"/>
    <w:bookmarkStart w:id="130"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30"/>
    <w:bookmarkStart w:id="131"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31"/>
    <w:bookmarkStart w:id="132"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32"/>
    <w:bookmarkStart w:id="133"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33"/>
    <w:bookmarkStart w:id="134"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34"/>
    <w:bookmarkStart w:id="135"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35"/>
    <w:bookmarkStart w:id="136"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36"/>
    <w:bookmarkStart w:id="137"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37"/>
    <w:bookmarkStart w:id="138"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38"/>
    <w:bookmarkStart w:id="139"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39"/>
    <w:bookmarkStart w:id="141" w:name="modelos-e-listas-de-verificação"/>
    <w:p>
      <w:pPr>
        <w:pStyle w:val="Heading1"/>
      </w:pPr>
      <w:r>
        <w:t xml:space="preserve">19. Modelos e Listas de Verificação</w:t>
      </w:r>
    </w:p>
    <w:p>
      <w:pPr>
        <w:pStyle w:val="Compact"/>
        <w:numPr>
          <w:ilvl w:val="0"/>
          <w:numId w:val="1058"/>
        </w:numPr>
      </w:pPr>
      <w:r>
        <w:t xml:space="preserve">Estruturas práticas para um sistema organizacional aprovado.*</w:t>
      </w:r>
    </w:p>
    <w:bookmarkStart w:id="140"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40"/>
    <w:bookmarkEnd w:id="141"/>
    <w:bookmarkStart w:id="142"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42"/>
    <w:bookmarkStart w:id="146" w:name="quebrar-a-folha-de-factos"/>
    <w:p>
      <w:pPr>
        <w:pStyle w:val="Heading1"/>
      </w:pPr>
      <w:r>
        <w:t xml:space="preserve"># 19.3 Quebrar a folha de factos</w:t>
      </w:r>
    </w:p>
    <w:bookmarkStart w:id="143"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43"/>
    <w:bookmarkStart w:id="144"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44"/>
    <w:bookmarkStart w:id="145"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45"/>
    <w:bookmarkEnd w:id="146"/>
    <w:bookmarkStart w:id="147" w:name="glossário"/>
    <w:p>
      <w:pPr>
        <w:pStyle w:val="Heading1"/>
      </w:pPr>
      <w:r>
        <w:t xml:space="preserve">20. Glossário</w:t>
      </w:r>
    </w:p>
    <w:p>
      <w:pPr>
        <w:pStyle w:val="FirstParagraph"/>
      </w:pPr>
      <w:r>
        <w:rPr>
          <w:i/>
          <w:iCs/>
        </w:rPr>
        <w:t xml:space="preserve">Definições em inglês de HIPAA importantes e termos de privacidade em saúde.</w:t>
      </w:r>
    </w:p>
    <w:p>
      <w:pPr>
        <w:pStyle w:val="BodyText"/>
      </w:pPr>
      <w:r>
        <w:rPr>
          <w:b/>
          <w:bCs/>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pStyle w:val="Compact"/>
        <w:numPr>
          <w:ilvl w:val="0"/>
          <w:numId w:val="1059"/>
        </w:numPr>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
          <w:bCs/>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
          <w:bCs/>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
          <w:bCs/>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
          <w:bCs/>
        </w:rPr>
        <w:t xml:space="preserve">Tratamento, pagamento e operações de saúde.</w:t>
      </w:r>
      <w:r>
        <w:rPr>
          <w:b/>
          <w:bCs/>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47"/>
    <w:bookmarkStart w:id="149" w:name="índice-de-assuntos"/>
    <w:p>
      <w:pPr>
        <w:pStyle w:val="Heading1"/>
      </w:pPr>
      <w:r>
        <w:t xml:space="preserve">21. Índice de assuntos</w:t>
      </w:r>
    </w:p>
    <w:p>
      <w:pPr>
        <w:pStyle w:val="Compact"/>
        <w:numPr>
          <w:ilvl w:val="0"/>
          <w:numId w:val="1060"/>
        </w:numPr>
      </w:pPr>
      <w:r>
        <w:t xml:space="preserve">Um guia alfabético para tópicos principais. As referências apontam para seções para que o índice permaneça útil após a edição.*</w:t>
      </w:r>
    </w:p>
    <w:bookmarkStart w:id="148"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48"/>
    <w:bookmarkEnd w:id="149"/>
    <w:bookmarkStart w:id="164" w:name="referências-oficiais-e-estudo-adicional"/>
    <w:p>
      <w:pPr>
        <w:pStyle w:val="Heading1"/>
      </w:pPr>
      <w:r>
        <w:t xml:space="preserve">22. Referências Oficiais e Estudo Adicional</w:t>
      </w:r>
    </w:p>
    <w:p>
      <w:pPr>
        <w:pStyle w:val="Compact"/>
        <w:numPr>
          <w:ilvl w:val="0"/>
          <w:numId w:val="1061"/>
        </w:numPr>
      </w:pPr>
      <w:r>
        <w:t xml:space="preserve">Lei atual do governo, orientação, ferramentas e documentação oficial do projeto usada para verificação.*</w:t>
      </w:r>
    </w:p>
    <w:p>
      <w:pPr>
        <w:pStyle w:val="FirstParagraph"/>
      </w:pPr>
      <w:hyperlink r:id="rId150">
        <w:r>
          <w:rPr>
            <w:rStyle w:val="Hyperlink"/>
          </w:rPr>
          <w:t xml:space="preserve">eCFR — 45 CFR Parte 160</w:t>
        </w:r>
      </w:hyperlink>
    </w:p>
    <w:p>
      <w:pPr>
        <w:pStyle w:val="BodyText"/>
      </w:pPr>
      <w:hyperlink r:id="rId151">
        <w:r>
          <w:rPr>
            <w:rStyle w:val="Hyperlink"/>
          </w:rPr>
          <w:t xml:space="preserve">eCFR — 45 CFR Parte 164</w:t>
        </w:r>
      </w:hyperlink>
    </w:p>
    <w:p>
      <w:pPr>
        <w:pStyle w:val="BodyText"/>
      </w:pPr>
      <w:hyperlink r:id="rId152">
        <w:r>
          <w:rPr>
            <w:rStyle w:val="Hyperlink"/>
          </w:rPr>
          <w:t xml:space="preserve">HHS — HIPAA para Profissionais</w:t>
        </w:r>
      </w:hyperlink>
    </w:p>
    <w:p>
      <w:pPr>
        <w:pStyle w:val="BodyText"/>
      </w:pPr>
      <w:hyperlink r:id="rId153">
        <w:r>
          <w:rPr>
            <w:rStyle w:val="Hyperlink"/>
          </w:rPr>
          <w:t xml:space="preserve">HHS — Regra de privacidade</w:t>
        </w:r>
      </w:hyperlink>
    </w:p>
    <w:p>
      <w:pPr>
        <w:pStyle w:val="BodyText"/>
      </w:pPr>
      <w:hyperlink r:id="rId154">
        <w:r>
          <w:rPr>
            <w:rStyle w:val="Hyperlink"/>
          </w:rPr>
          <w:t xml:space="preserve">HHS — Regra de segurança</w:t>
        </w:r>
      </w:hyperlink>
    </w:p>
    <w:p>
      <w:pPr>
        <w:pStyle w:val="BodyText"/>
      </w:pPr>
      <w:hyperlink r:id="rId155">
        <w:r>
          <w:rPr>
            <w:rStyle w:val="Hyperlink"/>
          </w:rPr>
          <w:t xml:space="preserve">HHS — Regra de notificação de violação</w:t>
        </w:r>
      </w:hyperlink>
    </w:p>
    <w:p>
      <w:pPr>
        <w:pStyle w:val="BodyText"/>
      </w:pPr>
      <w:hyperlink r:id="rId156">
        <w:r>
          <w:rPr>
            <w:rStyle w:val="Hyperlink"/>
          </w:rPr>
          <w:t xml:space="preserve">HHS — Orientação para a Análise de Riscos</w:t>
        </w:r>
      </w:hyperlink>
    </w:p>
    <w:p>
      <w:pPr>
        <w:pStyle w:val="BodyText"/>
      </w:pPr>
      <w:hyperlink r:id="rId157">
        <w:r>
          <w:rPr>
            <w:rStyle w:val="Hyperlink"/>
          </w:rPr>
          <w:t xml:space="preserve">HHS — Protocolo de auditoria HIPAA</w:t>
        </w:r>
      </w:hyperlink>
    </w:p>
    <w:p>
      <w:pPr>
        <w:pStyle w:val="BodyText"/>
      </w:pPr>
      <w:hyperlink r:id="rId158">
        <w:r>
          <w:rPr>
            <w:rStyle w:val="Hyperlink"/>
          </w:rPr>
          <w:t xml:space="preserve">HHS — Provisões para acordos associados às empresas</w:t>
        </w:r>
      </w:hyperlink>
    </w:p>
    <w:p>
      <w:pPr>
        <w:pStyle w:val="BodyText"/>
      </w:pPr>
      <w:hyperlink r:id="rId159">
        <w:r>
          <w:rPr>
            <w:rStyle w:val="Hyperlink"/>
          </w:rPr>
          <w:t xml:space="preserve">HHS — 42 CFR Parte 2</w:t>
        </w:r>
      </w:hyperlink>
    </w:p>
    <w:p>
      <w:pPr>
        <w:pStyle w:val="BodyText"/>
      </w:pPr>
      <w:hyperlink r:id="rId160">
        <w:r>
          <w:rPr>
            <w:rStyle w:val="Hyperlink"/>
          </w:rPr>
          <w:t xml:space="preserve">HHS — Estado da regra da saúde reprodutiva</w:t>
        </w:r>
      </w:hyperlink>
    </w:p>
    <w:p>
      <w:pPr>
        <w:pStyle w:val="BodyText"/>
      </w:pPr>
      <w:hyperlink r:id="rId161">
        <w:r>
          <w:rPr>
            <w:rStyle w:val="Hyperlink"/>
          </w:rPr>
          <w:t xml:space="preserve">HHS — Regra de segurança NRM</w:t>
        </w:r>
      </w:hyperlink>
    </w:p>
    <w:p>
      <w:pPr>
        <w:pStyle w:val="BodyText"/>
      </w:pPr>
      <w:hyperlink r:id="rId162">
        <w:r>
          <w:rPr>
            <w:rStyle w:val="Hyperlink"/>
          </w:rPr>
          <w:t xml:space="preserve">NIST SP 800-66 Rev. 2</w:t>
        </w:r>
      </w:hyperlink>
    </w:p>
    <w:p>
      <w:pPr>
        <w:pStyle w:val="BodyText"/>
      </w:pPr>
      <w:hyperlink r:id="rId116">
        <w:r>
          <w:rPr>
            <w:rStyle w:val="Hyperlink"/>
          </w:rPr>
          <w:t xml:space="preserve">HealthIT.gov — Ferramenta de Avaliação do Risco de Segurança</w:t>
        </w:r>
      </w:hyperlink>
    </w:p>
    <w:p>
      <w:pPr>
        <w:pStyle w:val="BodyText"/>
      </w:pPr>
      <w:hyperlink r:id="rId163">
        <w:r>
          <w:rPr>
            <w:rStyle w:val="Hyperlink"/>
          </w:rPr>
          <w:t xml:space="preserve">Documentação do Assistente CISO</w:t>
        </w:r>
      </w:hyperlink>
    </w:p>
    <w:p>
      <w:pPr>
        <w:pStyle w:val="BodyText"/>
      </w:pPr>
      <w:hyperlink r:id="rId86">
        <w:r>
          <w:rPr>
            <w:rStyle w:val="Hyperlink"/>
          </w:rPr>
          <w:t xml:space="preserve">Documentação wazuh</w:t>
        </w:r>
      </w:hyperlink>
    </w:p>
    <w:p>
      <w:pPr>
        <w:pStyle w:val="BodyText"/>
      </w:pPr>
      <w:hyperlink r:id="rId88">
        <w:r>
          <w:rPr>
            <w:rStyle w:val="Hyperlink"/>
          </w:rPr>
          <w:t xml:space="preserve">Documentação OpenSCAP</w:t>
        </w:r>
      </w:hyperlink>
    </w:p>
    <w:p>
      <w:pPr>
        <w:pStyle w:val="BodyText"/>
      </w:pPr>
      <w:hyperlink r:id="rId92">
        <w:r>
          <w:rPr>
            <w:rStyle w:val="Hyperlink"/>
          </w:rPr>
          <w:t xml:space="preserve">Documentação da edição comunitária de Greenbone</w:t>
        </w:r>
      </w:hyperlink>
    </w:p>
    <w:p>
      <w:pPr>
        <w:pStyle w:val="BodyText"/>
      </w:pPr>
      <w:hyperlink r:id="rId95">
        <w:r>
          <w:rPr>
            <w:rStyle w:val="Hyperlink"/>
          </w:rPr>
          <w:t xml:space="preserve">documentação de osquery</w:t>
        </w:r>
      </w:hyperlink>
    </w:p>
    <w:p>
      <w:pPr>
        <w:pStyle w:val="BodyText"/>
      </w:pPr>
      <w:hyperlink r:id="rId98">
        <w:r>
          <w:rPr>
            <w:rStyle w:val="Hyperlink"/>
          </w:rPr>
          <w:t xml:space="preserve">Documentação trivy</w:t>
        </w:r>
      </w:hyperlink>
    </w:p>
    <w:p>
      <w:pPr>
        <w:pStyle w:val="BodyText"/>
      </w:pPr>
      <w:hyperlink r:id="rId101">
        <w:r>
          <w:rPr>
            <w:rStyle w:val="Hyperlink"/>
          </w:rPr>
          <w:t xml:space="preserve">OWASP documentação ZAP</w:t>
        </w:r>
      </w:hyperlink>
    </w:p>
    <w:p>
      <w:pPr>
        <w:pStyle w:val="BodyText"/>
      </w:pPr>
      <w:hyperlink r:id="rId104">
        <w:r>
          <w:rPr>
            <w:rStyle w:val="Hyperlink"/>
          </w:rPr>
          <w:t xml:space="preserve">Documentação do keycloak</w:t>
        </w:r>
      </w:hyperlink>
    </w:p>
    <w:p>
      <w:pPr>
        <w:pStyle w:val="BodyText"/>
      </w:pPr>
      <w:hyperlink r:id="rId107">
        <w:r>
          <w:rPr>
            <w:rStyle w:val="Hyperlink"/>
          </w:rPr>
          <w:t xml:space="preserve">DefectDojo documentation</w:t>
        </w:r>
      </w:hyperlink>
    </w:p>
    <w:p>
      <w:pPr>
        <w:pStyle w:val="BodyText"/>
      </w:pPr>
      <w:hyperlink r:id="rId110">
        <w:r>
          <w:rPr>
            <w:rStyle w:val="Hyperlink"/>
          </w:rPr>
          <w:t xml:space="preserve">Documentação do Velociraptor</w:t>
        </w:r>
      </w:hyperlink>
    </w:p>
    <w:p>
      <w:pPr>
        <w:pStyle w:val="BodyText"/>
      </w:pPr>
      <w:hyperlink r:id="rId113">
        <w:r>
          <w:rPr>
            <w:rStyle w:val="Hyperlink"/>
          </w:rPr>
          <w:t xml:space="preserve">Documentação do agente de política aberta</w:t>
        </w:r>
      </w:hyperlink>
    </w:p>
    <w:p>
      <w:pPr>
        <w:pStyle w:val="BodyText"/>
      </w:pPr>
      <w:r>
        <w:rPr>
          <w:b/>
          <w:bCs/>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14">
    <w:nsid w:val="0A997314"/>
    <w:multiLevelType w:val="multilevel"/>
    <w:lvl w:ilvl="0">
      <w:start w:val="14"/>
      <w:numFmt w:val="lowerLetter"/>
      <w:lvlText w:val="(%1)"/>
      <w:lvlJc w:val="left"/>
      <w:pPr>
        <w:ind w:left="720" w:hanging="360"/>
      </w:pPr>
    </w:lvl>
    <w:lvl w:ilvl="1">
      <w:start w:val="14"/>
      <w:numFmt w:val="lowerLetter"/>
      <w:lvlText w:val="(%2)"/>
      <w:lvlJc w:val="left"/>
      <w:pPr>
        <w:ind w:left="1440" w:hanging="360"/>
      </w:pPr>
    </w:lvl>
    <w:lvl w:ilvl="2">
      <w:start w:val="14"/>
      <w:numFmt w:val="lowerLetter"/>
      <w:lvlText w:val="(%3)"/>
      <w:lvlJc w:val="left"/>
      <w:pPr>
        <w:ind w:left="2160" w:hanging="360"/>
      </w:pPr>
    </w:lvl>
    <w:lvl w:ilvl="3">
      <w:start w:val="14"/>
      <w:numFmt w:val="lowerLetter"/>
      <w:lvlText w:val="(%4)"/>
      <w:lvlJc w:val="left"/>
      <w:pPr>
        <w:ind w:left="2880" w:hanging="360"/>
      </w:pPr>
    </w:lvl>
    <w:lvl w:ilvl="4">
      <w:start w:val="14"/>
      <w:numFmt w:val="lowerLetter"/>
      <w:lvlText w:val="(%5)"/>
      <w:lvlJc w:val="left"/>
      <w:pPr>
        <w:ind w:left="3600" w:hanging="360"/>
      </w:pPr>
    </w:lvl>
    <w:lvl w:ilvl="5">
      <w:start w:val="14"/>
      <w:numFmt w:val="lowerLetter"/>
      <w:lvlText w:val="(%6)"/>
      <w:lvlJc w:val="left"/>
      <w:pPr>
        <w:ind w:left="4320" w:hanging="360"/>
      </w:pPr>
    </w:lvl>
    <w:lvl w:ilvl="6">
      <w:start w:val="14"/>
      <w:numFmt w:val="lowerLetter"/>
      <w:lvlText w:val="(%7)"/>
      <w:lvlJc w:val="left"/>
      <w:pPr>
        <w:ind w:left="5040" w:hanging="360"/>
      </w:pPr>
    </w:lvl>
    <w:lvl w:ilvl="7">
      <w:start w:val="14"/>
      <w:numFmt w:val="lowerLetter"/>
      <w:lvlText w:val="(%8)"/>
      <w:lvlJc w:val="left"/>
      <w:pPr>
        <w:ind w:left="5760" w:hanging="360"/>
      </w:pPr>
    </w:lvl>
    <w:lvl w:ilvl="8">
      <w:start w:val="14"/>
      <w:numFmt w:val="lowerLetter"/>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2" Target="https://csrc.nist.gov/pubs/sp/800/66/r2/final" TargetMode="External" /><Relationship Type="http://schemas.openxmlformats.org/officeDocument/2006/relationships/hyperlink" Id="rId107" Target="https://docs.defectdojo.com/" TargetMode="External" /><Relationship Type="http://schemas.openxmlformats.org/officeDocument/2006/relationships/hyperlink" Id="rId110" Target="https://docs.velociraptor.app/" TargetMode="External" /><Relationship Type="http://schemas.openxmlformats.org/officeDocument/2006/relationships/hyperlink" Id="rId86" Target="https://documentation.wazuh.com/current/quickstart.html" TargetMode="External" /><Relationship Type="http://schemas.openxmlformats.org/officeDocument/2006/relationships/hyperlink" Id="rId92" Target="https://greenbone.github.io/docs/latest/" TargetMode="External" /><Relationship Type="http://schemas.openxmlformats.org/officeDocument/2006/relationships/hyperlink" Id="rId163" Target="https://intuitem.gitbook.io/ciso-assistant" TargetMode="External" /><Relationship Type="http://schemas.openxmlformats.org/officeDocument/2006/relationships/hyperlink" Id="rId95" Target="https://osquery.readthedocs.io/en/stable/" TargetMode="External" /><Relationship Type="http://schemas.openxmlformats.org/officeDocument/2006/relationships/hyperlink" Id="rId98" Target="https://trivy.dev/latest/" TargetMode="External" /><Relationship Type="http://schemas.openxmlformats.org/officeDocument/2006/relationships/hyperlink" Id="rId150" Target="https://www.ecfr.gov/current/title-45/subtitle-A/subchapter-C/part-160" TargetMode="External" /><Relationship Type="http://schemas.openxmlformats.org/officeDocument/2006/relationships/hyperlink" Id="rId151" Target="https://www.ecfr.gov/current/title-45/subtitle-A/subchapter-C/part-164" TargetMode="External" /><Relationship Type="http://schemas.openxmlformats.org/officeDocument/2006/relationships/hyperlink" Id="rId116" Target="https://www.healthit.gov/topic/privacy-security-and-hipaa/security-risk-assessment-tool" TargetMode="External" /><Relationship Type="http://schemas.openxmlformats.org/officeDocument/2006/relationships/hyperlink" Id="rId155" Target="https://www.hhs.gov/hipaa/for-professionals/breach-notification/index.html" TargetMode="External" /><Relationship Type="http://schemas.openxmlformats.org/officeDocument/2006/relationships/hyperlink" Id="rId157" Target="https://www.hhs.gov/hipaa/for-professionals/compliance-enforcement/audit/protocol/index.html" TargetMode="External" /><Relationship Type="http://schemas.openxmlformats.org/officeDocument/2006/relationships/hyperlink" Id="rId158" Target="https://www.hhs.gov/hipaa/for-professionals/covered-entities/sample-business-associate-agreement-provisions/index.html" TargetMode="External" /><Relationship Type="http://schemas.openxmlformats.org/officeDocument/2006/relationships/hyperlink" Id="rId152" Target="https://www.hhs.gov/hipaa/for-professionals/index.html" TargetMode="External" /><Relationship Type="http://schemas.openxmlformats.org/officeDocument/2006/relationships/hyperlink" Id="rId153" Target="https://www.hhs.gov/hipaa/for-professionals/privacy/index.html" TargetMode="External" /><Relationship Type="http://schemas.openxmlformats.org/officeDocument/2006/relationships/hyperlink" Id="rId156" Target="https://www.hhs.gov/hipaa/for-professionals/security/guidance/guidance-risk-analysis/index.html" TargetMode="External" /><Relationship Type="http://schemas.openxmlformats.org/officeDocument/2006/relationships/hyperlink" Id="rId161" Target="https://www.hhs.gov/hipaa/for-professionals/security/hipaa-security-rule-nprm/index.html" TargetMode="External" /><Relationship Type="http://schemas.openxmlformats.org/officeDocument/2006/relationships/hyperlink" Id="rId154" Target="https://www.hhs.gov/hipaa/for-professionals/security/index.html" TargetMode="External" /><Relationship Type="http://schemas.openxmlformats.org/officeDocument/2006/relationships/hyperlink" Id="rId160" Target="https://www.hhs.gov/hipaa/for-professionals/special-topics/reproductive-health/index.html" TargetMode="External" /><Relationship Type="http://schemas.openxmlformats.org/officeDocument/2006/relationships/hyperlink" Id="rId159" Target="https://www.hhs.gov/hipaa/part-2/index.html" TargetMode="External" /><Relationship Type="http://schemas.openxmlformats.org/officeDocument/2006/relationships/hyperlink" Id="rId104" Target="https://www.keycloak.org/guides" TargetMode="External" /><Relationship Type="http://schemas.openxmlformats.org/officeDocument/2006/relationships/hyperlink" Id="rId88" Target="https://www.open-scap.org/getting-started/" TargetMode="External" /><Relationship Type="http://schemas.openxmlformats.org/officeDocument/2006/relationships/hyperlink" Id="rId113" Target="https://www.openpolicyagent.org/docs" TargetMode="External" /><Relationship Type="http://schemas.openxmlformats.org/officeDocument/2006/relationships/hyperlink" Id="rId101"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2" Target="https://csrc.nist.gov/pubs/sp/800/66/r2/final" TargetMode="External" /><Relationship Type="http://schemas.openxmlformats.org/officeDocument/2006/relationships/hyperlink" Id="rId107" Target="https://docs.defectdojo.com/" TargetMode="External" /><Relationship Type="http://schemas.openxmlformats.org/officeDocument/2006/relationships/hyperlink" Id="rId110" Target="https://docs.velociraptor.app/" TargetMode="External" /><Relationship Type="http://schemas.openxmlformats.org/officeDocument/2006/relationships/hyperlink" Id="rId86" Target="https://documentation.wazuh.com/current/quickstart.html" TargetMode="External" /><Relationship Type="http://schemas.openxmlformats.org/officeDocument/2006/relationships/hyperlink" Id="rId92" Target="https://greenbone.github.io/docs/latest/" TargetMode="External" /><Relationship Type="http://schemas.openxmlformats.org/officeDocument/2006/relationships/hyperlink" Id="rId163" Target="https://intuitem.gitbook.io/ciso-assistant" TargetMode="External" /><Relationship Type="http://schemas.openxmlformats.org/officeDocument/2006/relationships/hyperlink" Id="rId95" Target="https://osquery.readthedocs.io/en/stable/" TargetMode="External" /><Relationship Type="http://schemas.openxmlformats.org/officeDocument/2006/relationships/hyperlink" Id="rId98" Target="https://trivy.dev/latest/" TargetMode="External" /><Relationship Type="http://schemas.openxmlformats.org/officeDocument/2006/relationships/hyperlink" Id="rId150" Target="https://www.ecfr.gov/current/title-45/subtitle-A/subchapter-C/part-160" TargetMode="External" /><Relationship Type="http://schemas.openxmlformats.org/officeDocument/2006/relationships/hyperlink" Id="rId151" Target="https://www.ecfr.gov/current/title-45/subtitle-A/subchapter-C/part-164" TargetMode="External" /><Relationship Type="http://schemas.openxmlformats.org/officeDocument/2006/relationships/hyperlink" Id="rId116" Target="https://www.healthit.gov/topic/privacy-security-and-hipaa/security-risk-assessment-tool" TargetMode="External" /><Relationship Type="http://schemas.openxmlformats.org/officeDocument/2006/relationships/hyperlink" Id="rId155" Target="https://www.hhs.gov/hipaa/for-professionals/breach-notification/index.html" TargetMode="External" /><Relationship Type="http://schemas.openxmlformats.org/officeDocument/2006/relationships/hyperlink" Id="rId157" Target="https://www.hhs.gov/hipaa/for-professionals/compliance-enforcement/audit/protocol/index.html" TargetMode="External" /><Relationship Type="http://schemas.openxmlformats.org/officeDocument/2006/relationships/hyperlink" Id="rId158" Target="https://www.hhs.gov/hipaa/for-professionals/covered-entities/sample-business-associate-agreement-provisions/index.html" TargetMode="External" /><Relationship Type="http://schemas.openxmlformats.org/officeDocument/2006/relationships/hyperlink" Id="rId152" Target="https://www.hhs.gov/hipaa/for-professionals/index.html" TargetMode="External" /><Relationship Type="http://schemas.openxmlformats.org/officeDocument/2006/relationships/hyperlink" Id="rId153" Target="https://www.hhs.gov/hipaa/for-professionals/privacy/index.html" TargetMode="External" /><Relationship Type="http://schemas.openxmlformats.org/officeDocument/2006/relationships/hyperlink" Id="rId156" Target="https://www.hhs.gov/hipaa/for-professionals/security/guidance/guidance-risk-analysis/index.html" TargetMode="External" /><Relationship Type="http://schemas.openxmlformats.org/officeDocument/2006/relationships/hyperlink" Id="rId161" Target="https://www.hhs.gov/hipaa/for-professionals/security/hipaa-security-rule-nprm/index.html" TargetMode="External" /><Relationship Type="http://schemas.openxmlformats.org/officeDocument/2006/relationships/hyperlink" Id="rId154" Target="https://www.hhs.gov/hipaa/for-professionals/security/index.html" TargetMode="External" /><Relationship Type="http://schemas.openxmlformats.org/officeDocument/2006/relationships/hyperlink" Id="rId160" Target="https://www.hhs.gov/hipaa/for-professionals/special-topics/reproductive-health/index.html" TargetMode="External" /><Relationship Type="http://schemas.openxmlformats.org/officeDocument/2006/relationships/hyperlink" Id="rId159" Target="https://www.hhs.gov/hipaa/part-2/index.html" TargetMode="External" /><Relationship Type="http://schemas.openxmlformats.org/officeDocument/2006/relationships/hyperlink" Id="rId104" Target="https://www.keycloak.org/guides" TargetMode="External" /><Relationship Type="http://schemas.openxmlformats.org/officeDocument/2006/relationships/hyperlink" Id="rId88" Target="https://www.open-scap.org/getting-started/" TargetMode="External" /><Relationship Type="http://schemas.openxmlformats.org/officeDocument/2006/relationships/hyperlink" Id="rId113" Target="https://www.openpolicyagent.org/docs" TargetMode="External" /><Relationship Type="http://schemas.openxmlformats.org/officeDocument/2006/relationships/hyperlink" Id="rId101"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2026-07-28T20:07:50Z</dcterms:created>
  <dcterms:modified xsi:type="dcterms:W3CDTF">2026-07-28T20:07:50Z</dcterms:modified>
</cp:coreProperties>
</file>

<file path=docProps/custom.xml><?xml version="1.0" encoding="utf-8"?>
<Properties xmlns="http://schemas.openxmlformats.org/officeDocument/2006/custom-properties" xmlns:vt="http://schemas.openxmlformats.org/officeDocument/2006/docPropsVTypes"/>
</file>