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PCI DSS v4.0.1</w:t>
      </w:r>
    </w:p>
    <w:p>
      <w:pPr>
        <w:pStyle w:val="BodyText"/>
      </w:pPr>
      <w:r>
        <w:rPr>
          <w:b/>
          <w:bCs/>
        </w:rPr>
        <w:t xml:space="preserve">Segurança de pagamento prática, verificação de conformidade e ferramentas de código aberto</w:t>
      </w:r>
      <w:r>
        <w:rPr>
          <w:b/>
          <w:bCs/>
        </w:rPr>
        <w:t xml:space="preserve"> </w:t>
      </w:r>
    </w:p>
    <w:p>
      <w:pPr>
        <w:pStyle w:val="Compact"/>
        <w:numPr>
          <w:ilvl w:val="0"/>
          <w:numId w:val="1001"/>
        </w:numPr>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9" w:name="X17a82a826d7c00cc825862a403e7451c9d1d422"/>
    <w:p>
      <w:pPr>
        <w:pStyle w:val="Heading2"/>
      </w:pPr>
      <w:r>
        <w:t xml:space="preserve">• todos os 12 requisitos • monitorização • SAQs e ROC • comércio electrónico • provas • ferramentas • laboratórios • preparação para a carreira</w:t>
      </w:r>
    </w:p>
    <w:bookmarkEnd w:id="9"/>
    <w:bookmarkStart w:id="13"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10"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10"/>
    <w:bookmarkStart w:id="11"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pStyle w:val="Compact"/>
        <w:numPr>
          <w:ilvl w:val="0"/>
          <w:numId w:val="1002"/>
        </w:numPr>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11"/>
    <w:bookmarkStart w:id="12"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12"/>
    <w:bookmarkEnd w:id="13"/>
    <w:bookmarkStart w:id="15" w:name="pci-dss-v4.0.1-fundações"/>
    <w:p>
      <w:pPr>
        <w:pStyle w:val="Heading1"/>
      </w:pPr>
      <w:r>
        <w:t xml:space="preserve">1. PCI DSS v4.0.1 Fundações</w:t>
      </w:r>
    </w:p>
    <w:p>
      <w:pPr>
        <w:pStyle w:val="Compact"/>
        <w:numPr>
          <w:ilvl w:val="0"/>
          <w:numId w:val="1003"/>
        </w:numPr>
      </w:pPr>
      <w:r>
        <w:t xml:space="preserve">O padrão atual, aplicabilidade, objetivos e limitações importantes.*</w:t>
      </w:r>
    </w:p>
    <w:p>
      <w:pPr>
        <w:pStyle w:val="FirstParagraph"/>
      </w:pPr>
    </w:p>
    <w:p>
      <w:pPr>
        <w:pStyle w:val="BodyText"/>
      </w:pPr>
      <w:r>
        <w:t xml:space="preserve">Figura 1. Os doze requisitos PCI DSS</w:t>
      </w:r>
    </w:p>
    <w:bookmarkStart w:id="14"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14"/>
    <w:bookmarkEnd w:id="15"/>
    <w:bookmarkStart w:id="17"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16"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16"/>
    <w:bookmarkEnd w:id="17"/>
    <w:bookmarkStart w:id="20" w:name="regras-de-proteção-e-dados-da-conta"/>
    <w:p>
      <w:pPr>
        <w:pStyle w:val="Heading1"/>
      </w:pPr>
      <w:r>
        <w:t xml:space="preserve">2. Regras de Proteção e Dados da Conta</w:t>
      </w:r>
    </w:p>
    <w:p>
      <w:pPr>
        <w:pStyle w:val="FirstParagraph"/>
      </w:pPr>
      <w:r>
        <w:rPr>
          <w:i/>
          <w:iCs/>
        </w:rPr>
        <w:t xml:space="preserve">A diferença entre dados do titular do cartão, PAN e dados de autenticação sensíveis.</w:t>
      </w:r>
    </w:p>
    <w:p>
      <w:pPr>
        <w:pStyle w:val="BodyText"/>
      </w:pPr>
    </w:p>
    <w:p>
      <w:pPr>
        <w:pStyle w:val="BodyText"/>
      </w:pPr>
      <w:r>
        <w:t xml:space="preserve">Figura 2. Categorias de dados de conta</w:t>
      </w:r>
    </w:p>
    <w:bookmarkStart w:id="18"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18"/>
    <w:bookmarkStart w:id="19"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19"/>
    <w:bookmarkEnd w:id="20"/>
    <w:bookmarkStart w:id="23" w:name="escopo-cde-e-segmentação"/>
    <w:p>
      <w:pPr>
        <w:pStyle w:val="Heading1"/>
      </w:pPr>
      <w:r>
        <w:t xml:space="preserve">3. Escopo, CDE e Segmentação</w:t>
      </w:r>
    </w:p>
    <w:p>
      <w:pPr>
        <w:pStyle w:val="Compact"/>
        <w:numPr>
          <w:ilvl w:val="0"/>
          <w:numId w:val="1006"/>
        </w:numPr>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21"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21"/>
    <w:bookmarkStart w:id="22"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22"/>
    <w:bookmarkEnd w:id="23"/>
    <w:bookmarkStart w:id="26" w:name="validação-saqs-roc-aoc-e-funções"/>
    <w:p>
      <w:pPr>
        <w:pStyle w:val="Heading1"/>
      </w:pPr>
      <w:r>
        <w:t xml:space="preserve">4. Validação, SAQs, ROC, AOC e Funções</w:t>
      </w:r>
    </w:p>
    <w:p>
      <w:pPr>
        <w:pStyle w:val="FirstParagraph"/>
      </w:pPr>
      <w:r>
        <w:rPr>
          <w:i/>
          <w:iCs/>
        </w:rPr>
        <w:t xml:space="preserve">Choosing o caminho correto do relatório e compreensão de quem o aceita.</w:t>
      </w:r>
    </w:p>
    <w:bookmarkStart w:id="24"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24"/>
    <w:bookmarkStart w:id="25"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25"/>
    <w:bookmarkEnd w:id="26"/>
    <w:bookmarkStart w:id="28" w:name="Xb3d6f67296591f771af8f41b92286088004ff45"/>
    <w:p>
      <w:pPr>
        <w:pStyle w:val="Heading1"/>
      </w:pPr>
      <w:r>
        <w:t xml:space="preserve">5. Abordagens definidas, personalizadas, compensadoras e de risco</w:t>
      </w:r>
    </w:p>
    <w:p>
      <w:pPr>
        <w:pStyle w:val="Compact"/>
        <w:numPr>
          <w:ilvl w:val="0"/>
          <w:numId w:val="1008"/>
        </w:numPr>
      </w:pPr>
      <w:r>
        <w:t xml:space="preserve">Compreender a flexibilidade sem enfraquecer o objetivo da exigência.*</w:t>
      </w:r>
    </w:p>
    <w:p>
      <w:pPr>
        <w:pStyle w:val="FirstParagraph"/>
      </w:pPr>
    </w:p>
    <w:p>
      <w:pPr>
        <w:pStyle w:val="BodyText"/>
      </w:pPr>
      <w:r>
        <w:t xml:space="preserve">Figura 5. Abordagens definidas e personalizadas</w:t>
      </w:r>
    </w:p>
    <w:bookmarkStart w:id="27"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27"/>
    <w:bookmarkEnd w:id="28"/>
    <w:bookmarkStart w:id="31" w:name="X77e163699acc5a168c7f3c4dfd6122f8c0bd5c7"/>
    <w:p>
      <w:pPr>
        <w:pStyle w:val="Heading1"/>
      </w:pPr>
      <w:r>
        <w:t xml:space="preserve">6. Requerimento 1 — Controles de Segurança de Rede</w:t>
      </w:r>
    </w:p>
    <w:p>
      <w:pPr>
        <w:pStyle w:val="Compact"/>
        <w:numPr>
          <w:ilvl w:val="0"/>
          <w:numId w:val="1009"/>
        </w:numPr>
      </w:pPr>
      <w:r>
        <w:t xml:space="preserve">Instalar e manter os controles de segurança da rede *</w:t>
      </w:r>
    </w:p>
    <w:bookmarkStart w:id="29" w:name="X02c5eb1b10a8520b35c036650a281345511992b"/>
    <w:p>
      <w:pPr>
        <w:pStyle w:val="Heading2"/>
      </w:pPr>
      <w:r>
        <w:t xml:space="preserve">Finalidade do requisito:** Instalar e manter os controles de segurança da rede</w:t>
      </w:r>
    </w:p>
    <w:bookmarkEnd w:id="29"/>
    <w:bookmarkStart w:id="30"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0"/>
    <w:bookmarkEnd w:id="31"/>
    <w:bookmarkStart w:id="34" w:name="requerimento-2-configurações-seguras"/>
    <w:p>
      <w:pPr>
        <w:pStyle w:val="Heading1"/>
      </w:pPr>
      <w:r>
        <w:t xml:space="preserve">7. Requerimento 2 — Configurações seguras</w:t>
      </w:r>
    </w:p>
    <w:p>
      <w:pPr>
        <w:pStyle w:val="FirstParagraph"/>
      </w:pPr>
      <w:r>
        <w:rPr>
          <w:i/>
          <w:iCs/>
        </w:rPr>
        <w:t xml:space="preserve">Aplicar configurações seguras para todos os componentes do sistema</w:t>
      </w:r>
      <w:r>
        <w:rPr>
          <w:i/>
          <w:iCs/>
        </w:rPr>
        <w:t xml:space="preserve"> </w:t>
      </w:r>
    </w:p>
    <w:bookmarkStart w:id="32" w:name="Xf4c9a6ffa4c8ddf05f0e86e6e1805e14130104d"/>
    <w:p>
      <w:pPr>
        <w:pStyle w:val="Heading2"/>
      </w:pPr>
      <w:r>
        <w:t xml:space="preserve">** finalidade do requisito:** Aplicar configurações seguras em todos os componentes do sistema</w:t>
      </w:r>
    </w:p>
    <w:bookmarkEnd w:id="32"/>
    <w:bookmarkStart w:id="33"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3"/>
    <w:bookmarkEnd w:id="34"/>
    <w:bookmarkStart w:id="38" w:name="requisitos-3-dados-da-conta-armazenada"/>
    <w:p>
      <w:pPr>
        <w:pStyle w:val="Heading1"/>
      </w:pPr>
      <w:r>
        <w:t xml:space="preserve">8. Requisitos 3 — Dados da Conta Armazenada</w:t>
      </w:r>
    </w:p>
    <w:p>
      <w:pPr>
        <w:pStyle w:val="FirstParagraph"/>
      </w:pPr>
      <w:r>
        <w:rPr>
          <w:i/>
          <w:iCs/>
        </w:rPr>
        <w:t xml:space="preserve">Protect Dados de Conta Armazenados</w:t>
      </w:r>
      <w:r>
        <w:rPr>
          <w:i/>
          <w:iCs/>
        </w:rPr>
        <w:t xml:space="preserve"> </w:t>
      </w:r>
    </w:p>
    <w:bookmarkStart w:id="35" w:name="Xb932c8d60de1de63bb7c26c02064b55e6f552d2"/>
    <w:p>
      <w:pPr>
        <w:pStyle w:val="Heading2"/>
      </w:pPr>
      <w:r>
        <w:rPr>
          <w:b/>
          <w:bCs/>
        </w:rPr>
        <w:t xml:space="preserve">Obrigatório:</w:t>
      </w:r>
      <w:r>
        <w:t xml:space="preserve">Proteger Dados de Conta Armazenados</w:t>
      </w:r>
    </w:p>
    <w:bookmarkEnd w:id="35"/>
    <w:bookmarkStart w:id="36"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36"/>
    <w:bookmarkStart w:id="37"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37"/>
    <w:bookmarkEnd w:id="38"/>
    <w:bookmarkStart w:id="41" w:name="X526f58b2beab305d14550cc88171a20ce77971b"/>
    <w:p>
      <w:pPr>
        <w:pStyle w:val="Heading1"/>
      </w:pPr>
      <w:r>
        <w:t xml:space="preserve">9. Requerimento 4 — Criptografia de Transmissão</w:t>
      </w:r>
    </w:p>
    <w:p>
      <w:pPr>
        <w:pStyle w:val="FirstParagraph"/>
      </w:pPr>
      <w:r>
        <w:rPr>
          <w:i/>
          <w:iCs/>
        </w:rPr>
        <w:t xml:space="preserve">Proteger dados do titular do cartão com forte criptografia durante a transmissão sobre redes públicas abertas</w:t>
      </w:r>
      <w:r>
        <w:rPr>
          <w:i/>
          <w:iCs/>
        </w:rPr>
        <w:t xml:space="preserve"> </w:t>
      </w:r>
    </w:p>
    <w:bookmarkStart w:id="39" w:name="X13202a12c05270bde46bf64fe47b01c0766164e"/>
    <w:p>
      <w:pPr>
        <w:pStyle w:val="Heading2"/>
      </w:pPr>
      <w:r>
        <w:rPr>
          <w:b/>
          <w:bCs/>
        </w:rPr>
        <w:t xml:space="preserve">Propósito do requisito:</w:t>
      </w:r>
      <w:r>
        <w:t xml:space="preserve">Proteger dados do titular do cartão com criptografia forte durante a transmissão sobre redes públicas abertas</w:t>
      </w:r>
    </w:p>
    <w:bookmarkEnd w:id="39"/>
    <w:bookmarkStart w:id="40"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0"/>
    <w:bookmarkEnd w:id="41"/>
    <w:bookmarkStart w:id="43" w:name="requerimento-5-software-maléfico"/>
    <w:p>
      <w:pPr>
        <w:pStyle w:val="Heading1"/>
      </w:pPr>
      <w:r>
        <w:t xml:space="preserve">10. Requerimento 5 — Software Maléfico</w:t>
      </w:r>
    </w:p>
    <w:p>
      <w:pPr>
        <w:pStyle w:val="FirstParagraph"/>
      </w:pPr>
      <w:r>
        <w:rPr>
          <w:i/>
          <w:iCs/>
        </w:rPr>
        <w:t xml:space="preserve">Proteger todos os sistemas e redes de software malicioso</w:t>
      </w:r>
      <w:r>
        <w:rPr>
          <w:i/>
          <w:iCs/>
        </w:rPr>
        <w:t xml:space="preserve"> </w:t>
      </w:r>
    </w:p>
    <w:p>
      <w:pPr>
        <w:pStyle w:val="BodyText"/>
      </w:pPr>
      <w:r>
        <w:t xml:space="preserve">O objetivo do requisito:** Proteja todos os sistemas e redes do software malicioso</w:t>
      </w:r>
      <w:r>
        <w:t xml:space="preserve"> </w:t>
      </w:r>
      <w:r>
        <w:t xml:space="preserve">□—————————————————————————————————————–</w:t>
      </w:r>
    </w:p>
    <w:bookmarkStart w:id="42"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2"/>
    <w:bookmarkEnd w:id="43"/>
    <w:bookmarkStart w:id="46" w:name="exigência-6-sistemas-seguros-e-software"/>
    <w:p>
      <w:pPr>
        <w:pStyle w:val="Heading1"/>
      </w:pPr>
      <w:r>
        <w:t xml:space="preserve">11. Exigência 6 — Sistemas seguros e software</w:t>
      </w:r>
    </w:p>
    <w:p>
      <w:pPr>
        <w:pStyle w:val="Compact"/>
        <w:numPr>
          <w:ilvl w:val="0"/>
          <w:numId w:val="1010"/>
        </w:numPr>
      </w:pPr>
      <w:r>
        <w:t xml:space="preserve">Desenvolver e manter sistemas seguros e software *</w:t>
      </w:r>
    </w:p>
    <w:bookmarkStart w:id="44" w:name="X6238a130fedaf60578e2f5d60abbe4471890213"/>
    <w:p>
      <w:pPr>
        <w:pStyle w:val="Heading2"/>
      </w:pPr>
      <w:r>
        <w:rPr>
          <w:b/>
          <w:bCs/>
        </w:rPr>
        <w:t xml:space="preserve">Propósito de exigência:</w:t>
      </w:r>
      <w:r>
        <w:t xml:space="preserve">Desenvolva e mantenha sistemas seguros e software</w:t>
      </w:r>
    </w:p>
    <w:bookmarkEnd w:id="44"/>
    <w:bookmarkStart w:id="45"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45"/>
    <w:bookmarkEnd w:id="46"/>
    <w:bookmarkStart w:id="49" w:name="exigência-7-necessidade-de-negócios"/>
    <w:p>
      <w:pPr>
        <w:pStyle w:val="Heading1"/>
      </w:pPr>
      <w:r>
        <w:t xml:space="preserve">12. Exigência 7 — Necessidade de Negócios</w:t>
      </w:r>
    </w:p>
    <w:p>
      <w:pPr>
        <w:pStyle w:val="FirstParagraph"/>
      </w:pPr>
      <w:r>
        <w:rPr>
          <w:i/>
          <w:iCs/>
        </w:rPr>
        <w:t xml:space="preserve">Restringir o acesso aos componentes do sistema e dados do titular do cartão por necessidade de conhecimento do negócio</w:t>
      </w:r>
    </w:p>
    <w:bookmarkStart w:id="47" w:name="Xba00c4ea17d252d7c48b0f96a65406c392fc9dc"/>
    <w:p>
      <w:pPr>
        <w:pStyle w:val="Heading2"/>
      </w:pPr>
      <w:r>
        <w:t xml:space="preserve">Finalidade do requisito:** Restrinja o acesso aos componentes do sistema e aos dados do titular do cartão pela necessidade do negócio de saber</w:t>
      </w:r>
    </w:p>
    <w:bookmarkEnd w:id="47"/>
    <w:bookmarkStart w:id="48"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8"/>
    <w:bookmarkEnd w:id="49"/>
    <w:bookmarkStart w:id="53" w:name="requerimento-8-identidade-e-autenticação"/>
    <w:p>
      <w:pPr>
        <w:pStyle w:val="Heading1"/>
      </w:pPr>
      <w:r>
        <w:t xml:space="preserve">13. Requerimento 8 — Identidade e Autenticação</w:t>
      </w:r>
    </w:p>
    <w:p>
      <w:pPr>
        <w:pStyle w:val="FirstParagraph"/>
      </w:pPr>
      <w:r>
        <w:rPr>
          <w:i/>
          <w:iCs/>
        </w:rPr>
        <w:t xml:space="preserve">Identifique usuários e autentique o acesso aos componentes do sistema</w:t>
      </w:r>
    </w:p>
    <w:bookmarkStart w:id="50" w:name="Xed08bacf67186036ca0001a4154479c4890ff5b"/>
    <w:p>
      <w:pPr>
        <w:pStyle w:val="Heading2"/>
      </w:pPr>
      <w:r>
        <w:t xml:space="preserve">** finalidade do requisito:** Identificar usuários e Autenticar o acesso aos componentes do sistema</w:t>
      </w:r>
    </w:p>
    <w:bookmarkEnd w:id="50"/>
    <w:bookmarkStart w:id="51"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Start w:id="52"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52"/>
    <w:bookmarkEnd w:id="53"/>
    <w:bookmarkStart w:id="56" w:name="requerimento-9-acesso-físico"/>
    <w:p>
      <w:pPr>
        <w:pStyle w:val="Heading1"/>
      </w:pPr>
      <w:r>
        <w:t xml:space="preserve">14. Requerimento 9 — Acesso físico</w:t>
      </w:r>
    </w:p>
    <w:p>
      <w:pPr>
        <w:pStyle w:val="Compact"/>
        <w:numPr>
          <w:ilvl w:val="0"/>
          <w:numId w:val="1011"/>
        </w:numPr>
      </w:pPr>
      <w:r>
        <w:t xml:space="preserve">Restrinja o acesso físico aos dados do titular do cartão</w:t>
      </w:r>
    </w:p>
    <w:bookmarkStart w:id="54" w:name="Xcf4e9f8f91919d3a083340712498e8c7f53c484"/>
    <w:p>
      <w:pPr>
        <w:pStyle w:val="Heading2"/>
      </w:pPr>
      <w:r>
        <w:rPr>
          <w:b/>
          <w:bCs/>
        </w:rPr>
        <w:t xml:space="preserve">Obrigatório:</w:t>
      </w:r>
      <w:r>
        <w:t xml:space="preserve"> </w:t>
      </w:r>
      <w:r>
        <w:t xml:space="preserve">Restrinja o acesso físico aos dados do titular do cartão</w:t>
      </w:r>
    </w:p>
    <w:bookmarkEnd w:id="54"/>
    <w:bookmarkStart w:id="55"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5"/>
    <w:bookmarkEnd w:id="56"/>
    <w:bookmarkStart w:id="59" w:name="requerimento-10-registro-e-monitoramento"/>
    <w:p>
      <w:pPr>
        <w:pStyle w:val="Heading1"/>
      </w:pPr>
      <w:r>
        <w:t xml:space="preserve">15. Requerimento 10 — Registro e Monitoramento</w:t>
      </w:r>
    </w:p>
    <w:p>
      <w:pPr>
        <w:pStyle w:val="FirstParagraph"/>
      </w:pPr>
      <w:r>
        <w:rPr>
          <w:i/>
          <w:iCs/>
        </w:rPr>
        <w:t xml:space="preserve">Logar e monitorar todo o acesso aos componentes do sistema e dados do titular do cartão</w:t>
      </w:r>
      <w:r>
        <w:rPr>
          <w:i/>
          <w:iCs/>
        </w:rPr>
        <w:t xml:space="preserve"> </w:t>
      </w:r>
    </w:p>
    <w:bookmarkStart w:id="57" w:name="Xb4d63f5a416fb2a9651ec869496d10bd8a40423"/>
    <w:p>
      <w:pPr>
        <w:pStyle w:val="Heading2"/>
      </w:pPr>
      <w:r>
        <w:rPr>
          <w:b/>
          <w:bCs/>
        </w:rPr>
        <w:t xml:space="preserve">Requisito:</w:t>
      </w:r>
      <w:r>
        <w:t xml:space="preserve"> </w:t>
      </w:r>
      <w:r>
        <w:t xml:space="preserve">Log and Monitor All Access to System Components and Cardholder Data</w:t>
      </w:r>
    </w:p>
    <w:bookmarkEnd w:id="57"/>
    <w:bookmarkStart w:id="58"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8"/>
    <w:bookmarkEnd w:id="59"/>
    <w:bookmarkStart w:id="62" w:name="exigência-11-testes-de-segurança"/>
    <w:p>
      <w:pPr>
        <w:pStyle w:val="Heading1"/>
      </w:pPr>
      <w:r>
        <w:t xml:space="preserve">16. Exigência 11 — Testes de segurança</w:t>
      </w:r>
    </w:p>
    <w:p>
      <w:pPr>
        <w:pStyle w:val="Compact"/>
        <w:numPr>
          <w:ilvl w:val="0"/>
          <w:numId w:val="1012"/>
        </w:numPr>
      </w:pPr>
      <w:r>
        <w:t xml:space="preserve">Sistemas de segurança de teste e processos regularmente *</w:t>
      </w:r>
    </w:p>
    <w:bookmarkStart w:id="60" w:name="Xc187c1d33b5c44534cd9cfe6eacda9e67700813"/>
    <w:p>
      <w:pPr>
        <w:pStyle w:val="Heading2"/>
      </w:pPr>
      <w:r>
        <w:rPr>
          <w:b/>
          <w:bCs/>
        </w:rPr>
        <w:t xml:space="preserve">Objectivo do requisito:</w:t>
      </w:r>
      <w:r>
        <w:t xml:space="preserve"> </w:t>
      </w:r>
      <w:r>
        <w:t xml:space="preserve">Sistemas e processos de segurança de teste regularmente</w:t>
      </w:r>
    </w:p>
    <w:bookmarkEnd w:id="60"/>
    <w:bookmarkStart w:id="61"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61"/>
    <w:bookmarkEnd w:id="62"/>
    <w:bookmarkStart w:id="64"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63"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63"/>
    <w:bookmarkEnd w:id="64"/>
    <w:bookmarkStart w:id="65" w:name="testes-de-evidência-avaliação-e-controle"/>
    <w:p>
      <w:pPr>
        <w:pStyle w:val="Heading1"/>
      </w:pPr>
      <w:r>
        <w:t xml:space="preserve">18. Testes de Evidência, Avaliação e Controle</w:t>
      </w:r>
    </w:p>
    <w:p>
      <w:pPr>
        <w:pStyle w:val="Compact"/>
        <w:numPr>
          <w:ilvl w:val="0"/>
          <w:numId w:val="1013"/>
        </w:numPr>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65"/>
    <w:bookmarkStart w:id="67" w:name="testes-práticos"/>
    <w:p>
      <w:pPr>
        <w:pStyle w:val="Heading1"/>
      </w:pPr>
      <w:r>
        <w:t xml:space="preserve"># 18.1 Testes práticos</w:t>
      </w:r>
    </w:p>
    <w:bookmarkStart w:id="66"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66"/>
    <w:bookmarkEnd w:id="67"/>
    <w:bookmarkStart w:id="70" w:name="Xebca4c93d18d2829a62f8ec962417a36ed60f31"/>
    <w:p>
      <w:pPr>
        <w:pStyle w:val="Heading1"/>
      </w:pPr>
      <w:r>
        <w:t xml:space="preserve">19. Ferramentas de código aberto para PCI DSS Work</w:t>
      </w:r>
    </w:p>
    <w:p>
      <w:pPr>
        <w:pStyle w:val="Compact"/>
        <w:numPr>
          <w:ilvl w:val="0"/>
          <w:numId w:val="1015"/>
        </w:numPr>
      </w:pPr>
      <w:r>
        <w:t xml:space="preserve">Links oficiais, inícios rápidos seguros, evidências e limitações.*</w:t>
      </w:r>
    </w:p>
    <w:bookmarkStart w:id="68" w:name="X4b46c8e9128bd4da305deea5771301f07091b82"/>
    <w:p>
      <w:pPr>
        <w:pStyle w:val="Heading2"/>
      </w:pPr>
      <w:r>
        <w:t xml:space="preserve">•</w:t>
      </w:r>
      <w:r>
        <w:t xml:space="preserve"> </w:t>
      </w:r>
      <w:r>
        <w:rPr>
          <w:b/>
          <w:bCs/>
        </w:rPr>
        <w:t xml:space="preserve">Ferramenta</w:t>
      </w:r>
      <w:r>
        <w:t xml:space="preserve"> </w:t>
      </w:r>
      <w:r>
        <w:rPr>
          <w:b/>
          <w:bCs/>
        </w:rPr>
        <w:t xml:space="preserve">Purpose</w:t>
      </w:r>
      <w:r>
        <w:t xml:space="preserve"> </w:t>
      </w:r>
      <w:r>
        <w:rPr>
          <w:b/>
          <w:bCs/>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68"/>
    <w:bookmarkStart w:id="69"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69"/>
    <w:bookmarkEnd w:id="70"/>
    <w:bookmarkStart w:id="71"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71"/>
    <w:bookmarkStart w:id="72"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72"/>
    <w:bookmarkStart w:id="74"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73">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74"/>
    <w:bookmarkStart w:id="77"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76"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75">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76"/>
    <w:bookmarkEnd w:id="77"/>
    <w:bookmarkStart w:id="80"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79"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78">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79"/>
    <w:bookmarkEnd w:id="80"/>
    <w:bookmarkStart w:id="81"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1"/>
    <w:bookmarkStart w:id="83"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
          <w:bCs/>
        </w:rPr>
        <w:t xml:space="preserve">Documentação oficial:</w:t>
      </w:r>
      <w:r>
        <w:t xml:space="preserve"> </w:t>
      </w:r>
      <w:hyperlink r:id="rId82">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83"/>
    <w:bookmarkStart w:id="86"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5"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84">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85"/>
    <w:bookmarkEnd w:id="86"/>
    <w:bookmarkStart w:id="87"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7"/>
    <w:bookmarkStart w:id="89"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8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89"/>
    <w:bookmarkStart w:id="90"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0"/>
    <w:bookmarkStart w:id="92"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92"/>
    <w:bookmarkStart w:id="93"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3"/>
    <w:bookmarkStart w:id="95"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94">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95"/>
    <w:bookmarkStart w:id="96"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6"/>
    <w:bookmarkStart w:id="98" w:name="suricata"/>
    <w:p>
      <w:pPr>
        <w:pStyle w:val="Heading1"/>
      </w:pPr>
      <w:r>
        <w:t xml:space="preserve"># 19.11 Suricata</w:t>
      </w:r>
    </w:p>
    <w:p>
      <w:pPr>
        <w:pStyle w:val="FirstParagraph"/>
      </w:pPr>
      <w:r>
        <w:t xml:space="preserve">Detecção de intrusão de rede. Possível suporte PCI DSS: 11.5.</w:t>
      </w:r>
    </w:p>
    <w:p>
      <w:pPr>
        <w:pStyle w:val="BodyText"/>
      </w:pPr>
      <w:r>
        <w:rPr>
          <w:b/>
          <w:bCs/>
        </w:rPr>
        <w:t xml:space="preserve">Documentação oficial:</w:t>
      </w:r>
      <w:r>
        <w:t xml:space="preserve"> </w:t>
      </w:r>
      <w:hyperlink r:id="rId97">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98"/>
    <w:bookmarkStart w:id="99"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9"/>
    <w:bookmarkStart w:id="101"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00">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01"/>
    <w:bookmarkStart w:id="102"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2"/>
    <w:bookmarkStart w:id="104"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
          <w:bCs/>
        </w:rPr>
        <w:t xml:space="preserve">Documentação oficial:</w:t>
      </w:r>
      <w:r>
        <w:t xml:space="preserve"> </w:t>
      </w:r>
      <w:hyperlink r:id="rId103">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04"/>
    <w:bookmarkStart w:id="106"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06"/>
    <w:bookmarkStart w:id="107"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open-policy-agent"/>
    <w:p>
      <w:pPr>
        <w:pStyle w:val="Heading1"/>
      </w:pPr>
      <w:r>
        <w:t xml:space="preserve"># 19.15 Open Policy Agent</w:t>
      </w:r>
    </w:p>
    <w:p>
      <w:pPr>
        <w:pStyle w:val="FirstParagraph"/>
      </w:pPr>
      <w:r>
        <w:t xml:space="preserve">Política como código. Possível suporte PCI DSS: 2, 6, 7.</w:t>
      </w:r>
    </w:p>
    <w:p>
      <w:pPr>
        <w:pStyle w:val="BodyText"/>
      </w:pPr>
      <w:r>
        <w:rPr>
          <w:b/>
          <w:bCs/>
        </w:rPr>
        <w:t xml:space="preserve">Documentação oficial:</w:t>
      </w:r>
      <w:r>
        <w:t xml:space="preserve"> </w:t>
      </w:r>
      <w:hyperlink r:id="rId108">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09"/>
    <w:bookmarkStart w:id="110"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1" w:name="manual-do-pci-dss-para-gerentes"/>
    <w:p>
      <w:pPr>
        <w:pStyle w:val="Heading1"/>
      </w:pPr>
      <w:r>
        <w:t xml:space="preserve">20. Manual do PCI DSS para gerentes</w:t>
      </w:r>
    </w:p>
    <w:p>
      <w:pPr>
        <w:pStyle w:val="FirstParagraph"/>
      </w:pPr>
      <w:r>
        <w:rPr>
          <w:i/>
          <w:iCs/>
        </w:rPr>
        <w:t xml:space="preserve">Perguntas, painéis, propriedade e decisões os gerentes devem controlar.</w:t>
      </w:r>
    </w:p>
    <w:bookmarkEnd w:id="111"/>
    <w:bookmarkStart w:id="112"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12"/>
    <w:bookmarkStart w:id="114" w:name="painel"/>
    <w:p>
      <w:pPr>
        <w:pStyle w:val="Heading1"/>
      </w:pPr>
      <w:r>
        <w:t xml:space="preserve"># 20.2 Painel</w:t>
      </w:r>
    </w:p>
    <w:bookmarkStart w:id="113"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13"/>
    <w:bookmarkEnd w:id="114"/>
    <w:bookmarkStart w:id="115" w:name="do-iniciante-ao-analista-júnior-pci"/>
    <w:p>
      <w:pPr>
        <w:pStyle w:val="Heading1"/>
      </w:pPr>
      <w:r>
        <w:t xml:space="preserve">21. Do Iniciante ao Analista Júnior PCI</w:t>
      </w:r>
    </w:p>
    <w:p>
      <w:pPr>
        <w:pStyle w:val="Compact"/>
        <w:numPr>
          <w:ilvl w:val="0"/>
          <w:numId w:val="1017"/>
        </w:numPr>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
          <w:bCs/>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
          <w:bCs/>
        </w:rPr>
        <w:t xml:space="preserve">Analista de segurança de pagamento</w:t>
      </w:r>
    </w:p>
    <w:bookmarkEnd w:id="115"/>
    <w:bookmarkStart w:id="116"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16"/>
    <w:bookmarkStart w:id="117" w:name="laboratório-fictício-e-portfólio"/>
    <w:p>
      <w:pPr>
        <w:pStyle w:val="Heading1"/>
      </w:pPr>
      <w:r>
        <w:t xml:space="preserve">22. Laboratório Fictício e Portfólio</w:t>
      </w:r>
    </w:p>
    <w:p>
      <w:pPr>
        <w:pStyle w:val="Compact"/>
        <w:numPr>
          <w:ilvl w:val="0"/>
          <w:numId w:val="1019"/>
        </w:numPr>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17"/>
    <w:bookmarkStart w:id="118"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18"/>
    <w:bookmarkStart w:id="119" w:name="projeto-2-requisitos"/>
    <w:p>
      <w:pPr>
        <w:pStyle w:val="Heading1"/>
      </w:pPr>
      <w:r>
        <w:t xml:space="preserve"># Projeto 2 — Requisitos</w:t>
      </w:r>
    </w:p>
    <w:p>
      <w:pPr>
        <w:pStyle w:val="FirstParagraph"/>
      </w:pPr>
      <w:r>
        <w:t xml:space="preserve">Criar uma responsabilidade de 12 requisitos e matriz de provas.</w:t>
      </w:r>
    </w:p>
    <w:bookmarkEnd w:id="119"/>
    <w:bookmarkStart w:id="120"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20"/>
    <w:bookmarkStart w:id="121" w:name="projeto-4-acesso"/>
    <w:p>
      <w:pPr>
        <w:pStyle w:val="Heading1"/>
      </w:pPr>
      <w:r>
        <w:t xml:space="preserve"># Projeto 4 — Acesso</w:t>
      </w:r>
    </w:p>
    <w:p>
      <w:pPr>
        <w:pStyle w:val="FirstParagraph"/>
      </w:pPr>
      <w:r>
        <w:t xml:space="preserve">Teste o joiner fictício, movedor, leaver, privilegiado, serviço-conta, e provas MFA.</w:t>
      </w:r>
    </w:p>
    <w:bookmarkEnd w:id="121"/>
    <w:bookmarkStart w:id="122"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22"/>
    <w:bookmarkStart w:id="123"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23"/>
    <w:bookmarkStart w:id="124"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24"/>
    <w:bookmarkStart w:id="126"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pStyle w:val="Compact"/>
        <w:numPr>
          <w:ilvl w:val="0"/>
          <w:numId w:val="1020"/>
        </w:numPr>
      </w:pPr>
      <w:r>
        <w:t xml:space="preserve">Plano de Aprendizagem de Trinta Dias</w:t>
      </w:r>
    </w:p>
    <w:p>
      <w:pPr>
        <w:pStyle w:val="Compact"/>
        <w:numPr>
          <w:ilvl w:val="0"/>
          <w:numId w:val="1021"/>
        </w:numPr>
      </w:pPr>
      <w:r>
        <w:t xml:space="preserve">Um mês realista de leitura oficial, provas práticas e preparação de entrevista.*</w:t>
      </w:r>
    </w:p>
    <w:bookmarkStart w:id="125" w:name="semana-foco-saída-exigida"/>
    <w:p>
      <w:pPr>
        <w:pStyle w:val="Heading2"/>
      </w:pPr>
      <w:r>
        <w:t xml:space="preserve">*Semana</w:t>
      </w:r>
      <w:r>
        <w:rPr>
          <w:b/>
          <w:bCs/>
        </w:rPr>
        <w:t xml:space="preserve"> </w:t>
      </w:r>
      <w:r>
        <w:t xml:space="preserve"> </w:t>
      </w:r>
      <w:r>
        <w:t xml:space="preserve">Foco</w:t>
      </w:r>
      <w:r>
        <w:rPr>
          <w:b/>
          <w:bCs/>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25"/>
    <w:bookmarkEnd w:id="126"/>
    <w:bookmarkStart w:id="127" w:name="preparação-da-entrevista"/>
    <w:p>
      <w:pPr>
        <w:pStyle w:val="Heading1"/>
      </w:pPr>
      <w:r>
        <w:t xml:space="preserve">24. Preparação da entrevista</w:t>
      </w:r>
    </w:p>
    <w:p>
      <w:pPr>
        <w:pStyle w:val="Compact"/>
        <w:numPr>
          <w:ilvl w:val="0"/>
          <w:numId w:val="1022"/>
        </w:numPr>
      </w:pPr>
      <w:r>
        <w:t xml:space="preserve">Respostas curtas e precisas para analistas e gerentes júnior.*</w:t>
      </w:r>
    </w:p>
    <w:bookmarkEnd w:id="127"/>
    <w:bookmarkStart w:id="128"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28"/>
    <w:bookmarkStart w:id="129"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29"/>
    <w:bookmarkStart w:id="130" w:name="o-que-é-pan"/>
    <w:p>
      <w:pPr>
        <w:pStyle w:val="Heading1"/>
      </w:pPr>
      <w:r>
        <w:t xml:space="preserve"># O que é PAN?</w:t>
      </w:r>
    </w:p>
    <w:p>
      <w:pPr>
        <w:pStyle w:val="FirstParagraph"/>
      </w:pPr>
      <w:r>
        <w:t xml:space="preserve">O número da conta primária. Sua presença é central para a aplicabilidade do PCI DSS.</w:t>
      </w:r>
    </w:p>
    <w:bookmarkEnd w:id="130"/>
    <w:bookmarkStart w:id="131"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31"/>
    <w:bookmarkStart w:id="132"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32"/>
    <w:bookmarkStart w:id="133"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33"/>
    <w:bookmarkStart w:id="134"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34"/>
    <w:bookmarkStart w:id="135"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35"/>
    <w:bookmarkStart w:id="136"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36"/>
    <w:bookmarkStart w:id="137"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37"/>
    <w:bookmarkStart w:id="138" w:name="modelos-glossário-e-índice"/>
    <w:p>
      <w:pPr>
        <w:pStyle w:val="Heading1"/>
      </w:pPr>
      <w:r>
        <w:t xml:space="preserve">25. Modelos, Glossário e Índice</w:t>
      </w:r>
    </w:p>
    <w:p>
      <w:pPr>
        <w:pStyle w:val="Compact"/>
        <w:numPr>
          <w:ilvl w:val="0"/>
          <w:numId w:val="1023"/>
        </w:numPr>
      </w:pPr>
      <w:r>
        <w:t xml:space="preserve">Estruturas reutilizáveis e definições simples.*</w:t>
      </w:r>
    </w:p>
    <w:bookmarkEnd w:id="138"/>
    <w:bookmarkStart w:id="139"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39"/>
    <w:bookmarkStart w:id="140"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40"/>
    <w:bookmarkStart w:id="141" w:name="glossário"/>
    <w:p>
      <w:pPr>
        <w:pStyle w:val="Heading1"/>
      </w:pPr>
      <w:r>
        <w:t xml:space="preserve"># 25.3 Glossário</w:t>
      </w:r>
    </w:p>
    <w:p>
      <w:pPr>
        <w:pStyle w:val="FirstParagraph"/>
      </w:pPr>
      <w:r>
        <w:rPr>
          <w:b/>
          <w:bCs/>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
          <w:bCs/>
        </w:rPr>
        <w:t xml:space="preserve">Compensação do controlo.</w:t>
      </w:r>
      <w:r>
        <w:rPr>
          <w:b/>
          <w:bCs/>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
          <w:bCs/>
        </w:rPr>
        <w:t xml:space="preserve">Abordagem personalizada.</w:t>
      </w:r>
      <w:r>
        <w:rPr>
          <w:b/>
          <w:bCs/>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
          <w:bCs/>
        </w:rPr>
        <w:t xml:space="preserve">PAN.</w:t>
      </w:r>
      <w:r>
        <w:t xml:space="preserve"> </w:t>
      </w:r>
      <w:r>
        <w:t xml:space="preserve">Número primário da conta.</w:t>
      </w:r>
    </w:p>
    <w:p>
      <w:pPr>
        <w:pStyle w:val="BodyText"/>
      </w:pPr>
      <w:r>
        <w:rPr>
          <w:b/>
          <w:bCs/>
        </w:rPr>
        <w:t xml:space="preserve">QSA.</w:t>
      </w:r>
      <w:r>
        <w:t xml:space="preserve"> </w:t>
      </w:r>
      <w:r>
        <w:t xml:space="preserve">Assessor de Segurança Qualificado.</w:t>
      </w:r>
    </w:p>
    <w:p>
      <w:pPr>
        <w:pStyle w:val="BodyText"/>
      </w:pPr>
      <w:r>
        <w:rPr>
          <w:b/>
          <w:bCs/>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
          <w:bCs/>
        </w:rPr>
        <w:t xml:space="preserve">TPSP.</w:t>
      </w:r>
      <w:r>
        <w:t xml:space="preserve"> </w:t>
      </w:r>
      <w:r>
        <w:t xml:space="preserve">Prestador de serviços de terceiros.</w:t>
      </w:r>
    </w:p>
    <w:bookmarkEnd w:id="141"/>
    <w:bookmarkStart w:id="143" w:name="índice-de-assunto"/>
    <w:p>
      <w:pPr>
        <w:pStyle w:val="Heading1"/>
      </w:pPr>
      <w:r>
        <w:t xml:space="preserve"># 25.4 Índice de assunto</w:t>
      </w:r>
    </w:p>
    <w:bookmarkStart w:id="142"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42"/>
    <w:bookmarkEnd w:id="143"/>
    <w:bookmarkStart w:id="151" w:name="referências-oficiais-e-estudo-adicional"/>
    <w:p>
      <w:pPr>
        <w:pStyle w:val="Heading1"/>
      </w:pPr>
      <w:r>
        <w:t xml:space="preserve">26. Referências Oficiais e Estudo Adicional</w:t>
      </w:r>
    </w:p>
    <w:p>
      <w:pPr>
        <w:pStyle w:val="Compact"/>
        <w:numPr>
          <w:ilvl w:val="0"/>
          <w:numId w:val="1026"/>
        </w:numPr>
      </w:pPr>
      <w:r>
        <w:t xml:space="preserve">Fontes atuais do PCI SSC e documentação oficial da ferramenta usada para verificação.*</w:t>
      </w:r>
    </w:p>
    <w:p>
      <w:pPr>
        <w:pStyle w:val="FirstParagraph"/>
      </w:pPr>
      <w:hyperlink r:id="rId144">
        <w:r>
          <w:rPr>
            <w:rStyle w:val="Hyperlink"/>
          </w:rPr>
          <w:t xml:space="preserve">Biblioteca de documentos do PCI SSC</w:t>
        </w:r>
      </w:hyperlink>
    </w:p>
    <w:p>
      <w:pPr>
        <w:pStyle w:val="BodyText"/>
      </w:pPr>
      <w:hyperlink r:id="rId145">
        <w:r>
          <w:rPr>
            <w:rStyle w:val="Hyperlink"/>
          </w:rPr>
          <w:t xml:space="preserve">PCI DSS v4.x Resource Hub</w:t>
        </w:r>
      </w:hyperlink>
    </w:p>
    <w:p>
      <w:pPr>
        <w:pStyle w:val="BodyText"/>
      </w:pPr>
      <w:hyperlink r:id="rId146">
        <w:r>
          <w:rPr>
            <w:rStyle w:val="Hyperlink"/>
          </w:rPr>
          <w:t xml:space="preserve">Acabado de Publicar: PCI DSS v4.0.1</w:t>
        </w:r>
      </w:hyperlink>
    </w:p>
    <w:p>
      <w:pPr>
        <w:pStyle w:val="BodyText"/>
      </w:pPr>
      <w:hyperlink r:id="rId147">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48">
        <w:r>
          <w:rPr>
            <w:rStyle w:val="Hyperlink"/>
          </w:rPr>
          <w:t xml:space="preserve">Página de pagamento Segurança e Prevenção de E-Skimming</w:t>
        </w:r>
      </w:hyperlink>
    </w:p>
    <w:p>
      <w:pPr>
        <w:pStyle w:val="BodyText"/>
      </w:pPr>
      <w:hyperlink r:id="rId149">
        <w:r>
          <w:rPr>
            <w:rStyle w:val="Hyperlink"/>
          </w:rPr>
          <w:t xml:space="preserve">Avaliadores qualificados do CSS do PCI</w:t>
        </w:r>
      </w:hyperlink>
    </w:p>
    <w:p>
      <w:pPr>
        <w:pStyle w:val="BodyText"/>
      </w:pPr>
      <w:hyperlink r:id="rId150">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5" Target="https://aide.github.io/" TargetMode="External" /><Relationship Type="http://schemas.openxmlformats.org/officeDocument/2006/relationships/hyperlink" Id="rId146" Target="https://blog.pcisecuritystandards.org/just-published-pci-dss-v4-0-1" TargetMode="External" /><Relationship Type="http://schemas.openxmlformats.org/officeDocument/2006/relationships/hyperlink" Id="rId148" Target="https://blog.pcisecuritystandards.org/new-information-supplement-payment-page-security-and-preventing-e-skimming" TargetMode="External" /><Relationship Type="http://schemas.openxmlformats.org/officeDocument/2006/relationships/hyperlink" Id="rId145" Target="https://blog.pcisecuritystandards.org/pci-dss-v4-0-resource-hub" TargetMode="External" /><Relationship Type="http://schemas.openxmlformats.org/officeDocument/2006/relationships/hyperlink" Id="rId94" Target="https://coreruleset.org/docs/" TargetMode="External" /><Relationship Type="http://schemas.openxmlformats.org/officeDocument/2006/relationships/hyperlink" Id="rId103" Target="https://docs.defectdojo.com/" TargetMode="External" /><Relationship Type="http://schemas.openxmlformats.org/officeDocument/2006/relationships/hyperlink" Id="rId97" Target="https://docs.suricata.io/" TargetMode="External" /><Relationship Type="http://schemas.openxmlformats.org/officeDocument/2006/relationships/hyperlink" Id="rId73" Target="https://documentation.wazuh.com/current/quickstart.html" TargetMode="External" /><Relationship Type="http://schemas.openxmlformats.org/officeDocument/2006/relationships/hyperlink" Id="rId82" Target="https://greenbone.github.io/docs/latest/" TargetMode="External" /><Relationship Type="http://schemas.openxmlformats.org/officeDocument/2006/relationships/hyperlink" Id="rId84" Target="https://nmap.org/book/man.html" TargetMode="External" /><Relationship Type="http://schemas.openxmlformats.org/officeDocument/2006/relationships/hyperlink" Id="rId75" Target="https://osquery.readthedocs.io/en/stable/" TargetMode="External" /><Relationship Type="http://schemas.openxmlformats.org/officeDocument/2006/relationships/hyperlink" Id="rId88" Target="https://trivy.dev/latest/" TargetMode="External" /><Relationship Type="http://schemas.openxmlformats.org/officeDocument/2006/relationships/hyperlink" Id="rId100" Target="https://www.keycloak.org/guides" TargetMode="External" /><Relationship Type="http://schemas.openxmlformats.org/officeDocument/2006/relationships/hyperlink" Id="rId78" Target="https://www.open-scap.org/getting-started/" TargetMode="External" /><Relationship Type="http://schemas.openxmlformats.org/officeDocument/2006/relationships/hyperlink" Id="rId108" Target="https://www.openpolicyagent.org/docs" TargetMode="External" /><Relationship Type="http://schemas.openxmlformats.org/officeDocument/2006/relationships/hyperlink" Id="rId150" Target="https://www.pcisecuritystandards.org/assessors_and_solutions/approved_scanning_vendors" TargetMode="External" /><Relationship Type="http://schemas.openxmlformats.org/officeDocument/2006/relationships/hyperlink" Id="rId149" Target="https://www.pcisecuritystandards.org/assessors_and_solutions/qualified_security_assessors" TargetMode="External" /><Relationship Type="http://schemas.openxmlformats.org/officeDocument/2006/relationships/hyperlink" Id="rId144" Target="https://www.pcisecuritystandards.org/document_library/" TargetMode="External" /><Relationship Type="http://schemas.openxmlformats.org/officeDocument/2006/relationships/hyperlink" Id="rId147" Target="https://www.pcisecuritystandards.org/standard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05" Target="https://aide.github.io/" TargetMode="External" /><Relationship Type="http://schemas.openxmlformats.org/officeDocument/2006/relationships/hyperlink" Id="rId146" Target="https://blog.pcisecuritystandards.org/just-published-pci-dss-v4-0-1" TargetMode="External" /><Relationship Type="http://schemas.openxmlformats.org/officeDocument/2006/relationships/hyperlink" Id="rId148" Target="https://blog.pcisecuritystandards.org/new-information-supplement-payment-page-security-and-preventing-e-skimming" TargetMode="External" /><Relationship Type="http://schemas.openxmlformats.org/officeDocument/2006/relationships/hyperlink" Id="rId145" Target="https://blog.pcisecuritystandards.org/pci-dss-v4-0-resource-hub" TargetMode="External" /><Relationship Type="http://schemas.openxmlformats.org/officeDocument/2006/relationships/hyperlink" Id="rId94" Target="https://coreruleset.org/docs/" TargetMode="External" /><Relationship Type="http://schemas.openxmlformats.org/officeDocument/2006/relationships/hyperlink" Id="rId103" Target="https://docs.defectdojo.com/" TargetMode="External" /><Relationship Type="http://schemas.openxmlformats.org/officeDocument/2006/relationships/hyperlink" Id="rId97" Target="https://docs.suricata.io/" TargetMode="External" /><Relationship Type="http://schemas.openxmlformats.org/officeDocument/2006/relationships/hyperlink" Id="rId73" Target="https://documentation.wazuh.com/current/quickstart.html" TargetMode="External" /><Relationship Type="http://schemas.openxmlformats.org/officeDocument/2006/relationships/hyperlink" Id="rId82" Target="https://greenbone.github.io/docs/latest/" TargetMode="External" /><Relationship Type="http://schemas.openxmlformats.org/officeDocument/2006/relationships/hyperlink" Id="rId84" Target="https://nmap.org/book/man.html" TargetMode="External" /><Relationship Type="http://schemas.openxmlformats.org/officeDocument/2006/relationships/hyperlink" Id="rId75" Target="https://osquery.readthedocs.io/en/stable/" TargetMode="External" /><Relationship Type="http://schemas.openxmlformats.org/officeDocument/2006/relationships/hyperlink" Id="rId88" Target="https://trivy.dev/latest/" TargetMode="External" /><Relationship Type="http://schemas.openxmlformats.org/officeDocument/2006/relationships/hyperlink" Id="rId100" Target="https://www.keycloak.org/guides" TargetMode="External" /><Relationship Type="http://schemas.openxmlformats.org/officeDocument/2006/relationships/hyperlink" Id="rId78" Target="https://www.open-scap.org/getting-started/" TargetMode="External" /><Relationship Type="http://schemas.openxmlformats.org/officeDocument/2006/relationships/hyperlink" Id="rId108" Target="https://www.openpolicyagent.org/docs" TargetMode="External" /><Relationship Type="http://schemas.openxmlformats.org/officeDocument/2006/relationships/hyperlink" Id="rId150" Target="https://www.pcisecuritystandards.org/assessors_and_solutions/approved_scanning_vendors" TargetMode="External" /><Relationship Type="http://schemas.openxmlformats.org/officeDocument/2006/relationships/hyperlink" Id="rId149" Target="https://www.pcisecuritystandards.org/assessors_and_solutions/qualified_security_assessors" TargetMode="External" /><Relationship Type="http://schemas.openxmlformats.org/officeDocument/2006/relationships/hyperlink" Id="rId144" Target="https://www.pcisecuritystandards.org/document_library/" TargetMode="External" /><Relationship Type="http://schemas.openxmlformats.org/officeDocument/2006/relationships/hyperlink" Id="rId147" Target="https://www.pcisecuritystandards.org/standard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2026-07-28T20:29:50Z</dcterms:created>
  <dcterms:modified xsi:type="dcterms:W3CDTF">2026-07-28T20:29:50Z</dcterms:modified>
</cp:coreProperties>
</file>

<file path=docProps/custom.xml><?xml version="1.0" encoding="utf-8"?>
<Properties xmlns="http://schemas.openxmlformats.org/officeDocument/2006/custom-properties" xmlns:vt="http://schemas.openxmlformats.org/officeDocument/2006/docPropsVTypes"/>
</file>