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9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9"/>
    <w:bookmarkStart w:id="1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10"/>
    <w:bookmarkStart w:id="12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pStyle w:val="Compact"/>
        <w:numPr>
          <w:ilvl w:val="0"/>
          <w:numId w:val="1002"/>
        </w:numPr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11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11"/>
    <w:bookmarkEnd w:id="12"/>
    <w:bookmarkStart w:id="15" w:name="governança-política-e-funções"/>
    <w:p>
      <w:pPr>
        <w:pStyle w:val="Heading1"/>
      </w:pPr>
      <w:r>
        <w:t xml:space="preserve">2. Governança, Política e Funções</w:t>
      </w:r>
    </w:p>
    <w:p>
      <w:pPr>
        <w:pStyle w:val="Compact"/>
        <w:numPr>
          <w:ilvl w:val="0"/>
          <w:numId w:val="1003"/>
        </w:numPr>
      </w:pPr>
      <w:r>
        <w:t xml:space="preserve">Autoridade, direitos de decisão, contatos e recursos devem existir antes que a pressão comece.*</w:t>
      </w:r>
    </w:p>
    <w:bookmarkStart w:id="14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pStyle w:val="Heading2"/>
        <w:numPr>
          <w:ilvl w:val="0"/>
          <w:numId w:val="1004"/>
        </w:numPr>
      </w:pPr>
      <w:bookmarkStart w:id="13" w:name="decisões-chave"/>
      <w:r>
        <w:t xml:space="preserve">** ** ** ** ** ** Decisões-chave**</w:t>
      </w:r>
      <w:bookmarkEnd w:id="13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14"/>
    <w:bookmarkEnd w:id="15"/>
    <w:bookmarkStart w:id="19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/>
          <w:iCs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17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pStyle w:val="Heading2"/>
        <w:numPr>
          <w:ilvl w:val="0"/>
          <w:numId w:val="1005"/>
        </w:numPr>
      </w:pPr>
      <w:bookmarkStart w:id="16" w:name="exemplo"/>
      <w:r>
        <w:t xml:space="preserve">** ** ** ** ** ** ** ** Exemplo **</w:t>
      </w:r>
      <w:bookmarkEnd w:id="16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17"/>
    <w:bookmarkStart w:id="18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18"/>
    <w:bookmarkEnd w:id="19"/>
    <w:bookmarkStart w:id="23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/>
          <w:iCs/>
        </w:rPr>
        <w:t xml:space="preserve">NIST SP 800-61 Rev. 3 integra resposta incidente nas seis funções CSF 2.0.</w:t>
      </w:r>
    </w:p>
    <w:bookmarkStart w:id="20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20"/>
    <w:bookmarkStart w:id="21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pStyle w:val="Compact"/>
        <w:numPr>
          <w:ilvl w:val="0"/>
          <w:numId w:val="1007"/>
        </w:numPr>
      </w:pPr>
      <w:r>
        <w:t xml:space="preserve">Preparação e preparação</w:t>
      </w:r>
    </w:p>
    <w:p>
      <w:pPr>
        <w:pStyle w:val="Compact"/>
        <w:numPr>
          <w:ilvl w:val="0"/>
          <w:numId w:val="1008"/>
        </w:numPr>
      </w:pPr>
      <w:r>
        <w:t xml:space="preserve">A preparação reduz a confusão, falhas de acesso, perda de provas e improvisação perigosa.*</w:t>
      </w:r>
    </w:p>
    <w:bookmarkEnd w:id="21"/>
    <w:bookmarkStart w:id="22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22"/>
    <w:bookmarkEnd w:id="23"/>
    <w:bookmarkStart w:id="25" w:name="design-de-livro-de-jogos"/>
    <w:p>
      <w:pPr>
        <w:pStyle w:val="Heading1"/>
      </w:pPr>
      <w:r>
        <w:t xml:space="preserve"># 5.2 Design de livro de jogos</w:t>
      </w:r>
    </w:p>
    <w:p>
      <w:pPr>
        <w:pStyle w:val="Heading2"/>
        <w:numPr>
          <w:ilvl w:val="0"/>
          <w:numId w:val="1010"/>
        </w:numPr>
      </w:pPr>
      <w:bookmarkStart w:id="24" w:name="campo-conteúdo"/>
      <w:r>
        <w:t xml:space="preserve">Campo** * Conteúdo**</w:t>
      </w:r>
      <w:bookmarkEnd w:id="24"/>
    </w:p>
    <w:p>
      <w:pPr>
        <w:pStyle w:val="Compact"/>
        <w:numPr>
          <w:ilvl w:val="0"/>
          <w:numId w:val="1000"/>
        </w:numPr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pStyle w:val="Compact"/>
        <w:numPr>
          <w:ilvl w:val="0"/>
          <w:numId w:val="1010"/>
        </w:numPr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25"/>
    <w:bookmarkStart w:id="2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/>
          <w:iCs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pStyle w:val="Compact"/>
        <w:numPr>
          <w:ilvl w:val="0"/>
          <w:numId w:val="1013"/>
        </w:numPr>
      </w:pPr>
      <w:r>
        <w:t xml:space="preserve">Triagem, Severidade e Escalação</w:t>
      </w:r>
    </w:p>
    <w:p>
      <w:pPr>
        <w:pStyle w:val="FirstParagraph"/>
      </w:pPr>
      <w:r>
        <w:rPr>
          <w:i/>
          <w:iCs/>
        </w:rPr>
        <w:t xml:space="preserve">Triage define prioridade e inicia os caminhos de autoridade, evidência e comunicação certos.</w:t>
      </w:r>
    </w:p>
    <w:bookmarkStart w:id="2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26"/>
    <w:bookmarkStart w:id="2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27"/>
    <w:bookmarkEnd w:id="28"/>
    <w:bookmarkStart w:id="33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/>
          <w:iCs/>
        </w:rPr>
        <w:t xml:space="preserve">Investigação constrói e testa explicações enquanto o ambiente e o atacante podem estar mudando.</w:t>
      </w:r>
    </w:p>
    <w:bookmarkStart w:id="2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29"/>
    <w:bookmarkStart w:id="30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pStyle w:val="Compact"/>
        <w:numPr>
          <w:ilvl w:val="0"/>
          <w:numId w:val="1016"/>
        </w:numPr>
      </w:pPr>
      <w:r>
        <w:t xml:space="preserve">Estratégia de contenção</w:t>
      </w:r>
    </w:p>
    <w:p>
      <w:pPr>
        <w:pStyle w:val="FirstParagraph"/>
      </w:pPr>
      <w:r>
        <w:rPr>
          <w:i/>
          <w:iCs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30"/>
    <w:bookmarkStart w:id="31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31"/>
    <w:bookmarkStart w:id="32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32"/>
    <w:bookmarkEnd w:id="33"/>
    <w:bookmarkStart w:id="35" w:name="erradicação-e-remediação"/>
    <w:p>
      <w:pPr>
        <w:pStyle w:val="Heading1"/>
      </w:pPr>
      <w:r>
        <w:t xml:space="preserve">10. Erradicação e Remediação</w:t>
      </w:r>
    </w:p>
    <w:p>
      <w:pPr>
        <w:pStyle w:val="Compact"/>
        <w:numPr>
          <w:ilvl w:val="0"/>
          <w:numId w:val="1019"/>
        </w:numPr>
      </w:pPr>
      <w:r>
        <w:t xml:space="preserve">A erradicação remove a causa, o acesso do atacante, a persistência, as mudanças inseguras e as fraquezas relacionadas.*</w:t>
      </w:r>
    </w:p>
    <w:bookmarkStart w:id="34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34"/>
    <w:bookmarkEnd w:id="35"/>
    <w:bookmarkStart w:id="36" w:name="recuperação-e-retorno-ao-serviço"/>
    <w:p>
      <w:pPr>
        <w:pStyle w:val="Heading1"/>
      </w:pPr>
      <w:r>
        <w:t xml:space="preserve">11. Recuperação e retorno ao serviço</w:t>
      </w:r>
    </w:p>
    <w:p>
      <w:pPr>
        <w:pStyle w:val="Compact"/>
        <w:numPr>
          <w:ilvl w:val="0"/>
          <w:numId w:val="1021"/>
        </w:numPr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36"/>
    <w:bookmarkStart w:id="37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37"/>
    <w:bookmarkStart w:id="40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pStyle w:val="Compact"/>
        <w:numPr>
          <w:ilvl w:val="0"/>
          <w:numId w:val="1024"/>
        </w:numPr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38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38"/>
    <w:bookmarkStart w:id="39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39"/>
    <w:bookmarkEnd w:id="40"/>
    <w:bookmarkStart w:id="41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pStyle w:val="Compact"/>
        <w:numPr>
          <w:ilvl w:val="0"/>
          <w:numId w:val="1026"/>
        </w:numPr>
      </w:pPr>
      <w:r>
        <w:t xml:space="preserve">A comunicação deve ser precisa, oportuna, autorizada, específica do público e protegida.*</w:t>
      </w:r>
    </w:p>
    <w:bookmarkEnd w:id="41"/>
    <w:bookmarkStart w:id="44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pStyle w:val="Heading2"/>
        <w:numPr>
          <w:ilvl w:val="0"/>
          <w:numId w:val="1027"/>
        </w:numPr>
      </w:pPr>
      <w:bookmarkStart w:id="42" w:name="audiência-necessidades"/>
      <w:r>
        <w:t xml:space="preserve">Audiência** * Necessidades**</w:t>
      </w:r>
      <w:bookmarkEnd w:id="42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43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43"/>
    <w:bookmarkEnd w:id="44"/>
    <w:bookmarkStart w:id="45" w:name="evidência-digital-e-pronto-forense"/>
    <w:p>
      <w:pPr>
        <w:pStyle w:val="Heading1"/>
      </w:pPr>
      <w:r>
        <w:t xml:space="preserve">14. Evidência Digital e Pronto Forense</w:t>
      </w:r>
    </w:p>
    <w:p>
      <w:pPr>
        <w:pStyle w:val="Compact"/>
        <w:numPr>
          <w:ilvl w:val="0"/>
          <w:numId w:val="1028"/>
        </w:numPr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45"/>
    <w:bookmarkStart w:id="47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46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46"/>
    <w:bookmarkEnd w:id="47"/>
    <w:bookmarkStart w:id="49" w:name="ransomware-e-ataques-destrutivos"/>
    <w:p>
      <w:pPr>
        <w:pStyle w:val="Heading1"/>
      </w:pPr>
      <w:r>
        <w:t xml:space="preserve">15. Ransomware e Ataques Destrutivos</w:t>
      </w:r>
    </w:p>
    <w:p>
      <w:pPr>
        <w:pStyle w:val="Compact"/>
        <w:numPr>
          <w:ilvl w:val="0"/>
          <w:numId w:val="1030"/>
        </w:numPr>
      </w:pPr>
      <w:r>
        <w:t xml:space="preserve">Ransomware pode combinar acesso, roubo, extorsão, criptografia, destruição e pressão pública.*</w:t>
      </w:r>
    </w:p>
    <w:bookmarkStart w:id="48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48"/>
    <w:bookmarkEnd w:id="49"/>
    <w:bookmarkStart w:id="50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50"/>
    <w:bookmarkStart w:id="51" w:name="resposta-de-incidente-cloud-e-saas"/>
    <w:p>
      <w:pPr>
        <w:pStyle w:val="Heading1"/>
      </w:pPr>
      <w:r>
        <w:t xml:space="preserve">16. Resposta de Incidente Cloud e SaaS</w:t>
      </w:r>
    </w:p>
    <w:p>
      <w:pPr>
        <w:pStyle w:val="Compact"/>
        <w:numPr>
          <w:ilvl w:val="0"/>
          <w:numId w:val="1033"/>
        </w:numPr>
      </w:pPr>
      <w:r>
        <w:t xml:space="preserve">A resposta em nuvem depende da telemetria do provedor, responsabilidade compartilhada, controle do inquilino e acesso ao suporte.*</w:t>
      </w:r>
    </w:p>
    <w:bookmarkEnd w:id="51"/>
    <w:bookmarkStart w:id="52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52"/>
    <w:bookmarkStart w:id="54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pStyle w:val="Compact"/>
        <w:numPr>
          <w:ilvl w:val="0"/>
          <w:numId w:val="1036"/>
        </w:numPr>
      </w:pPr>
      <w:r>
        <w:t xml:space="preserve">Incidentes de Identidade e Acesso Privilegiado</w:t>
      </w:r>
    </w:p>
    <w:p>
      <w:pPr>
        <w:pStyle w:val="FirstParagraph"/>
      </w:pPr>
      <w:r>
        <w:rPr>
          <w:i/>
          <w:iCs/>
        </w:rPr>
        <w:t xml:space="preserve">Compromisso de identidade pode cruzar endpoints, serviços de nuvem, fornecedores e canais de recuperação.</w:t>
      </w:r>
    </w:p>
    <w:bookmarkStart w:id="53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53"/>
    <w:bookmarkEnd w:id="54"/>
    <w:bookmarkStart w:id="55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/>
          <w:iCs/>
        </w:rPr>
        <w:t xml:space="preserve">Um incidente de fornecedor requer fatos compartilhados, responsabilidades, relógios de notificação e decisões de recuperação.</w:t>
      </w:r>
    </w:p>
    <w:bookmarkEnd w:id="55"/>
    <w:bookmarkStart w:id="56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56"/>
    <w:bookmarkStart w:id="57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57"/>
    <w:bookmarkStart w:id="60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/>
          <w:iCs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58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58"/>
    <w:bookmarkStart w:id="59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59"/>
    <w:bookmarkEnd w:id="60"/>
    <w:bookmarkStart w:id="63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pStyle w:val="Compact"/>
        <w:numPr>
          <w:ilvl w:val="0"/>
          <w:numId w:val="1041"/>
        </w:numPr>
      </w:pPr>
      <w:r>
        <w:t xml:space="preserve">As estratégias de continuidade mantêm as atividades prioritárias dentro do impacto tolerável e dos níveis mínimos de serviço.*</w:t>
      </w:r>
    </w:p>
    <w:bookmarkStart w:id="61" w:name="Xb356a74e37435ee557d9607051fe6c3e51064d4"/>
    <w:p>
      <w:pPr>
        <w:pStyle w:val="Heading2"/>
      </w:pPr>
      <w:r>
        <w:t xml:space="preserve">*Recurso</w:t>
      </w:r>
      <w:r>
        <w:rPr>
          <w:b/>
          <w:bCs/>
        </w:rPr>
        <w:t xml:space="preserve"> </w:t>
      </w:r>
      <w:r>
        <w:t xml:space="preserve">Exemplos de estratégia</w:t>
      </w:r>
      <w:r>
        <w:rPr>
          <w:b/>
          <w:bCs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61"/>
    <w:bookmarkStart w:id="62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62"/>
    <w:bookmarkEnd w:id="63"/>
    <w:bookmarkStart w:id="64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pStyle w:val="Compact"/>
        <w:numPr>
          <w:ilvl w:val="0"/>
          <w:numId w:val="1043"/>
        </w:numPr>
      </w:pPr>
      <w:r>
        <w:t xml:space="preserve">Um plano de recuperação de desastres restaura a tecnologia em ordem empresarial-prioridade.*</w:t>
      </w:r>
    </w:p>
    <w:bookmarkEnd w:id="64"/>
    <w:bookmarkStart w:id="65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65"/>
    <w:bookmarkStart w:id="66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66"/>
    <w:bookmarkStart w:id="67" w:name="backups-e-garantia-de-recuperação"/>
    <w:p>
      <w:pPr>
        <w:pStyle w:val="Heading1"/>
      </w:pPr>
      <w:r>
        <w:t xml:space="preserve">22. Backups e garantia de recuperação</w:t>
      </w:r>
    </w:p>
    <w:p>
      <w:pPr>
        <w:pStyle w:val="Compact"/>
        <w:numPr>
          <w:ilvl w:val="0"/>
          <w:numId w:val="1046"/>
        </w:numPr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67"/>
    <w:bookmarkStart w:id="68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68"/>
    <w:bookmarkStart w:id="69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69"/>
    <w:bookmarkStart w:id="72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/>
          <w:iCs/>
        </w:rPr>
        <w:t xml:space="preserve">O gerenciamento de crises coordena decisões de alto impacto quando a informação está incompleta e o tempo importa.</w:t>
      </w:r>
    </w:p>
    <w:bookmarkStart w:id="70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70"/>
    <w:bookmarkStart w:id="71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/>
          <w:bCs/>
        </w:rPr>
        <w:t xml:space="preserve">Elemento de cruzamento</w:t>
      </w:r>
      <w:r>
        <w:rPr>
          <w:b/>
          <w:bCs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71"/>
    <w:bookmarkEnd w:id="72"/>
    <w:bookmarkStart w:id="74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pStyle w:val="Compact"/>
        <w:numPr>
          <w:ilvl w:val="0"/>
          <w:numId w:val="1050"/>
        </w:numPr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73" w:name="tipo-de-exercício"/>
    <w:p>
      <w:pPr>
        <w:pStyle w:val="Heading2"/>
      </w:pPr>
      <w:r>
        <w:t xml:space="preserve">Tipo de exercício</w:t>
      </w:r>
    </w:p>
    <w:p>
      <w:pPr>
        <w:pStyle w:val="Compact"/>
        <w:numPr>
          <w:ilvl w:val="0"/>
          <w:numId w:val="1051"/>
        </w:numPr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73"/>
    <w:bookmarkEnd w:id="74"/>
    <w:bookmarkStart w:id="75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75"/>
    <w:bookmarkStart w:id="77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/>
          <w:iCs/>
        </w:rPr>
        <w:t xml:space="preserve">Frameworks sobrepõem-se, mas as provas devem ser testadas contra o requisito exato aplicável.</w:t>
      </w:r>
    </w:p>
    <w:bookmarkStart w:id="76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76"/>
    <w:bookmarkEnd w:id="77"/>
    <w:bookmarkStart w:id="79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78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pStyle w:val="Compact"/>
        <w:numPr>
          <w:ilvl w:val="0"/>
          <w:numId w:val="1054"/>
        </w:numPr>
      </w:pPr>
      <w:r>
        <w:t xml:space="preserve">Ferramentas de código aberto suportam gerenciamento de casos, evidências, detecção, investigação, automação e relatórios.*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80"/>
    <w:bookmarkEnd w:id="81"/>
    <w:bookmarkStart w:id="83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82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83"/>
    <w:bookmarkStart w:id="85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84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85"/>
    <w:bookmarkStart w:id="87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86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87"/>
    <w:bookmarkStart w:id="89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8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89"/>
    <w:bookmarkStart w:id="91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90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1"/>
    <w:bookmarkStart w:id="93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92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3"/>
    <w:bookmarkStart w:id="95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94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5"/>
    <w:bookmarkStart w:id="97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96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7"/>
    <w:bookmarkStart w:id="99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98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9"/>
    <w:bookmarkStart w:id="101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00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1"/>
    <w:bookmarkStart w:id="103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02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3"/>
    <w:bookmarkStart w:id="105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04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5"/>
    <w:bookmarkStart w:id="107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06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7"/>
    <w:bookmarkStart w:id="109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08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9"/>
    <w:bookmarkStart w:id="111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10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1"/>
    <w:bookmarkStart w:id="113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12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3"/>
    <w:bookmarkStart w:id="115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14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5"/>
    <w:bookmarkStart w:id="117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16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7"/>
    <w:bookmarkStart w:id="120" w:name="manual-de-resiliência-para-gerentes"/>
    <w:p>
      <w:pPr>
        <w:pStyle w:val="Heading1"/>
      </w:pPr>
      <w:r>
        <w:t xml:space="preserve">27. Manual de resiliência para gerentes</w:t>
      </w:r>
    </w:p>
    <w:p>
      <w:pPr>
        <w:pStyle w:val="Compact"/>
        <w:numPr>
          <w:ilvl w:val="0"/>
          <w:numId w:val="1055"/>
        </w:numPr>
      </w:pPr>
      <w:r>
        <w:t xml:space="preserve">Os gestores criam resiliência, definindo autoridade, preparando financiamento, desafiando evidências e removendo bloqueadores.*</w:t>
      </w:r>
    </w:p>
    <w:bookmarkStart w:id="118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18"/>
    <w:bookmarkStart w:id="119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19"/>
    <w:bookmarkEnd w:id="120"/>
    <w:bookmarkStart w:id="121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/>
          <w:iCs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21"/>
    <w:bookmarkStart w:id="122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22"/>
    <w:bookmarkStart w:id="123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23"/>
    <w:bookmarkStart w:id="124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24"/>
    <w:bookmarkStart w:id="126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pStyle w:val="Heading2"/>
        <w:numPr>
          <w:ilvl w:val="0"/>
          <w:numId w:val="1061"/>
        </w:numPr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26"/>
    <w:bookmarkStart w:id="127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27"/>
    <w:bookmarkStart w:id="134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28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28"/>
    <w:bookmarkStart w:id="129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29"/>
    <w:bookmarkStart w:id="130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30"/>
    <w:bookmarkStart w:id="131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31"/>
    <w:bookmarkStart w:id="132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32"/>
    <w:bookmarkStart w:id="133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33"/>
    <w:bookmarkEnd w:id="134"/>
    <w:bookmarkStart w:id="135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35"/>
    <w:bookmarkStart w:id="136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pStyle w:val="Compact"/>
        <w:numPr>
          <w:ilvl w:val="0"/>
          <w:numId w:val="1064"/>
        </w:numPr>
      </w:pPr>
      <w:r>
        <w:t xml:space="preserve">Estruturas de trabalho reutilizáveis, termos-chave, índice de assunto e fontes oficiais.*</w:t>
      </w:r>
    </w:p>
    <w:bookmarkEnd w:id="136"/>
    <w:bookmarkStart w:id="137" w:name="registro-de-caso-de-incidente"/>
    <w:p>
      <w:pPr>
        <w:pStyle w:val="Heading1"/>
      </w:pPr>
      <w:r>
        <w:t xml:space="preserve"># 30.1 Registro de caso de incidente</w:t>
      </w:r>
    </w:p>
    <w:p>
      <w:pPr>
        <w:pStyle w:val="Compact"/>
        <w:numPr>
          <w:ilvl w:val="0"/>
          <w:numId w:val="1065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pStyle w:val="Compact"/>
        <w:numPr>
          <w:ilvl w:val="0"/>
          <w:numId w:val="1065"/>
        </w:numPr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37"/>
    <w:bookmarkStart w:id="142" w:name="bia-e-registro-de-continuidade"/>
    <w:p>
      <w:pPr>
        <w:pStyle w:val="Heading1"/>
      </w:pPr>
      <w:r>
        <w:t xml:space="preserve"># 30.2 BIA e registro de continuidade</w:t>
      </w:r>
    </w:p>
    <w:p>
      <w:pPr>
        <w:pStyle w:val="Compact"/>
        <w:numPr>
          <w:ilvl w:val="0"/>
          <w:numId w:val="1066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pStyle w:val="Compact"/>
        <w:numPr>
          <w:ilvl w:val="0"/>
          <w:numId w:val="1066"/>
        </w:numPr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pStyle w:val="Compact"/>
        <w:numPr>
          <w:ilvl w:val="0"/>
          <w:numId w:val="1066"/>
        </w:numPr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pStyle w:val="Compact"/>
        <w:numPr>
          <w:ilvl w:val="0"/>
          <w:numId w:val="1066"/>
        </w:numPr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pStyle w:val="Compact"/>
        <w:numPr>
          <w:ilvl w:val="0"/>
          <w:numId w:val="1066"/>
        </w:numPr>
      </w:pPr>
      <w:r>
        <w:t xml:space="preserve">Regresso/reconciliação</w:t>
      </w:r>
    </w:p>
    <w:p>
      <w:pPr>
        <w:pStyle w:val="Compact"/>
        <w:numPr>
          <w:ilvl w:val="0"/>
          <w:numId w:val="1066"/>
        </w:numPr>
      </w:pPr>
      <w:r>
        <w:t xml:space="preserve">Teste/resultado/melhoramento</w:t>
      </w:r>
    </w:p>
    <w:bookmarkStart w:id="139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pStyle w:val="Heading2"/>
        <w:numPr>
          <w:ilvl w:val="0"/>
          <w:numId w:val="1067"/>
        </w:numPr>
      </w:pPr>
      <w:bookmarkStart w:id="138" w:name="campo-entrada"/>
      <w:r>
        <w:t xml:space="preserve">Campo** * Entrada**</w:t>
      </w:r>
      <w:bookmarkEnd w:id="138"/>
    </w:p>
    <w:p>
      <w:pPr>
        <w:pStyle w:val="Compact"/>
        <w:numPr>
          <w:ilvl w:val="0"/>
          <w:numId w:val="1000"/>
        </w:numPr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pStyle w:val="Compact"/>
        <w:numPr>
          <w:ilvl w:val="0"/>
          <w:numId w:val="1067"/>
        </w:numPr>
      </w:pPr>
      <w:r>
        <w:t xml:space="preserve">Colector/data / fuso horário</w:t>
      </w:r>
    </w:p>
    <w:p>
      <w:pPr>
        <w:pStyle w:val="Compact"/>
        <w:numPr>
          <w:ilvl w:val="0"/>
          <w:numId w:val="1067"/>
        </w:numPr>
      </w:pPr>
      <w:r>
        <w:t xml:space="preserve">Método/ferramenta / versão</w:t>
      </w:r>
    </w:p>
    <w:p>
      <w:pPr>
        <w:pStyle w:val="Compact"/>
        <w:numPr>
          <w:ilvl w:val="0"/>
          <w:numId w:val="1067"/>
        </w:numPr>
      </w:pPr>
      <w:r>
        <w:t xml:space="preserve">Copia original de haxixe/trabalhador</w:t>
      </w:r>
    </w:p>
    <w:p>
      <w:pPr>
        <w:pStyle w:val="Compact"/>
        <w:numPr>
          <w:ilvl w:val="0"/>
          <w:numId w:val="1067"/>
        </w:numPr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pStyle w:val="Compact"/>
        <w:numPr>
          <w:ilvl w:val="0"/>
          <w:numId w:val="1067"/>
        </w:numPr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39"/>
    <w:bookmarkStart w:id="141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pStyle w:val="Heading2"/>
        <w:numPr>
          <w:ilvl w:val="0"/>
          <w:numId w:val="1068"/>
        </w:numPr>
      </w:pPr>
      <w:bookmarkStart w:id="140" w:name="campo-entrada-1"/>
      <w:r>
        <w:t xml:space="preserve">Campo** * Entrada**</w:t>
      </w:r>
      <w:bookmarkEnd w:id="140"/>
    </w:p>
    <w:p>
      <w:pPr>
        <w:pStyle w:val="Compact"/>
        <w:numPr>
          <w:ilvl w:val="0"/>
          <w:numId w:val="1000"/>
        </w:numPr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pStyle w:val="Compact"/>
        <w:numPr>
          <w:ilvl w:val="0"/>
          <w:numId w:val="1068"/>
        </w:numPr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pStyle w:val="Compact"/>
        <w:numPr>
          <w:ilvl w:val="0"/>
          <w:numId w:val="1068"/>
        </w:numPr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41"/>
    <w:bookmarkEnd w:id="142"/>
    <w:bookmarkStart w:id="144" w:name="glossário"/>
    <w:p>
      <w:pPr>
        <w:pStyle w:val="Heading1"/>
      </w:pPr>
      <w:r>
        <w:t xml:space="preserve"># 30.5 Glossário</w:t>
      </w:r>
    </w:p>
    <w:bookmarkStart w:id="14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43"/>
    <w:bookmarkEnd w:id="144"/>
    <w:bookmarkStart w:id="159" w:name="índice-de-assunto"/>
    <w:p>
      <w:pPr>
        <w:pStyle w:val="Heading1"/>
      </w:pPr>
      <w:r>
        <w:t xml:space="preserve"># 30.6 Índice de assunto</w:t>
      </w:r>
    </w:p>
    <w:bookmarkStart w:id="145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45"/>
    <w:bookmarkStart w:id="157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46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47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49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50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5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52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53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54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55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56">
        <w:r>
          <w:rPr>
            <w:rStyle w:val="Hyperlink"/>
          </w:rPr>
          <w:t xml:space="preserve">NIST Computer Security Incident Handident Handling Guide resources</w:t>
        </w:r>
      </w:hyperlink>
    </w:p>
    <w:bookmarkEnd w:id="157"/>
    <w:bookmarkStart w:id="158" w:name="Xafd993959bc96593cc16a18737f0b9756488ade"/>
    <w:p>
      <w:pPr>
        <w:pStyle w:val="Heading2"/>
      </w:pPr>
      <w:r>
        <w:rPr>
          <w:b/>
          <w:bCs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6" Target="https://csrc.nist.gov/Projects/incident-response/publications" TargetMode="External" /><Relationship Type="http://schemas.openxmlformats.org/officeDocument/2006/relationships/hyperlink" Id="rId147" Target="https://csrc.nist.gov/projects/incident-response" TargetMode="External" /><Relationship Type="http://schemas.openxmlformats.org/officeDocument/2006/relationships/hyperlink" Id="rId149" Target="https://csrc.nist.gov/pubs/sp/800/34/r1/upd1/final" TargetMode="External" /><Relationship Type="http://schemas.openxmlformats.org/officeDocument/2006/relationships/hyperlink" Id="rId146" Target="https://csrc.nist.gov/pubs/sp/800/61/r3/final" TargetMode="External" /><Relationship Type="http://schemas.openxmlformats.org/officeDocument/2006/relationships/hyperlink" Id="rId110" Target="https://dfir-iris.org/" TargetMode="External" /><Relationship Type="http://schemas.openxmlformats.org/officeDocument/2006/relationships/hyperlink" Id="rId90" Target="https://docs.velociraptor.app/" TargetMode="External" /><Relationship Type="http://schemas.openxmlformats.org/officeDocument/2006/relationships/hyperlink" Id="rId84" Target="https://github.com/TheHive-Project/Cortex" TargetMode="External" /><Relationship Type="http://schemas.openxmlformats.org/officeDocument/2006/relationships/hyperlink" Id="rId112" Target="https://grr-doc.readthedocs.io/" TargetMode="External" /><Relationship Type="http://schemas.openxmlformats.org/officeDocument/2006/relationships/hyperlink" Id="rId116" Target="https://opensearch.org/" TargetMode="External" /><Relationship Type="http://schemas.openxmlformats.org/officeDocument/2006/relationships/hyperlink" Id="rId98" Target="https://plaso.readthedocs.io/" TargetMode="External" /><Relationship Type="http://schemas.openxmlformats.org/officeDocument/2006/relationships/hyperlink" Id="rId114" Target="https://shuffler.io/" TargetMode="External" /><Relationship Type="http://schemas.openxmlformats.org/officeDocument/2006/relationships/hyperlink" Id="rId108" Target="https://sigmahq.io/" TargetMode="External" /><Relationship Type="http://schemas.openxmlformats.org/officeDocument/2006/relationships/hyperlink" Id="rId104" Target="https://suricata.io/" TargetMode="External" /><Relationship Type="http://schemas.openxmlformats.org/officeDocument/2006/relationships/hyperlink" Id="rId82" Target="https://thehive-project.org/" TargetMode="External" /><Relationship Type="http://schemas.openxmlformats.org/officeDocument/2006/relationships/hyperlink" Id="rId96" Target="https://timesketch.org/" TargetMode="External" /><Relationship Type="http://schemas.openxmlformats.org/officeDocument/2006/relationships/hyperlink" Id="rId106" Target="https://virustotal.github.io/yara/" TargetMode="External" /><Relationship Type="http://schemas.openxmlformats.org/officeDocument/2006/relationships/hyperlink" Id="rId92" Target="https://volatility3.readthedocs.io/" TargetMode="External" /><Relationship Type="http://schemas.openxmlformats.org/officeDocument/2006/relationships/hyperlink" Id="rId88" Target="https://wazuh.com/" TargetMode="External" /><Relationship Type="http://schemas.openxmlformats.org/officeDocument/2006/relationships/hyperlink" Id="rId94" Target="https://www.autopsy.com/" TargetMode="External" /><Relationship Type="http://schemas.openxmlformats.org/officeDocument/2006/relationships/hyperlink" Id="rId150" Target="https://www.cisa.gov/news-events/news/federal-government-cybersecurity-incident-and-vulnerability-response-playbooks" TargetMode="External" /><Relationship Type="http://schemas.openxmlformats.org/officeDocument/2006/relationships/hyperlink" Id="rId151" Target="https://www.cisa.gov/stopransomware/ransomware-guide" TargetMode="External" /><Relationship Type="http://schemas.openxmlformats.org/officeDocument/2006/relationships/hyperlink" Id="rId152" Target="https://www.iso.org/standard/75106.html" TargetMode="External" /><Relationship Type="http://schemas.openxmlformats.org/officeDocument/2006/relationships/hyperlink" Id="rId154" Target="https://www.iso.org/standard/75107.html" TargetMode="External" /><Relationship Type="http://schemas.openxmlformats.org/officeDocument/2006/relationships/hyperlink" Id="rId155" Target="https://www.iso.org/standard/79000.html" TargetMode="External" /><Relationship Type="http://schemas.openxmlformats.org/officeDocument/2006/relationships/hyperlink" Id="rId153" Target="https://www.iso.org/standard/88412.html" TargetMode="External" /><Relationship Type="http://schemas.openxmlformats.org/officeDocument/2006/relationships/hyperlink" Id="rId86" Target="https://www.misp-project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00" Target="https://www.osquery.io/" TargetMode="External" /><Relationship Type="http://schemas.openxmlformats.org/officeDocument/2006/relationships/hyperlink" Id="rId10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https://csrc.nist.gov/Projects/incident-response/publications" TargetMode="External" /><Relationship Type="http://schemas.openxmlformats.org/officeDocument/2006/relationships/hyperlink" Id="rId147" Target="https://csrc.nist.gov/projects/incident-response" TargetMode="External" /><Relationship Type="http://schemas.openxmlformats.org/officeDocument/2006/relationships/hyperlink" Id="rId149" Target="https://csrc.nist.gov/pubs/sp/800/34/r1/upd1/final" TargetMode="External" /><Relationship Type="http://schemas.openxmlformats.org/officeDocument/2006/relationships/hyperlink" Id="rId146" Target="https://csrc.nist.gov/pubs/sp/800/61/r3/final" TargetMode="External" /><Relationship Type="http://schemas.openxmlformats.org/officeDocument/2006/relationships/hyperlink" Id="rId110" Target="https://dfir-iris.org/" TargetMode="External" /><Relationship Type="http://schemas.openxmlformats.org/officeDocument/2006/relationships/hyperlink" Id="rId90" Target="https://docs.velociraptor.app/" TargetMode="External" /><Relationship Type="http://schemas.openxmlformats.org/officeDocument/2006/relationships/hyperlink" Id="rId84" Target="https://github.com/TheHive-Project/Cortex" TargetMode="External" /><Relationship Type="http://schemas.openxmlformats.org/officeDocument/2006/relationships/hyperlink" Id="rId112" Target="https://grr-doc.readthedocs.io/" TargetMode="External" /><Relationship Type="http://schemas.openxmlformats.org/officeDocument/2006/relationships/hyperlink" Id="rId116" Target="https://opensearch.org/" TargetMode="External" /><Relationship Type="http://schemas.openxmlformats.org/officeDocument/2006/relationships/hyperlink" Id="rId98" Target="https://plaso.readthedocs.io/" TargetMode="External" /><Relationship Type="http://schemas.openxmlformats.org/officeDocument/2006/relationships/hyperlink" Id="rId114" Target="https://shuffler.io/" TargetMode="External" /><Relationship Type="http://schemas.openxmlformats.org/officeDocument/2006/relationships/hyperlink" Id="rId108" Target="https://sigmahq.io/" TargetMode="External" /><Relationship Type="http://schemas.openxmlformats.org/officeDocument/2006/relationships/hyperlink" Id="rId104" Target="https://suricata.io/" TargetMode="External" /><Relationship Type="http://schemas.openxmlformats.org/officeDocument/2006/relationships/hyperlink" Id="rId82" Target="https://thehive-project.org/" TargetMode="External" /><Relationship Type="http://schemas.openxmlformats.org/officeDocument/2006/relationships/hyperlink" Id="rId96" Target="https://timesketch.org/" TargetMode="External" /><Relationship Type="http://schemas.openxmlformats.org/officeDocument/2006/relationships/hyperlink" Id="rId106" Target="https://virustotal.github.io/yara/" TargetMode="External" /><Relationship Type="http://schemas.openxmlformats.org/officeDocument/2006/relationships/hyperlink" Id="rId92" Target="https://volatility3.readthedocs.io/" TargetMode="External" /><Relationship Type="http://schemas.openxmlformats.org/officeDocument/2006/relationships/hyperlink" Id="rId88" Target="https://wazuh.com/" TargetMode="External" /><Relationship Type="http://schemas.openxmlformats.org/officeDocument/2006/relationships/hyperlink" Id="rId94" Target="https://www.autopsy.com/" TargetMode="External" /><Relationship Type="http://schemas.openxmlformats.org/officeDocument/2006/relationships/hyperlink" Id="rId150" Target="https://www.cisa.gov/news-events/news/federal-government-cybersecurity-incident-and-vulnerability-response-playbooks" TargetMode="External" /><Relationship Type="http://schemas.openxmlformats.org/officeDocument/2006/relationships/hyperlink" Id="rId151" Target="https://www.cisa.gov/stopransomware/ransomware-guide" TargetMode="External" /><Relationship Type="http://schemas.openxmlformats.org/officeDocument/2006/relationships/hyperlink" Id="rId152" Target="https://www.iso.org/standard/75106.html" TargetMode="External" /><Relationship Type="http://schemas.openxmlformats.org/officeDocument/2006/relationships/hyperlink" Id="rId154" Target="https://www.iso.org/standard/75107.html" TargetMode="External" /><Relationship Type="http://schemas.openxmlformats.org/officeDocument/2006/relationships/hyperlink" Id="rId155" Target="https://www.iso.org/standard/79000.html" TargetMode="External" /><Relationship Type="http://schemas.openxmlformats.org/officeDocument/2006/relationships/hyperlink" Id="rId153" Target="https://www.iso.org/standard/88412.html" TargetMode="External" /><Relationship Type="http://schemas.openxmlformats.org/officeDocument/2006/relationships/hyperlink" Id="rId86" Target="https://www.misp-project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00" Target="https://www.osquery.io/" TargetMode="External" /><Relationship Type="http://schemas.openxmlformats.org/officeDocument/2006/relationships/hyperlink" Id="rId10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2026-07-28T20:29:58Z</dcterms:created>
  <dcterms:modified xsi:type="dcterms:W3CDTF">2026-07-28T20:29:58Z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