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
          <w:bCs/>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
          <w:bCs/>
        </w:rPr>
        <w:t xml:space="preserve">Alberto (Al) Leiva</w:t>
      </w:r>
    </w:p>
    <w:p>
      <w:pPr>
        <w:pStyle w:val="BodyText"/>
      </w:pPr>
      <w:r>
        <w:t xml:space="preserve">Primera edición • Julio 2026</w:t>
      </w:r>
    </w:p>
    <w:bookmarkStart w:id="10"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9"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9"/>
    <w:bookmarkEnd w:id="10"/>
    <w:bookmarkStart w:id="11"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
          <w:bCs/>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11"/>
    <w:bookmarkStart w:id="13" w:name="cloud-security-foundations"/>
    <w:p>
      <w:pPr>
        <w:pStyle w:val="Heading1"/>
      </w:pPr>
      <w:r>
        <w:t xml:space="preserve">1. Cloud Security Foundations</w:t>
      </w:r>
    </w:p>
    <w:p>
      <w:pPr>
        <w:pStyle w:val="FirstParagraph"/>
      </w:pPr>
      <w:r>
        <w:rPr>
          <w:i/>
          <w:iCs/>
        </w:rPr>
        <w:t xml:space="preserve">La seguridad de la nube protege rápidamente el cambio de tecnología compartida, identidades, datos, aplicaciones y servicios.</w:t>
      </w:r>
    </w:p>
    <w:bookmarkStart w:id="12"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
          <w:bCs/>
        </w:rPr>
        <w:t xml:space="preserve">Implementación</w:t>
      </w:r>
      <w:r>
        <w:t xml:space="preserve"> </w:t>
      </w:r>
      <w:r>
        <w:t xml:space="preserve">|</w:t>
      </w:r>
      <w:r>
        <w:t xml:space="preserve"> </w:t>
      </w:r>
      <w:r>
        <w:rPr>
          <w:b/>
          <w:bCs/>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
          <w:bCs/>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12"/>
    <w:bookmarkEnd w:id="13"/>
    <w:bookmarkStart w:id="16" w:name="X4cfc046275579addc469536e2c6a693e31a2d60"/>
    <w:p>
      <w:pPr>
        <w:pStyle w:val="Heading1"/>
      </w:pPr>
      <w:r>
        <w:t xml:space="preserve">2. Modelos de servicio y responsabilidad compartida</w:t>
      </w:r>
    </w:p>
    <w:p>
      <w:pPr>
        <w:pStyle w:val="FirstParagraph"/>
      </w:pPr>
      <w:r>
        <w:rPr>
          <w:i/>
          <w:iCs/>
        </w:rPr>
        <w:t xml:space="preserve">El proveedor y el cliente dividen la responsabilidad de manera diferente en IaaS, PaaS y SaaS.</w:t>
      </w:r>
    </w:p>
    <w:p>
      <w:pPr>
        <w:pStyle w:val="BodyText"/>
      </w:pPr>
      <w:r>
        <w:t xml:space="preserve">יimg src=</w:t>
      </w:r>
      <w:r>
        <w:t xml:space="preserve">“media/image1.png”</w:t>
      </w:r>
      <w:r>
        <w:t xml:space="preserve"> </w:t>
      </w:r>
      <w:r>
        <w:t xml:space="preserve">style=</w:t>
      </w:r>
      <w:r>
        <w:t xml:space="preserve">“width:6.15in;height:3.39605in”</w:t>
      </w:r>
      <w:r>
        <w:t xml:space="preserve"> </w:t>
      </w:r>
      <w:r>
        <w:t xml:space="preserve">alt=</w:t>
      </w:r>
      <w:r>
        <w:t xml:space="preserve">“Siempre confirman la documentación y el contrato de servicio exactos; los diagramas son puntos de partida simplificados”</w:t>
      </w:r>
      <w:r>
        <w:t xml:space="preserve">.</w:t>
      </w:r>
    </w:p>
    <w:p>
      <w:pPr>
        <w:pStyle w:val="BodyText"/>
      </w:pPr>
      <w:r>
        <w:t xml:space="preserve">Figura 1. Modelo de responsabilidad compartida</w:t>
      </w:r>
    </w:p>
    <w:p>
      <w:pPr>
        <w:pStyle w:val="BodyText"/>
      </w:pPr>
      <w:r>
        <w:rPr>
          <w:b/>
          <w:bCs/>
        </w:rPr>
        <w:t xml:space="preserve">Modelo</w:t>
      </w:r>
      <w:r>
        <w:t xml:space="preserve"> </w:t>
      </w:r>
      <w:r>
        <w:t xml:space="preserve">| ** Proveedor generalmente opera** |</w:t>
      </w:r>
      <w:r>
        <w:t xml:space="preserve"> </w:t>
      </w:r>
      <w:r>
        <w:rPr>
          <w:b/>
          <w:bCs/>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14"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pStyle w:val="Compact"/>
        <w:numPr>
          <w:ilvl w:val="0"/>
          <w:numId w:val="1004"/>
        </w:numPr>
      </w:pPr>
      <w:r>
        <w:t xml:space="preserve">Gobernanza de la nube, estrategia y competencia de riesgo</w:t>
      </w:r>
    </w:p>
    <w:p>
      <w:pPr>
        <w:pStyle w:val="FirstParagraph"/>
      </w:pPr>
      <w:r>
        <w:rPr>
          <w:i/>
          <w:iCs/>
        </w:rPr>
        <w:t xml:space="preserve">Los conjuntos de glovernance permitieron el uso de la nube, propiedad, arquitectura, vigilancia, riesgo y escalada.</w:t>
      </w:r>
    </w:p>
    <w:bookmarkEnd w:id="14"/>
    <w:bookmarkStart w:id="15"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Rol</w:t>
            </w:r>
          </w:p>
        </w:tc>
      </w:tr>
      <w:tr>
        <w:tc>
          <w:tcPr/>
          <w:p>
            <w:pPr>
              <w:pStyle w:val="Compac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15"/>
    <w:bookmarkEnd w:id="16"/>
    <w:bookmarkStart w:id="19" w:name="X034f6d519dd0ab2cb052f667b385c410e66607f"/>
    <w:p>
      <w:pPr>
        <w:pStyle w:val="Heading1"/>
      </w:pPr>
      <w:r>
        <w:t xml:space="preserve">4. Inventario, cuentas, suscripciones y propiedad</w:t>
      </w:r>
    </w:p>
    <w:p>
      <w:pPr>
        <w:pStyle w:val="FirstParagraph"/>
      </w:pPr>
      <w:r>
        <w:rPr>
          <w:i/>
          <w:iCs/>
        </w:rPr>
        <w:t xml:space="preserve">Los recursos de nube desconocidos no pueden ser gobernados, protegidos, supervisados o retirados.</w:t>
      </w:r>
    </w:p>
    <w:bookmarkStart w:id="17"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17"/>
    <w:bookmarkStart w:id="18"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18"/>
    <w:bookmarkEnd w:id="19"/>
    <w:bookmarkStart w:id="23" w:name="X4713fcba79957ff624456befc4188b95944ada3"/>
    <w:p>
      <w:pPr>
        <w:pStyle w:val="Heading1"/>
      </w:pPr>
      <w:r>
        <w:t xml:space="preserve">5. Zonas seguras de arquitectura y aterrizaje</w:t>
      </w:r>
    </w:p>
    <w:p>
      <w:pPr>
        <w:pStyle w:val="FirstParagraph"/>
      </w:pPr>
      <w:r>
        <w:rPr>
          <w:i/>
          <w:iCs/>
        </w:rPr>
        <w:t xml:space="preserve">Las zonas de aterrizaje proporcionan bases reutilizables seguras antes de que llegue la carga de trabajo</w:t>
      </w:r>
      <w:r>
        <w:t xml:space="preserve">.</w:t>
      </w:r>
    </w:p>
    <w:p>
      <w:pPr>
        <w:pStyle w:val="BodyText"/>
      </w:pPr>
      <w:r>
        <w:t xml:space="preserve">Altura:3.39605in” alt=</w:t>
      </w:r>
      <w:r>
        <w:t xml:space="preserve">“Hierarquía, identidad, redes, registros centralizados, políticas y separación de carga de trabajo crean correderas consistentes.”</w:t>
      </w:r>
      <w:r>
        <w:t xml:space="preserve"> </w:t>
      </w:r>
      <w:r>
        <w:t xml:space="preserve">/ Propiedad</w:t>
      </w:r>
    </w:p>
    <w:p>
      <w:pPr>
        <w:pStyle w:val="BodyText"/>
      </w:pPr>
      <w:r>
        <w:t xml:space="preserve">Figura 2. Base de la zona de aterrizaje</w:t>
      </w:r>
    </w:p>
    <w:bookmarkStart w:id="20"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
          <w:iCs/>
        </w:rPr>
        <w:t xml:space="preserve">Los aviones de control de ruido hacen identidad, fichas, roles y directores de servicios activos críticos.</w:t>
      </w:r>
    </w:p>
    <w:p>
      <w:pPr>
        <w:pStyle w:val="BodyText"/>
      </w:pPr>
      <w:r>
        <w:t xml:space="preserve">لimg src=</w:t>
      </w:r>
      <w:r>
        <w:t xml:space="preserve">“media/image3.png”</w:t>
      </w:r>
      <w:r>
        <w:t xml:space="preserve"> </w:t>
      </w:r>
      <w:r>
        <w:t xml:space="preserve">style=</w:t>
      </w:r>
      <w:r>
        <w:t xml:space="preserve">“width:6.15in;height:3.39605in”</w:t>
      </w:r>
      <w:r>
        <w:t xml:space="preserve"> </w:t>
      </w:r>
      <w:r>
        <w:t xml:space="preserve">alt=</w:t>
      </w:r>
      <w:r>
        <w:t xml:space="preserve">“Strong identity proofing, MFA, least privilegio, session control, review, and revocation reduce control-plane risk.”</w:t>
      </w:r>
      <w:r>
        <w:t xml:space="preserve"> </w:t>
      </w:r>
      <w:r>
        <w:t xml:space="preserve">/</w:t>
      </w:r>
    </w:p>
    <w:p>
      <w:pPr>
        <w:pStyle w:val="BodyText"/>
      </w:pPr>
      <w:r>
        <w:t xml:space="preserve">Gráfico 3 Ciclo de vida de identidad en la nube</w:t>
      </w:r>
    </w:p>
    <w:bookmarkEnd w:id="20"/>
    <w:bookmarkStart w:id="21"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21"/>
    <w:bookmarkStart w:id="22"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22"/>
    <w:bookmarkEnd w:id="23"/>
    <w:bookmarkStart w:id="24" w:name="seguridad-de-la-red-y-la-conectividad"/>
    <w:p>
      <w:pPr>
        <w:pStyle w:val="Heading1"/>
      </w:pPr>
      <w:r>
        <w:t xml:space="preserve">7. Seguridad de la red y la conectividad</w:t>
      </w:r>
    </w:p>
    <w:p>
      <w:pPr>
        <w:pStyle w:val="FirstParagraph"/>
      </w:pPr>
      <w:r>
        <w:rPr>
          <w:i/>
          <w:iCs/>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24"/>
    <w:bookmarkStart w:id="26" w:name="seguridad-de-datos-y-privacidad"/>
    <w:p>
      <w:pPr>
        <w:pStyle w:val="Heading1"/>
      </w:pPr>
      <w:r>
        <w:t xml:space="preserve">8. Seguridad de datos y privacidad</w:t>
      </w:r>
    </w:p>
    <w:p>
      <w:pPr>
        <w:pStyle w:val="FirstParagraph"/>
      </w:pPr>
      <w:r>
        <w:rPr>
          <w:i/>
          <w:iCs/>
        </w:rPr>
        <w:t xml:space="preserve">La seguridad de los datos de voz comienza con propósito, ubicación, clasificación y minimización.</w:t>
      </w:r>
    </w:p>
    <w:p>
      <w:pPr>
        <w:pStyle w:val="BodyText"/>
      </w:pPr>
      <w:r>
        <w:t xml:space="preserve">יimg src=</w:t>
      </w:r>
      <w:r>
        <w:t xml:space="preserve">“media/image4.png”</w:t>
      </w:r>
      <w:r>
        <w:t xml:space="preserve"> </w:t>
      </w:r>
      <w:r>
        <w:t xml:space="preserve">style=</w:t>
      </w:r>
      <w:r>
        <w:t xml:space="preserve">“width:6.15in;height:3.39605in”</w:t>
      </w:r>
      <w:r>
        <w:t xml:space="preserve"> </w:t>
      </w:r>
      <w:r>
        <w:t xml:space="preserve">alt=</w:t>
      </w:r>
      <w:r>
        <w:t xml:space="preserve">“Track data from discovery and purpose through controlled deletion, including replicas, logs, backups, and subprocessors.”</w:t>
      </w:r>
      <w:r>
        <w:t xml:space="preserve"> </w:t>
      </w:r>
      <w:r>
        <w:t xml:space="preserve">/</w:t>
      </w:r>
    </w:p>
    <w:p>
      <w:pPr>
        <w:pStyle w:val="BodyText"/>
      </w:pPr>
      <w:r>
        <w:t xml:space="preserve">Gráfico 4. Ciclo de vida de datos en la nube</w:t>
      </w:r>
    </w:p>
    <w:bookmarkStart w:id="25"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
          <w:bCs/>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25"/>
    <w:bookmarkEnd w:id="26"/>
    <w:bookmarkStart w:id="29" w:name="X16cecd832bb4b4218eb61ecf9f0643d77e38b62"/>
    <w:p>
      <w:pPr>
        <w:pStyle w:val="Heading1"/>
      </w:pPr>
      <w:r>
        <w:t xml:space="preserve">9. Encriptación, llaves, certificados y secretos</w:t>
      </w:r>
    </w:p>
    <w:p>
      <w:pPr>
        <w:pStyle w:val="FirstParagraph"/>
      </w:pPr>
      <w:r>
        <w:rPr>
          <w:i/>
          <w:iCs/>
        </w:rPr>
        <w:t xml:space="preserve">La Criptografía falla cuando las claves, secretos, certificados, algoritmos y permisos son mal gestionados.</w:t>
      </w:r>
    </w:p>
    <w:bookmarkStart w:id="27"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27"/>
    <w:bookmarkStart w:id="28"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28"/>
    <w:bookmarkEnd w:id="29"/>
    <w:bookmarkStart w:id="31" w:name="registro-monitoreo-y-detección"/>
    <w:p>
      <w:pPr>
        <w:pStyle w:val="Heading1"/>
      </w:pPr>
      <w:r>
        <w:t xml:space="preserve">10. Registro, monitoreo y detección</w:t>
      </w:r>
    </w:p>
    <w:p>
      <w:pPr>
        <w:pStyle w:val="FirstParagraph"/>
      </w:pPr>
      <w:r>
        <w:rPr>
          <w:i/>
          <w:iCs/>
        </w:rPr>
        <w:t xml:space="preserve">La evidencia en voz alta es útil cuando se permiten y revisan los eventos de control, plan de datos, volumen de trabajo, identidad y aplicación adecuados</w:t>
      </w:r>
      <w:r>
        <w:t xml:space="preserve">.</w:t>
      </w:r>
    </w:p>
    <w:bookmarkStart w:id="30"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30"/>
    <w:bookmarkEnd w:id="31"/>
    <w:bookmarkStart w:id="33" w:name="Xa04d89d843bb0fb7413bb2e7a51ff9f7a8d788d"/>
    <w:p>
      <w:pPr>
        <w:pStyle w:val="Heading1"/>
      </w:pPr>
      <w:r>
        <w:t xml:space="preserve">11. Vulnerabilidad, manejo de parches y exposición</w:t>
      </w:r>
    </w:p>
    <w:p>
      <w:pPr>
        <w:pStyle w:val="FirstParagraph"/>
      </w:pPr>
      <w:r>
        <w:rPr>
          <w:i/>
          <w:iCs/>
        </w:rPr>
        <w:t xml:space="preserve">La exposición al ruido cambia continuamente a través de configuración, código, imágenes, dependencias, identidades y servicios de proveedores.</w:t>
      </w:r>
    </w:p>
    <w:bookmarkStart w:id="32"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32"/>
    <w:bookmarkEnd w:id="33"/>
    <w:bookmarkStart w:id="34" w:name="Xa4247c06de8a4b1ae097298856154dd29069a1d"/>
    <w:p>
      <w:pPr>
        <w:pStyle w:val="Heading1"/>
      </w:pPr>
      <w:r>
        <w:t xml:space="preserve">12. Compute, Storage, Database, and Endpoint Security</w:t>
      </w:r>
    </w:p>
    <w:p>
      <w:pPr>
        <w:pStyle w:val="FirstParagraph"/>
      </w:pPr>
      <w:r>
        <w:rPr>
          <w:i/>
          <w:iCs/>
        </w:rPr>
        <w:t xml:space="preserve">Cada servicio gestionado elimina algunos trabajos operativos pero crea responsabilidades de configuración e integración</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Recurso</w:t>
            </w:r>
          </w:p>
        </w:tc>
      </w:tr>
      <w:tr>
        <w:tc>
          <w:tcPr/>
          <w:p>
            <w:pPr>
              <w:pStyle w:val="Compact"/>
            </w:pPr>
            <w:r>
              <w:t xml:space="preserve">Ø Máquinas virtuales Ø Imágenes, parche, endurecimiento, EDR, discos, metadatos, ruta de administración ANTERI inventario, procedencia de imagen, config/scan, cobertura de agente</w:t>
            </w:r>
          </w:p>
        </w:tc>
      </w:tr>
      <w:tr>
        <w:tc>
          <w:tcPr/>
          <w:p>
            <w:pPr>
              <w:pStyle w:val="Compact"/>
            </w:pPr>
            <w:r>
              <w:t xml:space="preserve">tención de objetos</w:t>
            </w:r>
          </w:p>
        </w:tc>
      </w:tr>
      <w:tr>
        <w:tc>
          <w:tcPr/>
          <w:p>
            <w:pPr>
              <w:pStyle w:val="Compact"/>
            </w:pPr>
            <w:r>
              <w:t xml:space="preserve">tención Gestionada base de datos</w:t>
            </w:r>
          </w:p>
        </w:tc>
      </w:tr>
      <w:tr>
        <w:tc>
          <w:tcPr/>
          <w:p>
            <w:pPr>
              <w:pStyle w:val="Compact"/>
            </w:pPr>
            <w:r>
              <w:t xml:space="preserve">TEN Bloqueo / archivo de almacenamiento</w:t>
            </w:r>
          </w:p>
        </w:tc>
      </w:tr>
      <w:tr>
        <w:tc>
          <w:tcPr/>
          <w:p>
            <w:pPr>
              <w:pStyle w:val="Compact"/>
            </w:pPr>
            <w:r>
              <w:t xml:space="preserve">Managed escritorio/punto de finalización ANTERIED Identidad, postura de dispositivo, aplicaciones, datos, sesiones, registro de entradas, políticas, acceso, eventos, pruebas de limpieza/terminación</w:t>
            </w:r>
          </w:p>
        </w:tc>
      </w:tr>
      <w:tr>
        <w:tc>
          <w:tcPr/>
          <w:p>
            <w:pPr>
              <w:pStyle w:val="Compact"/>
            </w:pPr>
            <w:r>
              <w:t xml:space="preserve">← Imagen/servicio en el mercado</w:t>
            </w:r>
          </w:p>
        </w:tc>
      </w:tr>
    </w:tbl>
    <w:bookmarkEnd w:id="34"/>
    <w:bookmarkStart w:id="36" w:name="seguridad-de-aplicaciones-y-devsecops"/>
    <w:p>
      <w:pPr>
        <w:pStyle w:val="Heading1"/>
      </w:pPr>
      <w:r>
        <w:t xml:space="preserve">13. Seguridad de aplicaciones y DevSecOps</w:t>
      </w:r>
    </w:p>
    <w:p>
      <w:pPr>
        <w:pStyle w:val="FirstParagraph"/>
      </w:pPr>
      <w:r>
        <w:rPr>
          <w:i/>
          <w:iCs/>
        </w:rPr>
        <w:t xml:space="preserve">Las aplicaciones de nube heredan el riesgo de diseño, código, dependencias, oleoductos, identidades, API y servicios gestionados.</w:t>
      </w:r>
    </w:p>
    <w:p>
      <w:pPr>
        <w:pStyle w:val="BodyText"/>
      </w:pPr>
      <w:r>
        <w:t xml:space="preserve">■img src=</w:t>
      </w:r>
      <w:r>
        <w:t xml:space="preserve">“media/image5.png”</w:t>
      </w:r>
      <w:r>
        <w:t xml:space="preserve"> </w:t>
      </w:r>
      <w:r>
        <w:t xml:space="preserve">style=</w:t>
      </w:r>
      <w:r>
        <w:t xml:space="preserve">“width:6.15in;height:3.39605in”</w:t>
      </w:r>
      <w:r>
        <w:t xml:space="preserve"> </w:t>
      </w:r>
      <w:r>
        <w:t xml:space="preserve">alt=</w:t>
      </w:r>
      <w:r>
        <w:t xml:space="preserve">“La evidencia de seguridad debe seguir el código del diseño a través de la construcción, el despliegue y el tiempo de ejecución.”</w:t>
      </w:r>
    </w:p>
    <w:p>
      <w:pPr>
        <w:pStyle w:val="BodyText"/>
      </w:pPr>
      <w:r>
        <w:t xml:space="preserve">Figura 5. Flujo de DevSecOps Cloud</w:t>
      </w:r>
    </w:p>
    <w:bookmarkStart w:id="35"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35"/>
    <w:bookmarkEnd w:id="36"/>
    <w:bookmarkStart w:id="39" w:name="X08fec4231ab0c7e654d587d20f435c8faf871bb"/>
    <w:p>
      <w:pPr>
        <w:pStyle w:val="Heading1"/>
      </w:pPr>
      <w:r>
        <w:t xml:space="preserve">14. Infraestructura como código y política como código</w:t>
      </w:r>
    </w:p>
    <w:p>
      <w:pPr>
        <w:pStyle w:val="FirstParagraph"/>
      </w:pPr>
      <w:r>
        <w:rPr>
          <w:i/>
          <w:iCs/>
        </w:rPr>
        <w:t xml:space="preserve">La infraestructura y la política como código hacen que las decisiones de la nube sean repetibles, revisables, testables y escalables.</w:t>
      </w:r>
    </w:p>
    <w:bookmarkStart w:id="37"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37"/>
    <w:bookmarkStart w:id="38"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38"/>
    <w:bookmarkEnd w:id="39"/>
    <w:bookmarkStart w:id="41" w:name="containers-and-kubernetes"/>
    <w:p>
      <w:pPr>
        <w:pStyle w:val="Heading1"/>
      </w:pPr>
      <w:r>
        <w:t xml:space="preserve">15. Containers and Kubernetes</w:t>
      </w:r>
    </w:p>
    <w:p>
      <w:pPr>
        <w:pStyle w:val="FirstParagraph"/>
      </w:pPr>
      <w:r>
        <w:rPr>
          <w:i/>
          <w:iCs/>
        </w:rPr>
        <w:t xml:space="preserve">Kubernetes distribuye responsabilidad en el plano de control de proveedores, configuración de grupos, nodos, imágenes, cargas de trabajo, red e identidad.</w:t>
      </w:r>
    </w:p>
    <w:p>
      <w:pPr>
        <w:pStyle w:val="BodyText"/>
      </w:pPr>
      <w:r>
        <w:t xml:space="preserve">“Managed Kubernetes todavía requiere el control de las cargas de trabajo, el acceso, las políticas, la red, los datos y la evidencia.”</w:t>
      </w:r>
      <w:r>
        <w:t xml:space="preserve"> </w:t>
      </w:r>
      <w:r>
        <w:t xml:space="preserve">/ Confeccionar</w:t>
      </w:r>
    </w:p>
    <w:p>
      <w:pPr>
        <w:pStyle w:val="BodyText"/>
      </w:pPr>
      <w:r>
        <w:t xml:space="preserve">Figura 6. Capas de seguridad Kubernetes</w:t>
      </w:r>
    </w:p>
    <w:bookmarkStart w:id="40"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40"/>
    <w:bookmarkEnd w:id="41"/>
    <w:bookmarkStart w:id="44" w:name="servidor-api-y-servicios-de-eventos"/>
    <w:p>
      <w:pPr>
        <w:pStyle w:val="Heading1"/>
      </w:pPr>
      <w:r>
        <w:t xml:space="preserve">16. Servidor, API y servicios de eventos</w:t>
      </w:r>
    </w:p>
    <w:p>
      <w:pPr>
        <w:pStyle w:val="FirstParagraph"/>
      </w:pPr>
      <w:r>
        <w:rPr>
          <w:i/>
          <w:iCs/>
        </w:rPr>
        <w:t xml:space="preserve">Los sistemas ininterrumpidos y basados en eventos reducen la gestión de hosts pero aumentan las preocupaciones de identidad, evento, dependencia y observabilidad.</w:t>
      </w:r>
    </w:p>
    <w:bookmarkStart w:id="42"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42"/>
    <w:bookmarkStart w:id="43"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43"/>
    <w:bookmarkEnd w:id="44"/>
    <w:bookmarkStart w:id="46" w:name="saas-security-and-business-applications"/>
    <w:p>
      <w:pPr>
        <w:pStyle w:val="Heading1"/>
      </w:pPr>
      <w:r>
        <w:t xml:space="preserve">17. SaaS Security and Business Applications</w:t>
      </w:r>
    </w:p>
    <w:p>
      <w:pPr>
        <w:pStyle w:val="FirstParagraph"/>
      </w:pPr>
      <w:r>
        <w:rPr>
          <w:i/>
          <w:iCs/>
        </w:rPr>
        <w:t xml:space="preserve">La seguridad de SaaS depende en gran medida de la configuración, identidad, uso de datos, integraciones, puntos finales y evidencia de proveedores.</w:t>
      </w:r>
    </w:p>
    <w:bookmarkStart w:id="45"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45"/>
    <w:bookmarkEnd w:id="46"/>
    <w:bookmarkStart w:id="49" w:name="multi-cloud-hybrid-cloud-y-portability"/>
    <w:p>
      <w:pPr>
        <w:pStyle w:val="Heading1"/>
      </w:pPr>
      <w:r>
        <w:t xml:space="preserve">18. Multi-Cloud, Hybrid Cloud y Portability</w:t>
      </w:r>
    </w:p>
    <w:p>
      <w:pPr>
        <w:pStyle w:val="FirstParagraph"/>
      </w:pPr>
      <w:r>
        <w:rPr>
          <w:i/>
          <w:iCs/>
        </w:rPr>
        <w:t xml:space="preserve">Multi-cloud y diseños híbridos pueden reducir o aumentar el riesgo dependiendo de la capacidad operacional real.</w:t>
      </w:r>
    </w:p>
    <w:bookmarkStart w:id="47"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47"/>
    <w:bookmarkStart w:id="48"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48"/>
    <w:bookmarkEnd w:id="49"/>
    <w:bookmarkStart w:id="51" w:name="X4ba2ede2fb3f481211224954289fae22df95631"/>
    <w:p>
      <w:pPr>
        <w:pStyle w:val="Heading1"/>
      </w:pPr>
      <w:r>
        <w:t xml:space="preserve">19. Resiliencia, respaldo y recuperación de desastres</w:t>
      </w:r>
    </w:p>
    <w:p>
      <w:pPr>
        <w:pStyle w:val="FirstParagraph"/>
      </w:pPr>
      <w:r>
        <w:rPr>
          <w:i/>
          <w:iCs/>
        </w:rPr>
        <w:t xml:space="preserve">La resiliencia en voz alta requiere objetivos empresariales, arquitectura, datos de recuperación protegidos y restauración final a extremo probada.</w:t>
      </w:r>
    </w:p>
    <w:p>
      <w:pPr>
        <w:pStyle w:val="BodyText"/>
      </w:pPr>
      <w:r>
        <w:t xml:space="preserve">יimg src=</w:t>
      </w:r>
      <w:r>
        <w:t xml:space="preserve">“media/image7.png”</w:t>
      </w:r>
      <w:r>
        <w:t xml:space="preserve"> </w:t>
      </w:r>
      <w:r>
        <w:t xml:space="preserve">style=</w:t>
      </w:r>
      <w:r>
        <w:t xml:space="preserve">“width:6.15in;height:3.39605in”</w:t>
      </w:r>
      <w:r>
        <w:t xml:space="preserve"> </w:t>
      </w:r>
      <w:r>
        <w:t xml:space="preserve">alt=</w:t>
      </w:r>
      <w:r>
        <w:t xml:space="preserve">“Las características de disponibilidad de proveedores no prueban que el servicio completo del cliente puede reunirse con RTO y RPO.”</w:t>
      </w:r>
      <w:r>
        <w:t xml:space="preserve"> </w:t>
      </w:r>
      <w:r>
        <w:t xml:space="preserve">/</w:t>
      </w:r>
    </w:p>
    <w:p>
      <w:pPr>
        <w:pStyle w:val="BodyText"/>
      </w:pPr>
      <w:r>
        <w:t xml:space="preserve">Gráfico 7. Resiliencia y recuperación en la nube</w:t>
      </w:r>
    </w:p>
    <w:bookmarkStart w:id="50"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50"/>
    <w:bookmarkEnd w:id="51"/>
    <w:bookmarkStart w:id="54" w:name="Xebb275a4b46c2bf6046bc281cb0fc62348b0e58"/>
    <w:p>
      <w:pPr>
        <w:pStyle w:val="Heading1"/>
      </w:pPr>
      <w:r>
        <w:t xml:space="preserve">20. Respuesta de incidentes en la nube y forenses</w:t>
      </w:r>
    </w:p>
    <w:p>
      <w:pPr>
        <w:pStyle w:val="FirstParagraph"/>
      </w:pPr>
      <w:r>
        <w:rPr>
          <w:i/>
          <w:iCs/>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“media/image8.png”</w:t>
      </w:r>
      <w:r>
        <w:t xml:space="preserve"> </w:t>
      </w:r>
      <w:r>
        <w:t xml:space="preserve">style=</w:t>
      </w:r>
      <w:r>
        <w:t xml:space="preserve">“width:6.15in;height:3.39605in”</w:t>
      </w:r>
      <w:r>
        <w:t xml:space="preserve"> </w:t>
      </w:r>
      <w:r>
        <w:t xml:space="preserve">alt=</w:t>
      </w:r>
      <w:r>
        <w:t xml:space="preserve">“Preserve provider logs and secure identity before evidence expires or changes spread.”</w:t>
      </w:r>
      <w:r>
        <w:t xml:space="preserve"> </w:t>
      </w:r>
      <w:r>
        <w:t xml:space="preserve">/ Información</w:t>
      </w:r>
    </w:p>
    <w:p>
      <w:pPr>
        <w:pStyle w:val="BodyText"/>
      </w:pPr>
      <w:r>
        <w:t xml:space="preserve">Gráfico 8 Flujo de trabajo de incidentes en la nube</w:t>
      </w:r>
    </w:p>
    <w:bookmarkStart w:id="52"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52"/>
    <w:bookmarkStart w:id="53"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53"/>
    <w:bookmarkEnd w:id="54"/>
    <w:bookmarkStart w:id="56" w:name="Xbe543e182697de6138525d543f8082d61f7c15e"/>
    <w:p>
      <w:pPr>
        <w:pStyle w:val="Heading1"/>
      </w:pPr>
      <w:r>
        <w:t xml:space="preserve">21. Privacidad, Legal, Contrato y Residencia de Datos</w:t>
      </w:r>
    </w:p>
    <w:p>
      <w:pPr>
        <w:pStyle w:val="FirstParagraph"/>
      </w:pPr>
      <w:r>
        <w:rPr>
          <w:i/>
          <w:iCs/>
        </w:rPr>
        <w:t xml:space="preserve">La privacidad y el cumplimiento en voz alta siguen los principios de procesamiento, responsabilidad, contrato, geografía y evidencia.</w:t>
      </w:r>
    </w:p>
    <w:bookmarkStart w:id="55"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55"/>
    <w:bookmarkEnd w:id="56"/>
    <w:bookmarkStart w:id="58" w:name="csa-cloud-controls-matrix-v4.1-dominios"/>
    <w:p>
      <w:pPr>
        <w:pStyle w:val="Heading1"/>
      </w:pPr>
      <w:r>
        <w:t xml:space="preserve">22. CSA Cloud Controls Matrix v4.1 Dominios</w:t>
      </w:r>
    </w:p>
    <w:p>
      <w:pPr>
        <w:pStyle w:val="FirstParagraph"/>
      </w:pPr>
      <w:r>
        <w:rPr>
          <w:i/>
          <w:iCs/>
        </w:rPr>
        <w:t xml:space="preserve">CSA CCM v4.1 organiza 207 objetivos de control de nubes en 17 dominios.</w:t>
      </w:r>
    </w:p>
    <w:p>
      <w:pPr>
        <w:pStyle w:val="BodyText"/>
      </w:pPr>
      <w:r>
        <w:rPr>
          <w:b/>
          <w:bCs/>
        </w:rPr>
        <w:t xml:space="preserve">Code / domain</w:t>
      </w:r>
      <w:r>
        <w:t xml:space="preserve"> </w:t>
      </w:r>
      <w:r>
        <w:t xml:space="preserve">|</w:t>
      </w:r>
      <w:r>
        <w:t xml:space="preserve"> </w:t>
      </w:r>
      <w:r>
        <w:rPr>
          <w:b/>
          <w:bCs/>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57"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57"/>
    <w:bookmarkEnd w:id="58"/>
    <w:bookmarkStart w:id="59" w:name="X8cf5ba7ff9c2f9dab705e85c77428c0c78cbf2c"/>
    <w:p>
      <w:pPr>
        <w:pStyle w:val="Heading1"/>
      </w:pPr>
      <w:r>
        <w:t xml:space="preserve">23. Aseguramiento de la nube y evidencia del proveedor</w:t>
      </w:r>
    </w:p>
    <w:p>
      <w:pPr>
        <w:pStyle w:val="FirstParagraph"/>
      </w:pPr>
      <w:r>
        <w:rPr>
          <w:i/>
          <w:iCs/>
        </w:rPr>
        <w:t xml:space="preserve">La garantía de la compañía reduce la incertidumbre sólo cuando el alcance y la responsabilidad del cliente coinciden con el uso real.</w:t>
      </w:r>
    </w:p>
    <w:p>
      <w:pPr>
        <w:pStyle w:val="BodyText"/>
      </w:pPr>
      <w:r>
        <w:rPr>
          <w:b/>
          <w:bCs/>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
          <w:bCs/>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59"/>
    <w:bookmarkStart w:id="61" w:name="X83a016be104cdbc71e7884e907d4d7efd3aa8d1"/>
    <w:p>
      <w:pPr>
        <w:pStyle w:val="Heading1"/>
      </w:pPr>
      <w:r>
        <w:t xml:space="preserve">24. Evaluación, pruebas de evidencia y métricas</w:t>
      </w:r>
    </w:p>
    <w:p>
      <w:pPr>
        <w:pStyle w:val="FirstParagraph"/>
      </w:pPr>
      <w:r>
        <w:rPr>
          <w:i/>
          <w:iCs/>
        </w:rPr>
        <w:t xml:space="preserve">La evaluación de voz se une a criterios exactos, poblaciones API completas, evidencia confiable, juicio humano y retesting.</w:t>
      </w:r>
    </w:p>
    <w:p>
      <w:pPr>
        <w:pStyle w:val="BodyText"/>
      </w:pPr>
      <w:r>
        <w:t xml:space="preserve">“La prueba de configuración automatizada se convierte en garantía sólo después de que se evaluen el alcance, la confiabilidad, las excepciones y el riesgo”</w:t>
      </w:r>
      <w:r>
        <w:t xml:space="preserve">.</w:t>
      </w:r>
    </w:p>
    <w:p>
      <w:pPr>
        <w:pStyle w:val="BodyText"/>
      </w:pPr>
      <w:r>
        <w:t xml:space="preserve">Figura 9. Cadena de prueba de pruebas en la nube</w:t>
      </w:r>
    </w:p>
    <w:bookmarkStart w:id="60"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60"/>
    <w:bookmarkEnd w:id="61"/>
    <w:bookmarkStart w:id="63" w:name="X106f2941758ac5307d76e4ac5d4a76619b68087"/>
    <w:p>
      <w:pPr>
        <w:pStyle w:val="Heading1"/>
      </w:pPr>
      <w:r>
        <w:t xml:space="preserve">25. Servicios de IA y riesgos emergentes de la nube</w:t>
      </w:r>
    </w:p>
    <w:p>
      <w:pPr>
        <w:pStyle w:val="FirstParagraph"/>
      </w:pPr>
      <w:r>
        <w:rPr>
          <w:i/>
          <w:iCs/>
        </w:rPr>
        <w:t xml:space="preserve">Los servicios de Cloud AI añaden un modelo, datos, agente, plugin, cadena de proveedores y un riesgo de cambios rápido.</w:t>
      </w:r>
    </w:p>
    <w:bookmarkStart w:id="62"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62"/>
    <w:bookmarkEnd w:id="63"/>
    <w:bookmarkStart w:id="64" w:name="open-source-tools"/>
    <w:p>
      <w:pPr>
        <w:pStyle w:val="Heading1"/>
      </w:pPr>
      <w:r>
        <w:t xml:space="preserve">26. Open-Source Tools</w:t>
      </w:r>
    </w:p>
    <w:p>
      <w:pPr>
        <w:pStyle w:val="Compact"/>
        <w:numPr>
          <w:ilvl w:val="0"/>
          <w:numId w:val="1034"/>
        </w:numPr>
      </w:pPr>
      <w:r>
        <w:t xml:space="preserve">Herramientas de código abierto soportan inventario, postura, IaC, Kubernetes, tiempo de ejecución, secreto y encontrar evidencia.*</w:t>
      </w:r>
    </w:p>
    <w:bookmarkEnd w:id="64"/>
    <w:bookmarkStart w:id="97"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
          <w:bCs/>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66"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65">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66"/>
    <w:bookmarkStart w:id="68"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67">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68"/>
    <w:bookmarkStart w:id="70"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69">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0"/>
    <w:bookmarkStart w:id="72"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71">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2"/>
    <w:bookmarkStart w:id="74"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73">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4"/>
    <w:bookmarkStart w:id="76"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75">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6"/>
    <w:bookmarkStart w:id="77"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terrascan"/>
    <w:p>
      <w:pPr>
        <w:pStyle w:val="Heading2"/>
      </w:pPr>
      <w:r>
        <w:t xml:space="preserve">26.8 Terrascan</w:t>
      </w:r>
    </w:p>
    <w:p>
      <w:pPr>
        <w:pStyle w:val="FirstParagraph"/>
      </w:pPr>
      <w:r>
        <w:t xml:space="preserve">Objetivo: Análisis de IaC basado en políticas. Proyecto oficial:</w:t>
      </w:r>
      <w:r>
        <w:t xml:space="preserve"> </w:t>
      </w:r>
      <w:hyperlink r:id="rId78">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80">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82">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kyverno"/>
    <w:p>
      <w:pPr>
        <w:pStyle w:val="Heading2"/>
      </w:pPr>
      <w:r>
        <w:t xml:space="preserve">26.11 Kyverno</w:t>
      </w:r>
    </w:p>
    <w:p>
      <w:pPr>
        <w:pStyle w:val="FirstParagraph"/>
      </w:pPr>
      <w:r>
        <w:t xml:space="preserve">Objetivo: Gestión de políticas nativas de Kubernetes. Proyecto oficial:</w:t>
      </w:r>
      <w:r>
        <w:t xml:space="preserve"> </w:t>
      </w:r>
      <w:hyperlink r:id="rId84">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6"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6"/>
    <w:bookmarkStart w:id="87"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gitleaks"/>
    <w:p>
      <w:pPr>
        <w:pStyle w:val="Heading2"/>
      </w:pPr>
      <w:r>
        <w:t xml:space="preserve">26.15 Gitleaks</w:t>
      </w:r>
    </w:p>
    <w:p>
      <w:pPr>
        <w:pStyle w:val="FirstParagraph"/>
      </w:pPr>
      <w:r>
        <w:t xml:space="preserve">Propósito: Detección secreta en fuente e historia. Proyecto oficial:</w:t>
      </w:r>
      <w:r>
        <w:t xml:space="preserve"> </w:t>
      </w:r>
      <w:hyperlink r:id="rId89">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91">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93">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95">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End w:id="97"/>
    <w:bookmarkStart w:id="101" w:name="Xc54a2b2468fdcb67205c2dea00798afead25791"/>
    <w:p>
      <w:pPr>
        <w:pStyle w:val="Heading1"/>
      </w:pPr>
      <w:r>
        <w:t xml:space="preserve">27. Manual de seguridad en la nube para gerentes</w:t>
      </w:r>
    </w:p>
    <w:p>
      <w:pPr>
        <w:pStyle w:val="FirstParagraph"/>
      </w:pPr>
      <w:r>
        <w:rPr>
          <w:i/>
          <w:iCs/>
        </w:rPr>
        <w:t xml:space="preserve">Los administradores mantienen la velocidad de la nube alineada con la propiedad, los obstáculos, la evidencia, la resiliencia y las decisiones de riesgo.</w:t>
      </w:r>
    </w:p>
    <w:p>
      <w:pPr>
        <w:pStyle w:val="BodyText"/>
      </w:pPr>
      <w:r>
        <w:rPr>
          <w:b/>
          <w:bCs/>
        </w:rPr>
        <w:t xml:space="preserve">Area</w:t>
      </w:r>
      <w:r>
        <w:t xml:space="preserve"> </w:t>
      </w:r>
      <w:r>
        <w:t xml:space="preserve">|</w:t>
      </w:r>
      <w:r>
        <w:t xml:space="preserve"> </w:t>
      </w:r>
      <w:r>
        <w:rPr>
          <w:b/>
          <w:bCs/>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98"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pStyle w:val="Compact"/>
        <w:numPr>
          <w:ilvl w:val="0"/>
          <w:numId w:val="1036"/>
        </w:numPr>
      </w:pPr>
      <w:r>
        <w:t xml:space="preserve">Guía de la carrera de analista junior</w:t>
      </w:r>
    </w:p>
    <w:p>
      <w:pPr>
        <w:pStyle w:val="FirstParagraph"/>
      </w:pPr>
      <w:r>
        <w:rPr>
          <w:i/>
          <w:iCs/>
        </w:rPr>
        <w:t xml:space="preserve">Los analistas de seguridad de la nube Junior crean valor a través de inventarios precisos, revisión de posturas, evidencia, remediación y comunicación.</w:t>
      </w:r>
    </w:p>
    <w:p>
      <w:pPr>
        <w:pStyle w:val="BodyText"/>
      </w:pPr>
      <w:r>
        <w:t xml:space="preserve">“Estilo medio/image10.png”</w:t>
      </w:r>
      <w:r>
        <w:t xml:space="preserve">=</w:t>
      </w:r>
      <w:r>
        <w:t xml:space="preserve">“Ancho:6.15in; Altura:3.39605in”</w:t>
      </w:r>
      <w:r>
        <w:t xml:space="preserve"> </w:t>
      </w:r>
      <w:r>
        <w:t xml:space="preserve">alt=</w:t>
      </w:r>
      <w:r>
        <w:t xml:space="preserve">“Los laboratorios de seguridad y la evidencia trazable convierten los conceptos de la nube en prueba de cartera”</w:t>
      </w:r>
      <w:r>
        <w:t xml:space="preserve">.</w:t>
      </w:r>
    </w:p>
    <w:p>
      <w:pPr>
        <w:pStyle w:val="BodyText"/>
      </w:pPr>
      <w:r>
        <w:t xml:space="preserve">Gráfico 10 Camino analista de seguridad de la nube junior</w:t>
      </w:r>
    </w:p>
    <w:bookmarkEnd w:id="98"/>
    <w:bookmarkStart w:id="99"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99"/>
    <w:bookmarkStart w:id="100"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00"/>
    <w:bookmarkEnd w:id="101"/>
    <w:bookmarkStart w:id="114" w:name="X63f7ead03adb023a9ee2fdd52a700da050674b2"/>
    <w:p>
      <w:pPr>
        <w:pStyle w:val="Heading1"/>
      </w:pPr>
      <w:r>
        <w:t xml:space="preserve">29. Laboratorio Ficcional, Plan de Treinta Días y Preparación de Entrevistas</w:t>
      </w:r>
    </w:p>
    <w:p>
      <w:pPr>
        <w:pStyle w:val="FirstParagraph"/>
      </w:pPr>
      <w:r>
        <w:rPr>
          <w:i/>
          <w:iCs/>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02"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02"/>
    <w:bookmarkStart w:id="103" w:name="plan-de-30-días"/>
    <w:p>
      <w:pPr>
        <w:pStyle w:val="Heading2"/>
      </w:pPr>
      <w:r>
        <w:t xml:space="preserve">29.2 Plan de 30 días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TEN 1–3</w:t>
            </w:r>
          </w:p>
        </w:tc>
      </w:tr>
      <w:tr>
        <w:tc>
          <w:tcPr/>
          <w:p>
            <w:pPr>
              <w:pStyle w:val="Compact"/>
            </w:pPr>
            <w:r>
              <w:t xml:space="preserve">4–6</w:t>
            </w:r>
          </w:p>
        </w:tc>
      </w:tr>
      <w:tr>
        <w:tc>
          <w:tcPr/>
          <w:p>
            <w:pPr>
              <w:pStyle w:val="Compact"/>
            </w:pPr>
            <w:r>
              <w:t xml:space="preserve">7–9 Silencioso Identidad, red, datos, cripto tención Cuatro documentos de trabajo de control</w:t>
            </w:r>
          </w:p>
        </w:tc>
      </w:tr>
      <w:tr>
        <w:tc>
          <w:tcPr/>
          <w:p>
            <w:pPr>
              <w:pStyle w:val="Compact"/>
            </w:pPr>
            <w:r>
              <w:t xml:space="preserve">TEN 10–12 ANTERIENTE ATENCIÓN, postura, vulnerabilidad</w:t>
            </w:r>
          </w:p>
        </w:tc>
      </w:tr>
      <w:tr>
        <w:tc>
          <w:tcPr/>
          <w:p>
            <w:pPr>
              <w:pStyle w:val="Compact"/>
            </w:pPr>
            <w:r>
              <w:t xml:space="preserve">13–15</w:t>
            </w:r>
          </w:p>
        </w:tc>
      </w:tr>
      <w:tr>
        <w:tc>
          <w:tcPr/>
          <w:p>
            <w:pPr>
              <w:pStyle w:val="Compact"/>
            </w:pPr>
            <w:r>
              <w:t xml:space="preserve">TEN 16–18</w:t>
            </w:r>
          </w:p>
        </w:tc>
      </w:tr>
      <w:tr>
        <w:tc>
          <w:tcPr/>
          <w:p>
            <w:pPr>
              <w:pStyle w:val="Compact"/>
            </w:pPr>
            <w:r>
              <w:t xml:space="preserve">TEN 19–21</w:t>
            </w:r>
          </w:p>
        </w:tc>
      </w:tr>
      <w:tr>
        <w:tc>
          <w:tcPr/>
          <w:p>
            <w:pPr>
              <w:pStyle w:val="Compact"/>
            </w:pPr>
            <w:r>
              <w:t xml:space="preserve">y respuesta a incidentes</w:t>
            </w:r>
          </w:p>
        </w:tc>
      </w:tr>
      <w:tr>
        <w:tc>
          <w:tcPr/>
          <w:p>
            <w:pPr>
              <w:pStyle w:val="Compact"/>
            </w:pPr>
            <w:r>
              <w:t xml:space="preserve">TEN 25–27</w:t>
            </w:r>
          </w:p>
        </w:tc>
      </w:tr>
      <w:tr>
        <w:tc>
          <w:tcPr/>
          <w:p>
            <w:pPr>
              <w:pStyle w:val="Compact"/>
            </w:pPr>
            <w:r>
              <w:t xml:space="preserve">28–30</w:t>
            </w:r>
          </w:p>
        </w:tc>
      </w:tr>
    </w:tbl>
    <w:bookmarkEnd w:id="103"/>
    <w:bookmarkStart w:id="104"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04"/>
    <w:bookmarkStart w:id="105"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05"/>
    <w:bookmarkStart w:id="106"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06"/>
    <w:bookmarkStart w:id="107"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07"/>
    <w:bookmarkStart w:id="108"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08"/>
    <w:bookmarkStart w:id="109"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09"/>
    <w:bookmarkStart w:id="110"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10"/>
    <w:bookmarkStart w:id="111"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11"/>
    <w:bookmarkStart w:id="112"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12"/>
    <w:bookmarkStart w:id="113"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13"/>
    <w:bookmarkEnd w:id="114"/>
    <w:bookmarkStart w:id="128" w:name="plantillas-glosario-índice-y-referencias"/>
    <w:p>
      <w:pPr>
        <w:pStyle w:val="Heading1"/>
      </w:pPr>
      <w:r>
        <w:t xml:space="preserve">30. Plantillas, Glosario, Índice y Referencias</w:t>
      </w:r>
    </w:p>
    <w:p>
      <w:pPr>
        <w:pStyle w:val="Compact"/>
        <w:numPr>
          <w:ilvl w:val="0"/>
          <w:numId w:val="1040"/>
        </w:numPr>
      </w:pPr>
      <w:r>
        <w:t xml:space="preserve">Estructuras de trabajo reutilizables, términos clave, índice de sujeto y puntos de partida autorizados*.</w:t>
      </w:r>
    </w:p>
    <w:bookmarkStart w:id="115"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“Pripose”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“La responsabilidad de los proveedores en la vida”</w:t>
      </w:r>
      <w:r>
        <w:t xml:space="preserve"> </w:t>
      </w:r>
      <w:r>
        <w:t xml:space="preserve">“La responsabilidad de los clientes en la vida”</w:t>
      </w:r>
      <w:r>
        <w:t xml:space="preserve"> </w:t>
      </w:r>
      <w:r>
        <w:t xml:space="preserve">Evidencia / evaluación de los resultados de la investigación</w:t>
      </w:r>
      <w:r>
        <w:t xml:space="preserve"> </w:t>
      </w:r>
      <w:r>
        <w:t xml:space="preserve">La recuperación de la vida / el incidente / la salida de la vida                             </w:t>
      </w:r>
    </w:p>
    <w:bookmarkEnd w:id="115"/>
    <w:bookmarkStart w:id="116"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“La vida escoge / la responsabilidad”</w:t>
      </w:r>
      <w:r>
        <w:t xml:space="preserve"> </w:t>
      </w:r>
      <w:r>
        <w:t xml:space="preserve">La arquitectura de la vida y la aplicación han sido incomprensibles.</w:t>
      </w:r>
      <w:r>
        <w:t xml:space="preserve"> </w:t>
      </w:r>
      <w:r>
        <w:t xml:space="preserve">IaC / policy / settings ⋅                          </w:t>
      </w:r>
      <w:r>
        <w:br/>
      </w:r>
      <w:r>
        <w:t xml:space="preserve">“Proceso permanente / propietario / frecuencia”</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“Actuación permanente / propietario / fecha de vencimiento”</w:t>
      </w:r>
      <w:r>
        <w:t xml:space="preserve"> </w:t>
      </w:r>
      <w:r>
        <w:t xml:space="preserve">Retest/Cierre de la vida</w:t>
      </w:r>
    </w:p>
    <w:bookmarkEnd w:id="116"/>
    <w:bookmarkStart w:id="117"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“Proveedor/servicio/entidad en la vida”</w:t>
      </w:r>
      <w:r>
        <w:t xml:space="preserve"> </w:t>
      </w:r>
      <w:r>
        <w:t xml:space="preserve">| Artifact/issuer/period |                            </w:t>
      </w:r>
      <w:r>
        <w:br/>
      </w:r>
      <w:r>
        <w:t xml:space="preserve">“Escopo/regiones/criterios”</w:t>
      </w:r>
      <w:r>
        <w:t xml:space="preserve"> </w:t>
      </w:r>
      <w:r>
        <w:t xml:space="preserve">“Opinión/certificate status |                           </w:t>
      </w:r>
      <w:r>
        <w:br/>
      </w:r>
      <w:r>
        <w:t xml:space="preserve">Tests/excepciones/finamientos de la vida</w:t>
      </w:r>
      <w:r>
        <w:t xml:space="preserve"> </w:t>
      </w:r>
      <w:r>
        <w:t xml:space="preserve">TENIDOS DE LAS CUESTIONES DEL cliente |                                                                                                                          ”</w:t>
      </w:r>
      <w:r>
        <w:t xml:space="preserve">Las organizaciones de subservicio en la vida”</w:t>
      </w:r>
      <w:r>
        <w:t xml:space="preserve"> </w:t>
      </w:r>
      <w:r>
        <w:t xml:space="preserve">Subsequent events/changes ⋅                                                                                                                            </w:t>
      </w:r>
      <w:r>
        <w:t xml:space="preserve"> </w:t>
      </w:r>
      <w:r>
        <w:t xml:space="preserve">“Aplicabilidad/salidas de evidencia”</w:t>
      </w:r>
      <w:r>
        <w:t xml:space="preserve"> </w:t>
      </w:r>
      <w:r>
        <w:t xml:space="preserve">“Actuación/decisión de riesgo”</w:t>
      </w:r>
    </w:p>
    <w:bookmarkEnd w:id="117"/>
    <w:bookmarkStart w:id="118"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“Principio/comandante/severidad”</w:t>
      </w:r>
      <w:r>
        <w:t xml:space="preserve"> </w:t>
      </w:r>
      <w:r>
        <w:t xml:space="preserve">Tenant/accounts/resources continuously                                                                                                                           </w:t>
      </w:r>
      <w:r>
        <w:t xml:space="preserve"> </w:t>
      </w:r>
      <w:r>
        <w:t xml:space="preserve">Identidad/tokens / keys |                                                                                                                           </w:t>
      </w:r>
      <w:r>
        <w:br/>
      </w:r>
      <w:r>
        <w:t xml:space="preserve">“Datos/regiones/providentes”</w:t>
      </w:r>
      <w:r>
        <w:t xml:space="preserve"> </w:t>
      </w:r>
      <w:r>
        <w:t xml:space="preserve">sobre la vida                       </w:t>
      </w:r>
      <w:r>
        <w:br/>
      </w:r>
      <w:r>
        <w:t xml:space="preserve">TENIENDO Timeline/logs/preservation |                                                                                                                          </w:t>
      </w:r>
      <w:r>
        <w:t xml:space="preserve"> </w:t>
      </w:r>
      <w:r>
        <w:t xml:space="preserve">“Contenimiento/aprobaciones infligidas”</w:t>
      </w:r>
      <w:r>
        <w:t xml:space="preserve"> </w:t>
      </w:r>
      <w:r>
        <w:t xml:space="preserve">Erradicación de la vida / fuente de confianza</w:t>
      </w:r>
      <w:r>
        <w:t xml:space="preserve"> </w:t>
      </w:r>
      <w:r>
        <w:t xml:space="preserve">Restore / RTO / RPO |                          </w:t>
      </w:r>
      <w:r>
        <w:br/>
      </w:r>
      <w:r>
        <w:t xml:space="preserve">“Vidación/acceptancia de la vida”</w:t>
      </w:r>
      <w:r>
        <w:t xml:space="preserve"> </w:t>
      </w:r>
      <w:r>
        <w:t xml:space="preserve">Lecciones/acción/retestigos sobre la vida</w:t>
      </w:r>
    </w:p>
    <w:bookmarkEnd w:id="118"/>
    <w:bookmarkStart w:id="119"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19"/>
    <w:bookmarkStart w:id="120"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20"/>
    <w:bookmarkStart w:id="127" w:name="referencias-oficiales"/>
    <w:p>
      <w:pPr>
        <w:pStyle w:val="Heading2"/>
      </w:pPr>
      <w:r>
        <w:t xml:space="preserve">30.7 Referencias oficiales</w:t>
      </w:r>
    </w:p>
    <w:p>
      <w:pPr>
        <w:numPr>
          <w:ilvl w:val="0"/>
          <w:numId w:val="1041"/>
        </w:numPr>
      </w:pPr>
      <w:hyperlink r:id="rId121">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22">
        <w:r>
          <w:rPr>
            <w:rStyle w:val="Hyperlink"/>
          </w:rPr>
          <w:t xml:space="preserve">Tecnologia de nube</w:t>
        </w:r>
      </w:hyperlink>
    </w:p>
    <w:p>
      <w:pPr>
        <w:numPr>
          <w:ilvl w:val="0"/>
          <w:numId w:val="1041"/>
        </w:numPr>
      </w:pPr>
      <w:hyperlink r:id="rId123">
        <w:r>
          <w:rPr>
            <w:rStyle w:val="Hyperlink"/>
          </w:rPr>
          <w:t xml:space="preserve">Seguridad y privacidad de la nube pública</w:t>
        </w:r>
      </w:hyperlink>
    </w:p>
    <w:p>
      <w:pPr>
        <w:numPr>
          <w:ilvl w:val="0"/>
          <w:numId w:val="1041"/>
        </w:numPr>
      </w:pPr>
      <w:hyperlink r:id="rId124">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25">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26">
        <w:r>
          <w:rPr>
            <w:rStyle w:val="Hyperlink"/>
          </w:rPr>
          <w:t xml:space="preserve">Seguridad de aplicaciones nativas en la nube de XOWASP Top 10 seleccionado/u fiel</w:t>
        </w:r>
      </w:hyperlink>
    </w:p>
    <w:p>
      <w:pPr>
        <w:pStyle w:val="FirstParagraph"/>
      </w:pPr>
      <w:r>
        <w:rPr>
          <w:b/>
          <w:bCs/>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https://cloudcustodian.io/" TargetMode="External" /><Relationship Type="http://schemas.openxmlformats.org/officeDocument/2006/relationships/hyperlink" Id="rId121" Target="https://cloudsecurityalliance.org/artifacts/cloud-controls-matrix-v4-1" TargetMode="External" /><Relationship Type="http://schemas.openxmlformats.org/officeDocument/2006/relationships/hyperlink" Id="rId123" Target="https://csrc.nist.gov/pubs/sp/800/144/final" TargetMode="External" /><Relationship Type="http://schemas.openxmlformats.org/officeDocument/2006/relationships/hyperlink" Id="rId122" Target="https://csrc.nist.gov/pubs/sp/800/145/final" TargetMode="External" /><Relationship Type="http://schemas.openxmlformats.org/officeDocument/2006/relationships/hyperlink" Id="rId124" Target="https://csrc.nist.gov/pubs/sp/800/146/final" TargetMode="External" /><Relationship Type="http://schemas.openxmlformats.org/officeDocument/2006/relationships/hyperlink" Id="rId89" Target="https://github.com/gitleaks/gitleaks" TargetMode="External" /><Relationship Type="http://schemas.openxmlformats.org/officeDocument/2006/relationships/hyperlink" Id="rId67" Target="https://github.com/nccgroup/ScoutSuite" TargetMode="External" /><Relationship Type="http://schemas.openxmlformats.org/officeDocument/2006/relationships/hyperlink" Id="rId65" Target="https://github.com/prowler-cloud/prowler" TargetMode="External" /><Relationship Type="http://schemas.openxmlformats.org/officeDocument/2006/relationships/hyperlink" Id="rId91" Target="https://github.com/trufflesecurity/trufflehog" TargetMode="External" /><Relationship Type="http://schemas.openxmlformats.org/officeDocument/2006/relationships/hyperlink" Id="rId84" Target="https://kyverno.io/" TargetMode="External" /><Relationship Type="http://schemas.openxmlformats.org/officeDocument/2006/relationships/hyperlink" Id="rId80" Target="https://opentofu.org/" TargetMode="External" /><Relationship Type="http://schemas.openxmlformats.org/officeDocument/2006/relationships/hyperlink" Id="rId126" Target="https://owasp.org/www-project-cloud-native-application-security-top-10/" TargetMode="External" /><Relationship Type="http://schemas.openxmlformats.org/officeDocument/2006/relationships/hyperlink" Id="rId78" Target="https://runterrascan.io/" TargetMode="External" /><Relationship Type="http://schemas.openxmlformats.org/officeDocument/2006/relationships/hyperlink" Id="rId69" Target="https://steampipe.io/" TargetMode="External" /><Relationship Type="http://schemas.openxmlformats.org/officeDocument/2006/relationships/hyperlink" Id="rId75" Target="https://trivy.dev/" TargetMode="External" /><Relationship Type="http://schemas.openxmlformats.org/officeDocument/2006/relationships/hyperlink" Id="rId93" Target="https://wazuh.com/" TargetMode="External" /><Relationship Type="http://schemas.openxmlformats.org/officeDocument/2006/relationships/hyperlink" Id="rId73" Target="https://www.checkov.io/" TargetMode="External" /><Relationship Type="http://schemas.openxmlformats.org/officeDocument/2006/relationships/hyperlink" Id="rId125" Target="https://www.cisecurity.org/cis-benchmarks" TargetMode="External" /><Relationship Type="http://schemas.openxmlformats.org/officeDocument/2006/relationships/hyperlink" Id="rId95" Target="https://www.defectdojo.org/" TargetMode="External" /><Relationship Type="http://schemas.openxmlformats.org/officeDocument/2006/relationships/hyperlink" Id="rId82"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71" Target="https://cloudcustodian.io/" TargetMode="External" /><Relationship Type="http://schemas.openxmlformats.org/officeDocument/2006/relationships/hyperlink" Id="rId121" Target="https://cloudsecurityalliance.org/artifacts/cloud-controls-matrix-v4-1" TargetMode="External" /><Relationship Type="http://schemas.openxmlformats.org/officeDocument/2006/relationships/hyperlink" Id="rId123" Target="https://csrc.nist.gov/pubs/sp/800/144/final" TargetMode="External" /><Relationship Type="http://schemas.openxmlformats.org/officeDocument/2006/relationships/hyperlink" Id="rId122" Target="https://csrc.nist.gov/pubs/sp/800/145/final" TargetMode="External" /><Relationship Type="http://schemas.openxmlformats.org/officeDocument/2006/relationships/hyperlink" Id="rId124" Target="https://csrc.nist.gov/pubs/sp/800/146/final" TargetMode="External" /><Relationship Type="http://schemas.openxmlformats.org/officeDocument/2006/relationships/hyperlink" Id="rId89" Target="https://github.com/gitleaks/gitleaks" TargetMode="External" /><Relationship Type="http://schemas.openxmlformats.org/officeDocument/2006/relationships/hyperlink" Id="rId67" Target="https://github.com/nccgroup/ScoutSuite" TargetMode="External" /><Relationship Type="http://schemas.openxmlformats.org/officeDocument/2006/relationships/hyperlink" Id="rId65" Target="https://github.com/prowler-cloud/prowler" TargetMode="External" /><Relationship Type="http://schemas.openxmlformats.org/officeDocument/2006/relationships/hyperlink" Id="rId91" Target="https://github.com/trufflesecurity/trufflehog" TargetMode="External" /><Relationship Type="http://schemas.openxmlformats.org/officeDocument/2006/relationships/hyperlink" Id="rId84" Target="https://kyverno.io/" TargetMode="External" /><Relationship Type="http://schemas.openxmlformats.org/officeDocument/2006/relationships/hyperlink" Id="rId80" Target="https://opentofu.org/" TargetMode="External" /><Relationship Type="http://schemas.openxmlformats.org/officeDocument/2006/relationships/hyperlink" Id="rId126" Target="https://owasp.org/www-project-cloud-native-application-security-top-10/" TargetMode="External" /><Relationship Type="http://schemas.openxmlformats.org/officeDocument/2006/relationships/hyperlink" Id="rId78" Target="https://runterrascan.io/" TargetMode="External" /><Relationship Type="http://schemas.openxmlformats.org/officeDocument/2006/relationships/hyperlink" Id="rId69" Target="https://steampipe.io/" TargetMode="External" /><Relationship Type="http://schemas.openxmlformats.org/officeDocument/2006/relationships/hyperlink" Id="rId75" Target="https://trivy.dev/" TargetMode="External" /><Relationship Type="http://schemas.openxmlformats.org/officeDocument/2006/relationships/hyperlink" Id="rId93" Target="https://wazuh.com/" TargetMode="External" /><Relationship Type="http://schemas.openxmlformats.org/officeDocument/2006/relationships/hyperlink" Id="rId73" Target="https://www.checkov.io/" TargetMode="External" /><Relationship Type="http://schemas.openxmlformats.org/officeDocument/2006/relationships/hyperlink" Id="rId125" Target="https://www.cisecurity.org/cis-benchmarks" TargetMode="External" /><Relationship Type="http://schemas.openxmlformats.org/officeDocument/2006/relationships/hyperlink" Id="rId95" Target="https://www.defectdojo.org/" TargetMode="External" /><Relationship Type="http://schemas.openxmlformats.org/officeDocument/2006/relationships/hyperlink" Id="rId82"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2026-07-28T20:35:05Z</dcterms:created>
  <dcterms:modified xsi:type="dcterms:W3CDTF">2026-07-28T20:35:05Z</dcterms:modified>
</cp:coreProperties>
</file>

<file path=docProps/custom.xml><?xml version="1.0" encoding="utf-8"?>
<Properties xmlns="http://schemas.openxmlformats.org/officeDocument/2006/custom-properties" xmlns:vt="http://schemas.openxmlformats.org/officeDocument/2006/docPropsVTypes"/>
</file>