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/>
          <w:bCs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9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9"/>
    <w:bookmarkStart w:id="10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10"/>
    <w:bookmarkStart w:id="1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11"/>
    <w:bookmarkStart w:id="1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12"/>
    <w:bookmarkStart w:id="16" w:name="cloud-security-foundations"/>
    <w:p>
      <w:pPr>
        <w:pStyle w:val="Heading1"/>
      </w:pPr>
      <w:r>
        <w:t xml:space="preserve">1. Cloud Security Foundations</w:t>
      </w:r>
    </w:p>
    <w:p>
      <w:pPr>
        <w:pStyle w:val="Compact"/>
        <w:numPr>
          <w:ilvl w:val="0"/>
          <w:numId w:val="1002"/>
        </w:numPr>
      </w:pPr>
      <w:r>
        <w:t xml:space="preserve">Segurança em nuvem protege rapidamente a mudança de tecnologia, identidades, dados, aplicações e serviços compartilhados.*</w:t>
      </w:r>
    </w:p>
    <w:bookmarkStart w:id="13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13"/>
    <w:bookmarkStart w:id="14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14"/>
    <w:bookmarkStart w:id="15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/>
          <w:bCs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15"/>
    <w:bookmarkEnd w:id="16"/>
    <w:bookmarkStart w:id="19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/>
          <w:iCs/>
        </w:rPr>
        <w:t xml:space="preserve">O provedor e o cliente dividem a responsabilidade de forma diferente em IaaS, PaaS e SaaS.</w:t>
      </w:r>
    </w:p>
    <w:p>
      <w:pPr>
        <w:pStyle w:val="BodyText"/>
      </w:pPr>
    </w:p>
    <w:p>
      <w:pPr>
        <w:pStyle w:val="BodyText"/>
      </w:pPr>
      <w:r>
        <w:t xml:space="preserve">Figura 1. Modelo de responsabilidade compartilhada</w:t>
      </w:r>
    </w:p>
    <w:p>
      <w:pPr>
        <w:pStyle w:val="Heading2"/>
        <w:numPr>
          <w:ilvl w:val="0"/>
          <w:numId w:val="1004"/>
        </w:numPr>
      </w:pPr>
      <w:bookmarkStart w:id="17" w:name="Xbcdca79dd714212368afc6070b52e92ee052d34"/>
      <w:r>
        <w:rPr>
          <w:b/>
          <w:bCs/>
        </w:rPr>
        <w:t xml:space="preserve">Modelo</w:t>
      </w:r>
      <w:r>
        <w:t xml:space="preserve"> </w:t>
      </w:r>
      <w:r>
        <w:rPr>
          <w:b/>
          <w:bCs/>
        </w:rPr>
        <w:t xml:space="preserve">O Provider opera geralmente</w:t>
      </w:r>
      <w:r>
        <w:t xml:space="preserve"> </w:t>
      </w:r>
      <w:r>
        <w:rPr>
          <w:b/>
          <w:bCs/>
        </w:rPr>
        <w:t xml:space="preserve">O Cliente opera geralmente</w:t>
      </w:r>
      <w:bookmarkEnd w:id="17"/>
    </w:p>
    <w:p>
      <w:pPr>
        <w:pStyle w:val="Compact"/>
        <w:numPr>
          <w:ilvl w:val="0"/>
          <w:numId w:val="1000"/>
        </w:numPr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18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18"/>
    <w:bookmarkEnd w:id="19"/>
    <w:bookmarkStart w:id="22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pStyle w:val="Compact"/>
        <w:numPr>
          <w:ilvl w:val="0"/>
          <w:numId w:val="1006"/>
        </w:numPr>
      </w:pPr>
      <w:r>
        <w:t xml:space="preserve">Conjuntos de governo permitidos uso de nuvem, propriedade, arquitetura, guardrails, risco e escalada.*</w:t>
      </w:r>
    </w:p>
    <w:bookmarkStart w:id="20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20"/>
    <w:bookmarkStart w:id="2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21"/>
    <w:bookmarkEnd w:id="22"/>
    <w:bookmarkStart w:id="24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/>
          <w:iCs/>
        </w:rPr>
        <w:t xml:space="preserve">Recursos de nuvem desconhecidos não podem ser governados, protegidos, monitorados ou aposentados.</w:t>
      </w:r>
    </w:p>
    <w:bookmarkStart w:id="23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23"/>
    <w:bookmarkEnd w:id="24"/>
    <w:bookmarkStart w:id="25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/>
          <w:iCs/>
        </w:rPr>
        <w:t xml:space="preserve">Zonas de terra fornecem bases seguras reutilizáveis antes das cargas de trabalho chegarem.</w:t>
      </w:r>
    </w:p>
    <w:p>
      <w:pPr>
        <w:pStyle w:val="BodyText"/>
      </w:pPr>
    </w:p>
    <w:p>
      <w:pPr>
        <w:pStyle w:val="BodyText"/>
      </w:pPr>
      <w:r>
        <w:t xml:space="preserve">Figura 2. Fundação da zona de aterragem</w:t>
      </w:r>
    </w:p>
    <w:bookmarkEnd w:id="25"/>
    <w:bookmarkStart w:id="2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pStyle w:val="Compact"/>
        <w:numPr>
          <w:ilvl w:val="0"/>
          <w:numId w:val="1011"/>
        </w:numPr>
      </w:pPr>
      <w:r>
        <w:t xml:space="preserve">Identidade e Acesso Privilegiado</w:t>
      </w:r>
    </w:p>
    <w:p>
      <w:pPr>
        <w:pStyle w:val="Compact"/>
        <w:numPr>
          <w:ilvl w:val="0"/>
          <w:numId w:val="1012"/>
        </w:numPr>
      </w:pPr>
      <w:r>
        <w:t xml:space="preserve">Planos de controle em nuvem fazem ativos críticos de identidade, tokens, papéis e principais de serviço.*</w:t>
      </w:r>
    </w:p>
    <w:p>
      <w:pPr>
        <w:pStyle w:val="FirstParagraph"/>
      </w:pP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26"/>
    <w:bookmarkStart w:id="28" w:name="segurança-de-rede-e-conectividade"/>
    <w:p>
      <w:pPr>
        <w:pStyle w:val="Heading1"/>
      </w:pPr>
      <w:r>
        <w:t xml:space="preserve">7. Segurança de Rede e Conectividade</w:t>
      </w:r>
    </w:p>
    <w:p>
      <w:pPr>
        <w:pStyle w:val="Compact"/>
        <w:numPr>
          <w:ilvl w:val="0"/>
          <w:numId w:val="1015"/>
        </w:numPr>
      </w:pPr>
      <w:r>
        <w:t xml:space="preserve">Redes de nuvem combinam construções de provedor, exposição à internet, conectividade privada e controles de camada de aplicação.*</w:t>
      </w:r>
    </w:p>
    <w:bookmarkStart w:id="2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27"/>
    <w:bookmarkEnd w:id="28"/>
    <w:bookmarkStart w:id="30" w:name="segurança-de-dados-e-privacidade"/>
    <w:p>
      <w:pPr>
        <w:pStyle w:val="Heading1"/>
      </w:pPr>
      <w:r>
        <w:t xml:space="preserve">8. Segurança de Dados e Privacidade</w:t>
      </w:r>
    </w:p>
    <w:p>
      <w:pPr>
        <w:pStyle w:val="Compact"/>
        <w:numPr>
          <w:ilvl w:val="0"/>
          <w:numId w:val="1017"/>
        </w:numPr>
      </w:pPr>
      <w:r>
        <w:t xml:space="preserve">A segurança dos dados em nuvem começa com finalidade, localização, classificação e minimização.*</w:t>
      </w:r>
    </w:p>
    <w:p>
      <w:pPr>
        <w:pStyle w:val="FirstParagraph"/>
      </w:pP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29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29"/>
    <w:bookmarkEnd w:id="30"/>
    <w:bookmarkStart w:id="32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pStyle w:val="Compact"/>
        <w:numPr>
          <w:ilvl w:val="0"/>
          <w:numId w:val="1019"/>
        </w:numPr>
      </w:pPr>
      <w:r>
        <w:t xml:space="preserve">A criptografia falha quando chaves, segredos, certificados, algoritmos e permissões são mal gerenciados.*</w:t>
      </w:r>
    </w:p>
    <w:bookmarkStart w:id="31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31"/>
    <w:bookmarkEnd w:id="32"/>
    <w:bookmarkStart w:id="35" w:name="registro-monitoramento-e-detecção"/>
    <w:p>
      <w:pPr>
        <w:pStyle w:val="Heading1"/>
      </w:pPr>
      <w:r>
        <w:t xml:space="preserve">10. Registro, Monitoramento e Detecção</w:t>
      </w:r>
    </w:p>
    <w:p>
      <w:pPr>
        <w:pStyle w:val="Compact"/>
        <w:numPr>
          <w:ilvl w:val="0"/>
          <w:numId w:val="1022"/>
        </w:numPr>
      </w:pPr>
      <w:r>
        <w:t xml:space="preserve">Evidências em nuvem são úteis quando os eventos de controle-plano, plano de dados, carga de trabalho, identidade e aplicação são ativados e revisados.*</w:t>
      </w:r>
    </w:p>
    <w:bookmarkStart w:id="33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33"/>
    <w:bookmarkStart w:id="34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34"/>
    <w:bookmarkEnd w:id="35"/>
    <w:bookmarkStart w:id="36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/>
          <w:iCs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36"/>
    <w:bookmarkStart w:id="38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/>
          <w:iCs/>
        </w:rPr>
        <w:t xml:space="preserve">Cada serviço gerenciado remove algum trabalho operacional, mas cria responsabilidades de configuração e integração.</w:t>
      </w:r>
    </w:p>
    <w:p>
      <w:pPr>
        <w:pStyle w:val="Heading2"/>
        <w:numPr>
          <w:ilvl w:val="0"/>
          <w:numId w:val="1026"/>
        </w:numPr>
      </w:pPr>
      <w:bookmarkStart w:id="37" w:name="resource-foco-de-segurança-evidência"/>
      <w:r>
        <w:t xml:space="preserve">Resource** ** Foco de segurança** ** Evidência**</w:t>
      </w:r>
      <w:bookmarkEnd w:id="37"/>
    </w:p>
    <w:p>
      <w:pPr>
        <w:pStyle w:val="Compact"/>
        <w:numPr>
          <w:ilvl w:val="0"/>
          <w:numId w:val="1000"/>
        </w:numPr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pStyle w:val="Compact"/>
        <w:numPr>
          <w:ilvl w:val="0"/>
          <w:numId w:val="1026"/>
        </w:numPr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38"/>
    <w:bookmarkStart w:id="39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pStyle w:val="Compact"/>
        <w:numPr>
          <w:ilvl w:val="0"/>
          <w:numId w:val="1027"/>
        </w:numPr>
      </w:pPr>
      <w:r>
        <w:t xml:space="preserve">Aplicações em nuvem herdam risco de design, código, dependências, pipelines, identidades, APIs e serviços gerenciados.*</w:t>
      </w:r>
    </w:p>
    <w:p>
      <w:pPr>
        <w:pStyle w:val="FirstParagraph"/>
      </w:pPr>
    </w:p>
    <w:p>
      <w:pPr>
        <w:pStyle w:val="BodyText"/>
      </w:pPr>
      <w:r>
        <w:t xml:space="preserve">Figura 5. Fluxo de DevSecOps em nuvem</w:t>
      </w:r>
    </w:p>
    <w:bookmarkEnd w:id="39"/>
    <w:bookmarkStart w:id="40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40"/>
    <w:bookmarkStart w:id="41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pStyle w:val="Compact"/>
        <w:numPr>
          <w:ilvl w:val="0"/>
          <w:numId w:val="1029"/>
        </w:numPr>
      </w:pPr>
      <w:r>
        <w:t xml:space="preserve">Infraestrutura e política como código tornam as decisões na nuvem repetiveis, revetíveis, testáveis e escaláveis.*</w:t>
      </w:r>
    </w:p>
    <w:bookmarkEnd w:id="41"/>
    <w:bookmarkStart w:id="44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42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pStyle w:val="Compact"/>
        <w:numPr>
          <w:ilvl w:val="0"/>
          <w:numId w:val="1032"/>
        </w:numPr>
      </w:pPr>
      <w:r>
        <w:t xml:space="preserve">Containers e Kubernetes</w:t>
      </w:r>
    </w:p>
    <w:p>
      <w:pPr>
        <w:pStyle w:val="Compact"/>
        <w:numPr>
          <w:ilvl w:val="0"/>
          <w:numId w:val="1033"/>
        </w:numPr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FirstParagraph"/>
      </w:pPr>
    </w:p>
    <w:p>
      <w:pPr>
        <w:pStyle w:val="BodyText"/>
      </w:pPr>
      <w:r>
        <w:t xml:space="preserve">Figura 6. Camadas de segurança Kubernetes</w:t>
      </w:r>
    </w:p>
    <w:bookmarkEnd w:id="42"/>
    <w:bookmarkStart w:id="43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43"/>
    <w:bookmarkEnd w:id="44"/>
    <w:bookmarkStart w:id="45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pStyle w:val="Compact"/>
        <w:numPr>
          <w:ilvl w:val="0"/>
          <w:numId w:val="1035"/>
        </w:numPr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45"/>
    <w:bookmarkStart w:id="47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46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46"/>
    <w:bookmarkEnd w:id="47"/>
    <w:bookmarkStart w:id="48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pStyle w:val="Compact"/>
        <w:numPr>
          <w:ilvl w:val="0"/>
          <w:numId w:val="1038"/>
        </w:numPr>
      </w:pPr>
      <w:r>
        <w:t xml:space="preserve">Segurança SaaS depende fortemente da configuração do inquilino, identidade, uso de dados, integrações, endpoints e evidência do provedor.*</w:t>
      </w:r>
    </w:p>
    <w:bookmarkEnd w:id="48"/>
    <w:bookmarkStart w:id="49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49"/>
    <w:bookmarkStart w:id="50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/>
          <w:iCs/>
        </w:rPr>
        <w:t xml:space="preserve">Projetos multinuvem e híbridos podem reduzir ou aumentar o risco dependendo da capacidade operacional real.</w:t>
      </w:r>
    </w:p>
    <w:bookmarkEnd w:id="50"/>
    <w:bookmarkStart w:id="51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51"/>
    <w:bookmarkStart w:id="52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52"/>
    <w:bookmarkStart w:id="55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pStyle w:val="Compact"/>
        <w:numPr>
          <w:ilvl w:val="0"/>
          <w:numId w:val="1042"/>
        </w:numPr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FirstParagraph"/>
      </w:pPr>
    </w:p>
    <w:p>
      <w:pPr>
        <w:pStyle w:val="BodyText"/>
      </w:pPr>
      <w:r>
        <w:t xml:space="preserve">Figura 7. Resiliência e recuperação em nuvem</w:t>
      </w:r>
    </w:p>
    <w:bookmarkStart w:id="53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pStyle w:val="Compact"/>
        <w:numPr>
          <w:ilvl w:val="0"/>
          <w:numId w:val="1044"/>
        </w:numPr>
      </w:pPr>
      <w:r>
        <w:t xml:space="preserve">Resposta de Incidente na Nuvem e Perícia</w:t>
      </w:r>
    </w:p>
    <w:p>
      <w:pPr>
        <w:pStyle w:val="FirstParagraph"/>
      </w:pPr>
      <w:r>
        <w:rPr>
          <w:i/>
          <w:iCs/>
        </w:rPr>
        <w:t xml:space="preserve">Resposta ao incidente em nuvem depende de evidências do provedor, identidade do plano de controle, automação segura e deveres compartilhados.</w:t>
      </w:r>
    </w:p>
    <w:p>
      <w:pPr>
        <w:pStyle w:val="BodyText"/>
      </w:pPr>
    </w:p>
    <w:p>
      <w:pPr>
        <w:pStyle w:val="BodyText"/>
      </w:pPr>
      <w:r>
        <w:t xml:space="preserve">Figura 8. Fluxo de trabalho incidente na nuvem</w:t>
      </w:r>
    </w:p>
    <w:bookmarkEnd w:id="53"/>
    <w:bookmarkStart w:id="54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54"/>
    <w:bookmarkEnd w:id="55"/>
    <w:bookmarkStart w:id="56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56"/>
    <w:bookmarkStart w:id="57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/>
          <w:iCs/>
        </w:rPr>
        <w:t xml:space="preserve">A privacidade e a conformidade em nuvem seguem os princípios de processamento, responsabilidade, contrato, geografia e evidência.</w:t>
      </w:r>
    </w:p>
    <w:bookmarkEnd w:id="57"/>
    <w:bookmarkStart w:id="59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58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58"/>
    <w:bookmarkEnd w:id="59"/>
    <w:bookmarkStart w:id="61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/>
          <w:iCs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60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60"/>
    <w:bookmarkEnd w:id="61"/>
    <w:bookmarkStart w:id="63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pStyle w:val="Heading2"/>
        <w:numPr>
          <w:ilvl w:val="0"/>
          <w:numId w:val="1049"/>
        </w:numPr>
      </w:pPr>
      <w:bookmarkStart w:id="62" w:name="artifacto-revisão"/>
      <w:r>
        <w:t xml:space="preserve">Artifacto** ** Revisão**</w:t>
      </w:r>
      <w:bookmarkEnd w:id="62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63"/>
    <w:bookmarkStart w:id="66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pStyle w:val="Compact"/>
        <w:numPr>
          <w:ilvl w:val="0"/>
          <w:numId w:val="1050"/>
        </w:numPr>
      </w:pPr>
      <w:r>
        <w:t xml:space="preserve">Avaliação em nuvem junta critérios exatos, populações API completas, evidências confiáveis, julgamento humano e reteste.*</w:t>
      </w:r>
    </w:p>
    <w:p>
      <w:pPr>
        <w:pStyle w:val="FirstParagraph"/>
      </w:pPr>
    </w:p>
    <w:p>
      <w:pPr>
        <w:pStyle w:val="BodyText"/>
      </w:pPr>
      <w:r>
        <w:t xml:space="preserve">Figura 9. Cadeia de teste de evidência em nuvem</w:t>
      </w:r>
    </w:p>
    <w:bookmarkStart w:id="65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pStyle w:val="Heading2"/>
        <w:numPr>
          <w:ilvl w:val="0"/>
          <w:numId w:val="1051"/>
        </w:numPr>
      </w:pPr>
      <w:bookmarkStart w:id="64" w:name="metric-exemplo"/>
      <w:r>
        <w:t xml:space="preserve">Metric**</w:t>
      </w:r>
      <w:r>
        <w:t xml:space="preserve"> </w:t>
      </w:r>
      <w:r>
        <w:rPr>
          <w:b/>
          <w:bCs/>
        </w:rPr>
        <w:t xml:space="preserve">Exemplo</w:t>
      </w:r>
      <w:bookmarkEnd w:id="64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65"/>
    <w:bookmarkEnd w:id="66"/>
    <w:bookmarkStart w:id="68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pStyle w:val="Compact"/>
        <w:numPr>
          <w:ilvl w:val="0"/>
          <w:numId w:val="1052"/>
        </w:numPr>
      </w:pPr>
      <w:r>
        <w:t xml:space="preserve">Serviços de IA em nuvem adicionam modelo, dados, agente, plugin, cadeia de provedores e risco de recursos em rápida mudança.*</w:t>
      </w:r>
    </w:p>
    <w:bookmarkStart w:id="67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67"/>
    <w:bookmarkEnd w:id="68"/>
    <w:bookmarkStart w:id="70" w:name="ferramentas-de-código-aberto"/>
    <w:p>
      <w:pPr>
        <w:pStyle w:val="Heading1"/>
      </w:pPr>
      <w:r>
        <w:t xml:space="preserve">26. Ferramentas de Código Aberto</w:t>
      </w:r>
    </w:p>
    <w:p>
      <w:pPr>
        <w:pStyle w:val="Compact"/>
        <w:numPr>
          <w:ilvl w:val="0"/>
          <w:numId w:val="1054"/>
        </w:numPr>
      </w:pPr>
      <w:r>
        <w:t xml:space="preserve">Ferramentas de código aberto suportam inventário, postura, IaC, Kubernetes, tempo de execução, segredo, e encontrar evidências.*</w:t>
      </w:r>
    </w:p>
    <w:bookmarkStart w:id="69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/>
          <w:iCs/>
        </w:rPr>
        <w:t xml:space="preserve"> </w:t>
      </w:r>
      <w:r>
        <w:rPr>
          <w:i/>
          <w:iCs/>
        </w:rPr>
        <w:t xml:space="preserve">Gitleaks - Detecção secreta na origem e na história</w:t>
      </w:r>
      <w:r>
        <w:rPr>
          <w:i/>
          <w:iCs/>
        </w:rPr>
        <w:t xml:space="preserve"> </w:t>
      </w:r>
      <w:r>
        <w:rPr>
          <w:i/>
          <w:iCs/>
        </w:rPr>
        <w:t xml:space="preserve">□ TruffleHog □ Descobrimento secreto verificado através de repositórios e armazenamento</w:t>
      </w:r>
      <w:r>
        <w:rPr>
          <w:i/>
          <w:iCs/>
        </w:rPr>
        <w:t xml:space="preserve"> </w:t>
      </w:r>
      <w:r>
        <w:rPr>
          <w:i/>
          <w:iCs/>
        </w:rPr>
        <w:t xml:space="preserve">• Wazuh – Endpoint, carga de trabalho, integridade de arquivos, registro e monitoramento de alerta</w:t>
      </w:r>
      <w:r>
        <w:rPr>
          <w:i/>
          <w:iCs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69"/>
    <w:bookmarkEnd w:id="70"/>
    <w:bookmarkStart w:id="72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71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72"/>
    <w:bookmarkStart w:id="74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73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74"/>
    <w:bookmarkStart w:id="76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75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76"/>
    <w:bookmarkStart w:id="78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77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78"/>
    <w:bookmarkStart w:id="80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79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0"/>
    <w:bookmarkStart w:id="82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8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2"/>
    <w:bookmarkStart w:id="84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83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4"/>
    <w:bookmarkStart w:id="86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85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6"/>
    <w:bookmarkStart w:id="88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87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8"/>
    <w:bookmarkStart w:id="90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89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0"/>
    <w:bookmarkStart w:id="92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91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2"/>
    <w:bookmarkStart w:id="94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93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4"/>
    <w:bookmarkStart w:id="96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95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6"/>
    <w:bookmarkStart w:id="98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97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8"/>
    <w:bookmarkStart w:id="100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99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0"/>
    <w:bookmarkStart w:id="102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01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2"/>
    <w:bookmarkStart w:id="104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0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4"/>
    <w:bookmarkStart w:id="106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05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6"/>
    <w:bookmarkStart w:id="108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/>
          <w:iCs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07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07"/>
    <w:bookmarkEnd w:id="108"/>
    <w:bookmarkStart w:id="109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Compact"/>
        <w:numPr>
          <w:ilvl w:val="0"/>
          <w:numId w:val="1056"/>
        </w:numPr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segurança de nuvem júnior</w:t>
      </w:r>
    </w:p>
    <w:bookmarkEnd w:id="109"/>
    <w:bookmarkStart w:id="110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10"/>
    <w:bookmarkStart w:id="111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11"/>
    <w:bookmarkStart w:id="113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pStyle w:val="Compact"/>
        <w:numPr>
          <w:ilvl w:val="0"/>
          <w:numId w:val="1059"/>
        </w:numPr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12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12"/>
    <w:bookmarkEnd w:id="113"/>
    <w:bookmarkStart w:id="115" w:name="plano-de-30-dias"/>
    <w:p>
      <w:pPr>
        <w:pStyle w:val="Heading1"/>
      </w:pPr>
      <w:r>
        <w:t xml:space="preserve"># 29,2 Plano de 30 dias</w:t>
      </w:r>
    </w:p>
    <w:p>
      <w:pPr>
        <w:pStyle w:val="Heading2"/>
        <w:numPr>
          <w:ilvl w:val="0"/>
          <w:numId w:val="1061"/>
        </w:numPr>
      </w:pPr>
      <w:bookmarkStart w:id="114" w:name="dias-foco-entrega"/>
      <w:r>
        <w:t xml:space="preserve">Dias** * Foco** * Entrega**</w:t>
      </w:r>
      <w:bookmarkEnd w:id="114"/>
    </w:p>
    <w:p>
      <w:pPr>
        <w:pStyle w:val="Compact"/>
        <w:numPr>
          <w:ilvl w:val="0"/>
          <w:numId w:val="1000"/>
        </w:numPr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pStyle w:val="Compact"/>
        <w:numPr>
          <w:ilvl w:val="0"/>
          <w:numId w:val="1061"/>
        </w:numPr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pStyle w:val="Compact"/>
        <w:numPr>
          <w:ilvl w:val="0"/>
          <w:numId w:val="1061"/>
        </w:numPr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pStyle w:val="Compact"/>
        <w:numPr>
          <w:ilvl w:val="0"/>
          <w:numId w:val="1061"/>
        </w:numPr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15"/>
    <w:bookmarkStart w:id="122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16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16"/>
    <w:bookmarkStart w:id="117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17"/>
    <w:bookmarkStart w:id="118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18"/>
    <w:bookmarkStart w:id="119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19"/>
    <w:bookmarkStart w:id="120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20"/>
    <w:bookmarkStart w:id="121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21"/>
    <w:bookmarkEnd w:id="122"/>
    <w:bookmarkStart w:id="123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23"/>
    <w:bookmarkStart w:id="124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24"/>
    <w:bookmarkStart w:id="125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25"/>
    <w:bookmarkStart w:id="128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pStyle w:val="Compact"/>
        <w:numPr>
          <w:ilvl w:val="0"/>
          <w:numId w:val="1062"/>
        </w:numPr>
      </w:pPr>
      <w:r>
        <w:t xml:space="preserve">Estruturas de trabalho reutilizáveis, termos-chave, índice de assunto e pontos de partida autorizados.*</w:t>
      </w:r>
    </w:p>
    <w:bookmarkStart w:id="127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pStyle w:val="Heading2"/>
        <w:numPr>
          <w:ilvl w:val="0"/>
          <w:numId w:val="1063"/>
        </w:numPr>
      </w:pPr>
      <w:bookmarkStart w:id="126" w:name="campo-entrada"/>
      <w:r>
        <w:t xml:space="preserve">Campo** * Entrada**</w:t>
      </w:r>
      <w:bookmarkEnd w:id="126"/>
    </w:p>
    <w:p>
      <w:pPr>
        <w:pStyle w:val="Compact"/>
        <w:numPr>
          <w:ilvl w:val="0"/>
          <w:numId w:val="1000"/>
        </w:numPr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pStyle w:val="Compact"/>
        <w:numPr>
          <w:ilvl w:val="0"/>
          <w:numId w:val="1063"/>
        </w:numPr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27"/>
    <w:bookmarkEnd w:id="128"/>
    <w:bookmarkStart w:id="132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pStyle w:val="Heading2"/>
        <w:numPr>
          <w:ilvl w:val="0"/>
          <w:numId w:val="1064"/>
        </w:numPr>
      </w:pPr>
      <w:bookmarkStart w:id="129" w:name="campo-entrada-1"/>
      <w:r>
        <w:t xml:space="preserve">Campo** * Entrada**</w:t>
      </w:r>
      <w:bookmarkEnd w:id="129"/>
    </w:p>
    <w:p>
      <w:pPr>
        <w:pStyle w:val="Compact"/>
        <w:numPr>
          <w:ilvl w:val="0"/>
          <w:numId w:val="1000"/>
        </w:numPr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pStyle w:val="Compact"/>
        <w:numPr>
          <w:ilvl w:val="0"/>
          <w:numId w:val="1064"/>
        </w:numPr>
      </w:pPr>
      <w:r>
        <w:t xml:space="preserve">Teste / resultado / exceções *                                                 </w:t>
      </w:r>
    </w:p>
    <w:p>
      <w:pPr>
        <w:pStyle w:val="Compact"/>
        <w:numPr>
          <w:ilvl w:val="0"/>
          <w:numId w:val="1064"/>
        </w:numPr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31" w:name="revisão-da-garantia-do-provedor"/>
    <w:p>
      <w:pPr>
        <w:pStyle w:val="Heading2"/>
      </w:pPr>
      <w:r>
        <w:t xml:space="preserve">30.3 Revisão da garantia do provedor</w:t>
      </w:r>
    </w:p>
    <w:p>
      <w:pPr>
        <w:pStyle w:val="Heading2"/>
        <w:numPr>
          <w:ilvl w:val="0"/>
          <w:numId w:val="1065"/>
        </w:numPr>
      </w:pPr>
      <w:bookmarkStart w:id="130" w:name="campo-entrada-2"/>
      <w:r>
        <w:t xml:space="preserve">Campo** * Entrada**</w:t>
      </w:r>
      <w:bookmarkEnd w:id="130"/>
    </w:p>
    <w:p>
      <w:pPr>
        <w:pStyle w:val="Compact"/>
        <w:numPr>
          <w:ilvl w:val="0"/>
          <w:numId w:val="1065"/>
        </w:numPr>
      </w:pPr>
      <w:r>
        <w:t xml:space="preserve">Prestador/serviço/entidade</w:t>
      </w:r>
    </w:p>
    <w:p>
      <w:pPr>
        <w:pStyle w:val="Compact"/>
        <w:numPr>
          <w:ilvl w:val="0"/>
          <w:numId w:val="1065"/>
        </w:numPr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pStyle w:val="Compact"/>
        <w:numPr>
          <w:ilvl w:val="0"/>
          <w:numId w:val="1065"/>
        </w:numPr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31"/>
    <w:bookmarkEnd w:id="132"/>
    <w:bookmarkStart w:id="134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pStyle w:val="Heading2"/>
        <w:numPr>
          <w:ilvl w:val="0"/>
          <w:numId w:val="1066"/>
        </w:numPr>
      </w:pPr>
      <w:bookmarkStart w:id="133" w:name="campo-entrada-3"/>
      <w:r>
        <w:t xml:space="preserve">Campo** * Entrada**</w:t>
      </w:r>
      <w:bookmarkEnd w:id="133"/>
    </w:p>
    <w:p>
      <w:pPr>
        <w:pStyle w:val="Compact"/>
        <w:numPr>
          <w:ilvl w:val="0"/>
          <w:numId w:val="1000"/>
        </w:numPr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pStyle w:val="Compact"/>
        <w:numPr>
          <w:ilvl w:val="0"/>
          <w:numId w:val="1066"/>
        </w:numPr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pStyle w:val="Compact"/>
        <w:numPr>
          <w:ilvl w:val="0"/>
          <w:numId w:val="1066"/>
        </w:numPr>
      </w:pPr>
      <w:r>
        <w:t xml:space="preserve">Erradicação / fonte de confiança</w:t>
      </w:r>
    </w:p>
    <w:p>
      <w:pPr>
        <w:pStyle w:val="Compact"/>
        <w:numPr>
          <w:ilvl w:val="0"/>
          <w:numId w:val="1066"/>
        </w:numPr>
      </w:pPr>
      <w:r>
        <w:t xml:space="preserve">Restaurar / RTO / RPO</w:t>
      </w:r>
    </w:p>
    <w:p>
      <w:pPr>
        <w:pStyle w:val="Compact"/>
        <w:numPr>
          <w:ilvl w:val="0"/>
          <w:numId w:val="1066"/>
        </w:numPr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34"/>
    <w:bookmarkStart w:id="136" w:name="glossário"/>
    <w:p>
      <w:pPr>
        <w:pStyle w:val="Heading1"/>
      </w:pPr>
      <w:r>
        <w:t xml:space="preserve"># 30.5 Glossário</w:t>
      </w:r>
    </w:p>
    <w:bookmarkStart w:id="135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35"/>
    <w:bookmarkEnd w:id="136"/>
    <w:bookmarkStart w:id="152" w:name="índice-de-assunto"/>
    <w:p>
      <w:pPr>
        <w:pStyle w:val="Heading1"/>
      </w:pPr>
      <w:r>
        <w:t xml:space="preserve"># 30.6 Índice de assunto</w:t>
      </w:r>
    </w:p>
    <w:bookmarkStart w:id="137" w:name="sujeito-capítulo"/>
    <w:p>
      <w:pPr>
        <w:pStyle w:val="Heading2"/>
      </w:pPr>
      <w:r>
        <w:rPr>
          <w:b/>
          <w:bCs/>
        </w:rPr>
        <w:t xml:space="preserve">Sujeito</w:t>
      </w:r>
      <w:r>
        <w:t xml:space="preserve"> </w:t>
      </w:r>
      <w:r>
        <w:rPr>
          <w:b/>
          <w:bCs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37"/>
    <w:bookmarkStart w:id="150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38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39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40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41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42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43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44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45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46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47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48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49">
        <w:r>
          <w:rPr>
            <w:rStyle w:val="Hyperlink"/>
          </w:rPr>
          <w:t xml:space="preserve">OWASP Cloud-Native Application Security Top 10</w:t>
        </w:r>
      </w:hyperlink>
    </w:p>
    <w:bookmarkEnd w:id="150"/>
    <w:bookmarkStart w:id="151" w:name="X7217a835e4a0583e64ece17a0ddfe9db8061a68"/>
    <w:p>
      <w:pPr>
        <w:pStyle w:val="Heading2"/>
      </w:pPr>
      <w:r>
        <w:rPr>
          <w:b/>
          <w:bCs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7" Target="https://cloudcustodian.io/" TargetMode="External" /><Relationship Type="http://schemas.openxmlformats.org/officeDocument/2006/relationships/hyperlink" Id="rId138" Target="https://cloudsecurityalliance.org/artifacts/cloud-controls-matrix-v4-1" TargetMode="External" /><Relationship Type="http://schemas.openxmlformats.org/officeDocument/2006/relationships/hyperlink" Id="rId139" Target="https://cloudsecurityalliance.org/star/resources" TargetMode="External" /><Relationship Type="http://schemas.openxmlformats.org/officeDocument/2006/relationships/hyperlink" Id="rId144" Target="https://csrc.nist.gov/projects/cloud-computing/publications" TargetMode="External" /><Relationship Type="http://schemas.openxmlformats.org/officeDocument/2006/relationships/hyperlink" Id="rId141" Target="https://csrc.nist.gov/pubs/sp/800/144/final" TargetMode="External" /><Relationship Type="http://schemas.openxmlformats.org/officeDocument/2006/relationships/hyperlink" Id="rId140" Target="https://csrc.nist.gov/pubs/sp/800/145/final" TargetMode="External" /><Relationship Type="http://schemas.openxmlformats.org/officeDocument/2006/relationships/hyperlink" Id="rId142" Target="https://csrc.nist.gov/pubs/sp/800/146/final" TargetMode="External" /><Relationship Type="http://schemas.openxmlformats.org/officeDocument/2006/relationships/hyperlink" Id="rId143" Target="https://csrc.nist.gov/pubs/sp/800/210/final" TargetMode="External" /><Relationship Type="http://schemas.openxmlformats.org/officeDocument/2006/relationships/hyperlink" Id="rId97" Target="https://falco.org/" TargetMode="External" /><Relationship Type="http://schemas.openxmlformats.org/officeDocument/2006/relationships/hyperlink" Id="rId93" Target="https://github.com/aquasecurity/kube-bench" TargetMode="External" /><Relationship Type="http://schemas.openxmlformats.org/officeDocument/2006/relationships/hyperlink" Id="rId95" Target="https://github.com/aquasecurity/kube-hunter" TargetMode="External" /><Relationship Type="http://schemas.openxmlformats.org/officeDocument/2006/relationships/hyperlink" Id="rId83" Target="https://github.com/aquasecurity/tfsec" TargetMode="External" /><Relationship Type="http://schemas.openxmlformats.org/officeDocument/2006/relationships/hyperlink" Id="rId99" Target="https://github.com/gitleaks/gitleaks" TargetMode="External" /><Relationship Type="http://schemas.openxmlformats.org/officeDocument/2006/relationships/hyperlink" Id="rId73" Target="https://github.com/nccgroup/ScoutSuite" TargetMode="External" /><Relationship Type="http://schemas.openxmlformats.org/officeDocument/2006/relationships/hyperlink" Id="rId71" Target="https://github.com/prowler-cloud/prowler" TargetMode="External" /><Relationship Type="http://schemas.openxmlformats.org/officeDocument/2006/relationships/hyperlink" Id="rId101" Target="https://github.com/trufflesecurity/trufflehog" TargetMode="External" /><Relationship Type="http://schemas.openxmlformats.org/officeDocument/2006/relationships/hyperlink" Id="rId91" Target="https://kyverno.io/" TargetMode="External" /><Relationship Type="http://schemas.openxmlformats.org/officeDocument/2006/relationships/hyperlink" Id="rId87" Target="https://opentofu.org/" TargetMode="External" /><Relationship Type="http://schemas.openxmlformats.org/officeDocument/2006/relationships/hyperlink" Id="rId149" Target="https://owasp.org/www-project-cloud-native-application-security-top-10/" TargetMode="External" /><Relationship Type="http://schemas.openxmlformats.org/officeDocument/2006/relationships/hyperlink" Id="rId85" Target="https://runterrascan.io/" TargetMode="External" /><Relationship Type="http://schemas.openxmlformats.org/officeDocument/2006/relationships/hyperlink" Id="rId75" Target="https://steampipe.io/" TargetMode="External" /><Relationship Type="http://schemas.openxmlformats.org/officeDocument/2006/relationships/hyperlink" Id="rId81" Target="https://trivy.dev/" TargetMode="External" /><Relationship Type="http://schemas.openxmlformats.org/officeDocument/2006/relationships/hyperlink" Id="rId103" Target="https://wazuh.com/" TargetMode="External" /><Relationship Type="http://schemas.openxmlformats.org/officeDocument/2006/relationships/hyperlink" Id="rId79" Target="https://www.checkov.io/" TargetMode="External" /><Relationship Type="http://schemas.openxmlformats.org/officeDocument/2006/relationships/hyperlink" Id="rId146" Target="https://www.cisa.gov/resources-tools/resources/cloud-security-technical-reference-architecture" TargetMode="External" /><Relationship Type="http://schemas.openxmlformats.org/officeDocument/2006/relationships/hyperlink" Id="rId148" Target="https://www.cisa.gov/resources-tools/resources/zero-trust-maturity-model" TargetMode="External" /><Relationship Type="http://schemas.openxmlformats.org/officeDocument/2006/relationships/hyperlink" Id="rId145" Target="https://www.cisa.gov/resources-tools/services/secure-cloud-business-applications-scuba-project" TargetMode="External" /><Relationship Type="http://schemas.openxmlformats.org/officeDocument/2006/relationships/hyperlink" Id="rId147" Target="https://www.cisecurity.org/cis-benchmarks" TargetMode="External" /><Relationship Type="http://schemas.openxmlformats.org/officeDocument/2006/relationships/hyperlink" Id="rId105" Target="https://www.defectdojo.org/" TargetMode="External" /><Relationship Type="http://schemas.openxmlformats.org/officeDocument/2006/relationships/hyperlink" Id="rId89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cloudcustodian.io/" TargetMode="External" /><Relationship Type="http://schemas.openxmlformats.org/officeDocument/2006/relationships/hyperlink" Id="rId138" Target="https://cloudsecurityalliance.org/artifacts/cloud-controls-matrix-v4-1" TargetMode="External" /><Relationship Type="http://schemas.openxmlformats.org/officeDocument/2006/relationships/hyperlink" Id="rId139" Target="https://cloudsecurityalliance.org/star/resources" TargetMode="External" /><Relationship Type="http://schemas.openxmlformats.org/officeDocument/2006/relationships/hyperlink" Id="rId144" Target="https://csrc.nist.gov/projects/cloud-computing/publications" TargetMode="External" /><Relationship Type="http://schemas.openxmlformats.org/officeDocument/2006/relationships/hyperlink" Id="rId141" Target="https://csrc.nist.gov/pubs/sp/800/144/final" TargetMode="External" /><Relationship Type="http://schemas.openxmlformats.org/officeDocument/2006/relationships/hyperlink" Id="rId140" Target="https://csrc.nist.gov/pubs/sp/800/145/final" TargetMode="External" /><Relationship Type="http://schemas.openxmlformats.org/officeDocument/2006/relationships/hyperlink" Id="rId142" Target="https://csrc.nist.gov/pubs/sp/800/146/final" TargetMode="External" /><Relationship Type="http://schemas.openxmlformats.org/officeDocument/2006/relationships/hyperlink" Id="rId143" Target="https://csrc.nist.gov/pubs/sp/800/210/final" TargetMode="External" /><Relationship Type="http://schemas.openxmlformats.org/officeDocument/2006/relationships/hyperlink" Id="rId97" Target="https://falco.org/" TargetMode="External" /><Relationship Type="http://schemas.openxmlformats.org/officeDocument/2006/relationships/hyperlink" Id="rId93" Target="https://github.com/aquasecurity/kube-bench" TargetMode="External" /><Relationship Type="http://schemas.openxmlformats.org/officeDocument/2006/relationships/hyperlink" Id="rId95" Target="https://github.com/aquasecurity/kube-hunter" TargetMode="External" /><Relationship Type="http://schemas.openxmlformats.org/officeDocument/2006/relationships/hyperlink" Id="rId83" Target="https://github.com/aquasecurity/tfsec" TargetMode="External" /><Relationship Type="http://schemas.openxmlformats.org/officeDocument/2006/relationships/hyperlink" Id="rId99" Target="https://github.com/gitleaks/gitleaks" TargetMode="External" /><Relationship Type="http://schemas.openxmlformats.org/officeDocument/2006/relationships/hyperlink" Id="rId73" Target="https://github.com/nccgroup/ScoutSuite" TargetMode="External" /><Relationship Type="http://schemas.openxmlformats.org/officeDocument/2006/relationships/hyperlink" Id="rId71" Target="https://github.com/prowler-cloud/prowler" TargetMode="External" /><Relationship Type="http://schemas.openxmlformats.org/officeDocument/2006/relationships/hyperlink" Id="rId101" Target="https://github.com/trufflesecurity/trufflehog" TargetMode="External" /><Relationship Type="http://schemas.openxmlformats.org/officeDocument/2006/relationships/hyperlink" Id="rId91" Target="https://kyverno.io/" TargetMode="External" /><Relationship Type="http://schemas.openxmlformats.org/officeDocument/2006/relationships/hyperlink" Id="rId87" Target="https://opentofu.org/" TargetMode="External" /><Relationship Type="http://schemas.openxmlformats.org/officeDocument/2006/relationships/hyperlink" Id="rId149" Target="https://owasp.org/www-project-cloud-native-application-security-top-10/" TargetMode="External" /><Relationship Type="http://schemas.openxmlformats.org/officeDocument/2006/relationships/hyperlink" Id="rId85" Target="https://runterrascan.io/" TargetMode="External" /><Relationship Type="http://schemas.openxmlformats.org/officeDocument/2006/relationships/hyperlink" Id="rId75" Target="https://steampipe.io/" TargetMode="External" /><Relationship Type="http://schemas.openxmlformats.org/officeDocument/2006/relationships/hyperlink" Id="rId81" Target="https://trivy.dev/" TargetMode="External" /><Relationship Type="http://schemas.openxmlformats.org/officeDocument/2006/relationships/hyperlink" Id="rId103" Target="https://wazuh.com/" TargetMode="External" /><Relationship Type="http://schemas.openxmlformats.org/officeDocument/2006/relationships/hyperlink" Id="rId79" Target="https://www.checkov.io/" TargetMode="External" /><Relationship Type="http://schemas.openxmlformats.org/officeDocument/2006/relationships/hyperlink" Id="rId146" Target="https://www.cisa.gov/resources-tools/resources/cloud-security-technical-reference-architecture" TargetMode="External" /><Relationship Type="http://schemas.openxmlformats.org/officeDocument/2006/relationships/hyperlink" Id="rId148" Target="https://www.cisa.gov/resources-tools/resources/zero-trust-maturity-model" TargetMode="External" /><Relationship Type="http://schemas.openxmlformats.org/officeDocument/2006/relationships/hyperlink" Id="rId145" Target="https://www.cisa.gov/resources-tools/services/secure-cloud-business-applications-scuba-project" TargetMode="External" /><Relationship Type="http://schemas.openxmlformats.org/officeDocument/2006/relationships/hyperlink" Id="rId147" Target="https://www.cisecurity.org/cis-benchmarks" TargetMode="External" /><Relationship Type="http://schemas.openxmlformats.org/officeDocument/2006/relationships/hyperlink" Id="rId105" Target="https://www.defectdojo.org/" TargetMode="External" /><Relationship Type="http://schemas.openxmlformats.org/officeDocument/2006/relationships/hyperlink" Id="rId89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2026-07-28T20:35:09Z</dcterms:created>
  <dcterms:modified xsi:type="dcterms:W3CDTF">2026-07-28T20:35:09Z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