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46 — Fundamentos Universales de Gobierno de IA</w:t>
      </w:r>
    </w:p>
    <w:p>
      <w:pPr>
        <w:spacing w:after="120"/>
      </w:pPr>
      <w:r>
        <w:t>**Estado:** DESARROLLO CONTROLADO</w:t>
      </w:r>
    </w:p>
    <w:p>
      <w:pPr>
        <w:spacing w:after="120"/>
      </w:pPr>
      <w:r>
        <w:t>**Idioma:** Español latinoamericano (`es-419`)</w:t>
      </w:r>
    </w:p>
    <w:p>
      <w:pPr>
        <w:spacing w:after="120"/>
      </w:pPr>
      <w:r>
        <w:t>**Alcance:** Base universal y consciente de las jurisdicciones para el gobierno empresarial de IA.</w:t>
      </w:r>
    </w:p>
    <w:p>
      <w:pPr>
        <w:pStyle w:val="Heading2"/>
      </w:pPr>
      <w:r>
        <w:t>Propósito</w:t>
      </w:r>
    </w:p>
    <w:p>
      <w:pPr>
        <w:spacing w:after="120"/>
      </w:pPr>
      <w:r>
        <w:t>Este manual establece una base universal para gobernar sistemas de inteligencia artificial sin depender de un empleador, una jurisdicción, un regulador, un proveedor, una familia de modelos o una arquitectura tecnológica específica. Aplica a IA predictiva, aprendizaje automático, IA generativa, modelos fundacionales, sistemas RAG, IA incorporada y sistemas agénticos.</w:t>
      </w:r>
    </w:p>
    <w:p>
      <w:pPr>
        <w:spacing w:after="120"/>
      </w:pPr>
      <w:r>
        <w:t>El objetivo no es impedir el uso de IA. El objetivo es permitir una adopción demostrablemente segura, lícita, controlada, útil y responsable.</w:t>
      </w:r>
    </w:p>
    <w:p>
      <w:pPr>
        <w:pStyle w:val="Heading2"/>
      </w:pPr>
      <w:r>
        <w:t>Columna vertebral universal de gobierno</w:t>
      </w:r>
    </w:p>
    <w:p>
      <w:pPr>
        <w:spacing w:after="120"/>
      </w:pPr>
      <w:r>
        <w:t>**Responsabilidad → Inventario → Clasificación → Evaluación de riesgos e impactos → Gobierno de datos → Seguridad → Privacidad → Supervisión humana → Transparencia → Pruebas y validación → Documentación → Aprobación → Despliegue → Monitoreo → Gestión de incidentes y cambios → Gobierno de terceros → Evidencia y auditoría → Retiro → Mejora continua**</w:t>
      </w:r>
    </w:p>
    <w:p>
      <w:pPr>
        <w:pStyle w:val="Heading2"/>
      </w:pPr>
      <w:r>
        <w:t>Principios fundamentales</w:t>
      </w:r>
    </w:p>
    <w:p>
      <w:pPr>
        <w:pStyle w:val="ListNumber"/>
      </w:pPr>
      <w:r>
        <w:t>Toda iniciativa de IA debe tener un responsable de negocio y un responsable técnico claramente identificados.</w:t>
      </w:r>
    </w:p>
    <w:p>
      <w:pPr>
        <w:pStyle w:val="ListNumber"/>
      </w:pPr>
      <w:r>
        <w:t>La intensidad del gobierno debe ser proporcional al riesgo, impacto, autonomía, criticidad, sensibilidad de los datos y exposición legal.</w:t>
      </w:r>
    </w:p>
    <w:p>
      <w:pPr>
        <w:pStyle w:val="ListNumber"/>
      </w:pPr>
      <w:r>
        <w:t>Se gobierna el sistema completo, no solamente el modelo: datos, instrucciones, RAG, herramientas, APIs, agentes, personas, proveedores e infraestructura forman parte del alcance.</w:t>
      </w:r>
    </w:p>
    <w:p>
      <w:pPr>
        <w:pStyle w:val="ListNumber"/>
      </w:pPr>
      <w:r>
        <w:t>La gobernanza comienza antes de producción mediante admisión, inventario, clasificación, evaluación y aprobación.</w:t>
      </w:r>
    </w:p>
    <w:p>
      <w:pPr>
        <w:pStyle w:val="ListNumber"/>
      </w:pPr>
      <w:r>
        <w:t>La supervisión humana debe ser significativa: competencia, información, tiempo, autoridad y capacidad real de intervenir.</w:t>
      </w:r>
    </w:p>
    <w:p>
      <w:pPr>
        <w:pStyle w:val="ListNumber"/>
      </w:pPr>
      <w:r>
        <w:t>Seguridad y privacidad son componentes nativos del gobierno de IA.</w:t>
      </w:r>
    </w:p>
    <w:p>
      <w:pPr>
        <w:pStyle w:val="ListNumber"/>
      </w:pPr>
      <w:r>
        <w:t>Las decisiones y controles deben producir evidencia verificable.</w:t>
      </w:r>
    </w:p>
    <w:p>
      <w:pPr>
        <w:pStyle w:val="ListNumber"/>
      </w:pPr>
      <w:r>
        <w:t>El uso de proveedores externos no elimina la responsabilidad de la organización adoptante.</w:t>
      </w:r>
    </w:p>
    <w:p>
      <w:pPr>
        <w:pStyle w:val="ListNumber"/>
      </w:pPr>
      <w:r>
        <w:t>El monitoreo debe detectar cambios de desempeño, riesgo, modelo, proveedor, datos, herramientas, permisos y obligaciones regulatorias.</w:t>
      </w:r>
    </w:p>
    <w:p>
      <w:pPr>
        <w:pStyle w:val="ListNumber"/>
      </w:pPr>
      <w:r>
        <w:t>El gobierno debe habilitar la innovación responsable sin imponer controles desproporcionados a usos de bajo riesgo.</w:t>
      </w:r>
    </w:p>
    <w:p>
      <w:pPr>
        <w:pStyle w:val="Heading2"/>
      </w:pPr>
      <w:r>
        <w:t>Módulo 1 — Mandato y modelo operativo</w:t>
      </w:r>
    </w:p>
    <w:p>
      <w:pPr>
        <w:spacing w:after="120"/>
      </w:pPr>
      <w:r>
        <w:t>Definir patrocinio ejecutivo, alcance, apetito de riesgo, autoridad de decisión, escalamiento y separación entre primera, segunda y tercera línea.</w:t>
      </w:r>
    </w:p>
    <w:p>
      <w:pPr>
        <w:spacing w:after="120"/>
      </w:pPr>
      <w:r>
        <w:t>**Evidencia:** estatuto de gobierno de IA, políticas, matriz de decisiones, términos de referencia del comité y vínculo con el apetito de riesgo.</w:t>
      </w:r>
    </w:p>
    <w:p>
      <w:pPr>
        <w:pStyle w:val="Heading2"/>
      </w:pPr>
      <w:r>
        <w:t>Módulo 2 — Inventario de IA</w:t>
      </w:r>
    </w:p>
    <w:p>
      <w:pPr>
        <w:spacing w:after="120"/>
      </w:pPr>
      <w:r>
        <w:t>El inventario es el sistema de registro para la gobernanza. Debe incluir identificador, propósito, propietarios, modelo/proveedor/versión, usuarios, poblaciones afectadas, datos, terceros, geografía, nivel de riesgo, autonomía, supervisión humana, validación, aprobación, monitoreo, cambios, incidentes y retiro.</w:t>
      </w:r>
    </w:p>
    <w:p>
      <w:pPr>
        <w:pStyle w:val="Heading2"/>
      </w:pPr>
      <w:r>
        <w:t>Módulo 3 — Clasificación de riesgo, impacto y autonomía</w:t>
      </w:r>
    </w:p>
    <w:p>
      <w:pPr>
        <w:spacing w:after="120"/>
      </w:pPr>
      <w:r>
        <w:t>Evaluar impacto sobre personas y derechos, salud y seguridad, criticidad empresarial, exposición financiera, sensibilidad de datos, privilegios de ciberseguridad, autonomía, reversibilidad, escala, uso externo/interno, clasificación regulatoria, concentración y necesidad de explicabilidad o impugnación.</w:t>
      </w:r>
    </w:p>
    <w:p>
      <w:pPr>
        <w:spacing w:after="120"/>
      </w:pPr>
      <w:r>
        <w:t>La clasificación determina profundidad de evaluación, revisores obligatorios, independencia de validación, autoridad de aprobación y frecuencia de monitoreo.</w:t>
      </w:r>
    </w:p>
    <w:p>
      <w:pPr>
        <w:pStyle w:val="Heading2"/>
      </w:pPr>
      <w:r>
        <w:t>Módulo 4 — Evaluación de riesgos e impactos</w:t>
      </w:r>
    </w:p>
    <w:p>
      <w:pPr>
        <w:spacing w:after="120"/>
      </w:pPr>
      <w:r>
        <w:t>Cubrir riesgos estratégicos, regulatorios, de derechos humanos, seguridad física, desempeño del modelo, calidad/procedencia de datos, privacidad, ciberseguridad, abuso, sesgo, transparencia, propiedad intelectual, terceros, resiliencia, autonomía, fraude y reputación.</w:t>
      </w:r>
    </w:p>
    <w:p>
      <w:pPr>
        <w:spacing w:after="120"/>
      </w:pPr>
      <w:r>
        <w:t>Usar la estructura:</w:t>
      </w:r>
    </w:p>
    <w:p>
      <w:pPr>
        <w:spacing w:after="120"/>
      </w:pPr>
      <w:r>
        <w:t>**Escenario → Causa → Impacto → Riesgo inherente → Control → Riesgo residual → Responsable → Decisión**</w:t>
      </w:r>
    </w:p>
    <w:p>
      <w:pPr>
        <w:pStyle w:val="Heading2"/>
      </w:pPr>
      <w:r>
        <w:t>Módulo 5 — Gobierno de datos y conocimiento</w:t>
      </w:r>
    </w:p>
    <w:p>
      <w:pPr>
        <w:spacing w:after="120"/>
      </w:pPr>
      <w:r>
        <w:t>Controlar linaje, procedencia, propósito autorizado, calidad, minimización, datos sensibles, retención, separación de entrenamiento/evaluación cuando corresponda, autorización de corpus RAG, permisos de recuperación, corrección, eliminación y términos de uso de datos de proveedores.</w:t>
      </w:r>
    </w:p>
    <w:p>
      <w:pPr>
        <w:spacing w:after="120"/>
      </w:pPr>
      <w:r>
        <w:t>Prompts, contexto, almacenes vectoriales, índices, embeddings y conjuntos de ajuste pueden constituir activos de información gobernados.</w:t>
      </w:r>
    </w:p>
    <w:p>
      <w:pPr>
        <w:pStyle w:val="Heading2"/>
      </w:pPr>
      <w:r>
        <w:t>Módulo 6 — Seguridad de IA</w:t>
      </w:r>
    </w:p>
    <w:p>
      <w:pPr>
        <w:spacing w:after="120"/>
      </w:pPr>
      <w:r>
        <w:t>Evaluar endpoints de modelos, identidades, APIs, secretos, pipelines, prompts, instrucciones de sistema, recuperación, herramientas, plugins, permisos de agentes, dependencias y telemetría.</w:t>
      </w:r>
    </w:p>
    <w:p>
      <w:pPr>
        <w:spacing w:after="120"/>
      </w:pPr>
      <w:r>
        <w:t>Controles clave: mínimo privilegio, protección de credenciales, validación de entradas/salidas, resistencia a inyección de prompts, prevención de exfiltración, integridad de dependencias, detección de ataques, contención y recuperación.</w:t>
      </w:r>
    </w:p>
    <w:p>
      <w:pPr>
        <w:pStyle w:val="Heading2"/>
      </w:pPr>
      <w:r>
        <w:t>Módulo 7 — Supervisión humana significativa</w:t>
      </w:r>
    </w:p>
    <w:p>
      <w:pPr>
        <w:spacing w:after="120"/>
      </w:pPr>
      <w:r>
        <w:t>Definir qué decisiones requieren revisión humana, quién puede aprobar o anular, qué información recibe el revisor, tiempos de respuesta, umbrales de escalamiento, capacidad de detener o suspender y registro de intervenciones.</w:t>
      </w:r>
    </w:p>
    <w:p>
      <w:pPr>
        <w:spacing w:after="120"/>
      </w:pPr>
      <w:r>
        <w:t>Un revisor sin tiempo o autoridad real no constituye un control efectivo.</w:t>
      </w:r>
    </w:p>
    <w:p>
      <w:pPr>
        <w:pStyle w:val="Heading2"/>
      </w:pPr>
      <w:r>
        <w:t>Módulo 8 — Pruebas, evaluación, verificación y validación</w:t>
      </w:r>
    </w:p>
    <w:p>
      <w:pPr>
        <w:spacing w:after="120"/>
      </w:pPr>
      <w:r>
        <w:t>Evaluar desempeño previsto, robustez, casos límite, abuso, seguridad, privacidad, equidad cuando corresponda, explicabilidad, factores humanos, recuperación de fallas, factualidad/confabulación en GenAI, calidad de recuperación RAG y límites de acciones agénticas.</w:t>
      </w:r>
    </w:p>
    <w:p>
      <w:pPr>
        <w:spacing w:after="120"/>
      </w:pPr>
      <w:r>
        <w:t>La independencia de validación debe aumentar con la materialidad.</w:t>
      </w:r>
    </w:p>
    <w:p>
      <w:pPr>
        <w:pStyle w:val="Heading2"/>
      </w:pPr>
      <w:r>
        <w:t>Módulo 9 — Puertas de aprobación del ciclo de vida</w:t>
      </w:r>
    </w:p>
    <w:p>
      <w:pPr>
        <w:spacing w:after="120"/>
      </w:pPr>
      <w:r>
        <w:t>**Admisión → Inventario → Clasificación → Evaluación → Diseño/Adquisición → Validación → Aprobación → Despliegue → Monitoreo → Cambio/Revalidación → Retiro**</w:t>
      </w:r>
    </w:p>
    <w:p>
      <w:pPr>
        <w:spacing w:after="120"/>
      </w:pPr>
      <w:r>
        <w:t>Decisiones permitidas: aprobar, aprobar con condiciones, rechazar, diferir, excepción temporal, suspender o retirar.</w:t>
      </w:r>
    </w:p>
    <w:p>
      <w:pPr>
        <w:pStyle w:val="Heading2"/>
      </w:pPr>
      <w:r>
        <w:t>Módulo 10 — Gobierno de terceros</w:t>
      </w:r>
    </w:p>
    <w:p>
      <w:pPr>
        <w:spacing w:after="120"/>
      </w:pPr>
      <w:r>
        <w:t>Evaluar gobierno del proveedor, seguridad, privacidad, uso de datos, limitaciones del modelo, subprocesadores, procesamiento geográfico, cambios, incidentes, evidencia de aseguramiento, continuidad, obligaciones contractuales, salida y portabilidad.</w:t>
      </w:r>
    </w:p>
    <w:p>
      <w:pPr>
        <w:pStyle w:val="Heading2"/>
      </w:pPr>
      <w:r>
        <w:t>Módulo 11 — IA generativa</w:t>
      </w:r>
    </w:p>
    <w:p>
      <w:pPr>
        <w:spacing w:after="120"/>
      </w:pPr>
      <w:r>
        <w:t>Agregar controles para confabulación, inyección de prompts, fuga de información, gobierno RAG, validación de salidas, procedencia y etiquetado de contenido cuando aplique, propiedad intelectual, red teaming, guardrails y comportamiento seguro de respaldo.</w:t>
      </w:r>
    </w:p>
    <w:p>
      <w:pPr>
        <w:pStyle w:val="Heading2"/>
      </w:pPr>
      <w:r>
        <w:t>Módulo 12 — IA agéntica</w:t>
      </w:r>
    </w:p>
    <w:p>
      <w:pPr>
        <w:spacing w:after="120"/>
      </w:pPr>
      <w:r>
        <w:t>Gobernar acciones, no solamente contenido. Controlar identidad del agente, propósito acotado, autenticación, autorización, mínimo privilegio, listas permitidas de herramientas/APIs, aislamiento de credenciales, límites de transacción/recursos, aprobaciones humanas, segregación de funciones, procedencia de acciones, monitoreo en ejecución, desactivación de emergencia, delegación entre agentes y revalidación tras cambios.</w:t>
      </w:r>
    </w:p>
    <w:p>
      <w:pPr>
        <w:pStyle w:val="Heading2"/>
      </w:pPr>
      <w:r>
        <w:t>Módulo 13 — Monitoreo continuo</w:t>
      </w:r>
    </w:p>
    <w:p>
      <w:pPr>
        <w:spacing w:after="120"/>
      </w:pPr>
      <w:r>
        <w:t>Monitorear deriva, errores, tasas de intervención humana, resultados dañinos, eventos de seguridad y privacidad, uso no autorizado de herramientas, excepciones, hallazgos abiertos, cambios de modelo/proveedor y revalidaciones vencidas.</w:t>
      </w:r>
    </w:p>
    <w:p>
      <w:pPr>
        <w:spacing w:after="120"/>
      </w:pPr>
      <w:r>
        <w:t>Cada indicador debe tener responsable, umbral, frecuencia, fuente de evidencia y respuesta definida.</w:t>
      </w:r>
    </w:p>
    <w:p>
      <w:pPr>
        <w:pStyle w:val="Heading2"/>
      </w:pPr>
      <w:r>
        <w:t>Módulo 14 — Gestión de incidentes y cambios</w:t>
      </w:r>
    </w:p>
    <w:p>
      <w:pPr>
        <w:spacing w:after="120"/>
      </w:pPr>
      <w:r>
        <w:t>Ciclo de incidente:</w:t>
      </w:r>
    </w:p>
    <w:p>
      <w:pPr>
        <w:spacing w:after="120"/>
      </w:pPr>
      <w:r>
        <w:t>**Detectar → Contener → Preservar evidencia → Evaluar impacto → Escalar/Notificar → Remediar → Validar → Aprender**</w:t>
      </w:r>
    </w:p>
    <w:p>
      <w:pPr>
        <w:spacing w:after="120"/>
      </w:pPr>
      <w:r>
        <w:t>Cambios materiales incluyen modelo, versión, proveedor, instrucciones, datos, fuentes RAG, herramientas, permisos, población usuaria, geografía, propósito o aumento de autonomía.</w:t>
      </w:r>
    </w:p>
    <w:p>
      <w:pPr>
        <w:pStyle w:val="Heading2"/>
      </w:pPr>
      <w:r>
        <w:t>Módulo 15 — Evidencia y aseguramiento</w:t>
      </w:r>
    </w:p>
    <w:p>
      <w:pPr>
        <w:spacing w:after="120"/>
      </w:pPr>
      <w:r>
        <w:t>Cadena universal:</w:t>
      </w:r>
    </w:p>
    <w:p>
      <w:pPr>
        <w:spacing w:after="120"/>
      </w:pPr>
      <w:r>
        <w:t>**Requisito o Riesgo → Objetivo de control → Actividad de control → Responsable → Frecuencia/Disparador → Evidencia → Procedimiento de prueba → Excepción → Remediación → Decisión de riesgo residual**</w:t>
      </w:r>
    </w:p>
    <w:p>
      <w:pPr>
        <w:spacing w:after="120"/>
      </w:pPr>
      <w:r>
        <w:t>Niveles de aseguramiento: autoevaluación de primera línea, desafío/pruebas de segunda línea, validación independiente, auditoría interna y aseguramiento externo cuando corresponda.</w:t>
      </w:r>
    </w:p>
    <w:p>
      <w:pPr>
        <w:pStyle w:val="Heading2"/>
      </w:pPr>
      <w:r>
        <w:t>Módulo 16 — Gobierno ejecutivo y de junta directiva</w:t>
      </w:r>
    </w:p>
    <w:p>
      <w:pPr>
        <w:spacing w:after="120"/>
      </w:pPr>
      <w:r>
        <w:t>Reportar inventario por nivel de riesgo, sistemas de alto impacto, estado de validación/aprobación, aceptaciones de riesgo residual, excepciones, hallazgos críticos, incidentes, concentración de proveedores, exposición regulatoria y KRIs frente al apetito de riesgo.</w:t>
      </w:r>
    </w:p>
    <w:p>
      <w:pPr>
        <w:pStyle w:val="Heading2"/>
      </w:pPr>
      <w:r>
        <w:t>Escenarios prácticos</w:t>
      </w:r>
    </w:p>
    <w:p>
      <w:pPr>
        <w:pStyle w:val="Heading3"/>
      </w:pPr>
      <w:r>
        <w:t>1. Asistente GenAI interno</w:t>
      </w:r>
    </w:p>
    <w:p>
      <w:pPr>
        <w:spacing w:after="120"/>
      </w:pPr>
      <w:r>
        <w:t>Evaluar acceso, confidencialidad, datos, RAG, outputs, proveedor, monitoreo y uso aceptable.</w:t>
      </w:r>
    </w:p>
    <w:p>
      <w:pPr>
        <w:pStyle w:val="Heading3"/>
      </w:pPr>
      <w:r>
        <w:t>2. IA orientada al cliente</w:t>
      </w:r>
    </w:p>
    <w:p>
      <w:pPr>
        <w:spacing w:after="120"/>
      </w:pPr>
      <w:r>
        <w:t>Evaluar impacto, explicabilidad, posibilidad de impugnación, validación, supervisión y transparencia.</w:t>
      </w:r>
    </w:p>
    <w:p>
      <w:pPr>
        <w:pStyle w:val="Heading3"/>
      </w:pPr>
      <w:r>
        <w:t>3. Selección de personal con IA</w:t>
      </w:r>
    </w:p>
    <w:p>
      <w:pPr>
        <w:spacing w:after="120"/>
      </w:pPr>
      <w:r>
        <w:t>Evaluar proveedor, procedencia, equidad, supervisión, aplicabilidad jurídica y evidencia.</w:t>
      </w:r>
    </w:p>
    <w:p>
      <w:pPr>
        <w:pStyle w:val="Heading3"/>
      </w:pPr>
      <w:r>
        <w:t>4. RAG sobre información sensible</w:t>
      </w:r>
    </w:p>
    <w:p>
      <w:pPr>
        <w:spacing w:after="120"/>
      </w:pPr>
      <w:r>
        <w:t>Evaluar autorización de repositorios, permisos por documento, vector stores, actualidad, fuga de datos e inyección indirecta.</w:t>
      </w:r>
    </w:p>
    <w:p>
      <w:pPr>
        <w:pStyle w:val="Heading3"/>
      </w:pPr>
      <w:r>
        <w:t>5. Agente autónomo de servicio</w:t>
      </w:r>
    </w:p>
    <w:p>
      <w:pPr>
        <w:spacing w:after="120"/>
      </w:pPr>
      <w:r>
        <w:t>Evaluar identidad, permisos, herramientas, límites, aprobaciones humanas, segregación, logs, monitoreo y parada de emergencia.</w:t>
      </w:r>
    </w:p>
    <w:p>
      <w:pPr>
        <w:pStyle w:val="Heading3"/>
      </w:pPr>
      <w:r>
        <w:t>6. Asistente de programación</w:t>
      </w:r>
    </w:p>
    <w:p>
      <w:pPr>
        <w:spacing w:after="120"/>
      </w:pPr>
      <w:r>
        <w:t>Evaluar confidencialidad de código, dependencias, secretos, licencias, revisión y pruebas de seguridad.</w:t>
      </w:r>
    </w:p>
    <w:p>
      <w:pPr>
        <w:pStyle w:val="Heading3"/>
      </w:pPr>
      <w:r>
        <w:t>7. Automatización de bajo impacto</w:t>
      </w:r>
    </w:p>
    <w:p>
      <w:pPr>
        <w:spacing w:after="120"/>
      </w:pPr>
      <w:r>
        <w:t>Aplicar proporcionalidad sin controles excesivos.</w:t>
      </w:r>
    </w:p>
    <w:p>
      <w:pPr>
        <w:pStyle w:val="Heading3"/>
      </w:pPr>
      <w:r>
        <w:t>8. Cambio material de modelo de proveedor</w:t>
      </w:r>
    </w:p>
    <w:p>
      <w:pPr>
        <w:spacing w:after="120"/>
      </w:pPr>
      <w:r>
        <w:t>Exigir notificación, pruebas de regresión, reevaluación, rollback y revalidación.</w:t>
      </w:r>
    </w:p>
    <w:p>
      <w:pPr>
        <w:pStyle w:val="Heading3"/>
      </w:pPr>
      <w:r>
        <w:t>9. Incidente de IA</w:t>
      </w:r>
    </w:p>
    <w:p>
      <w:pPr>
        <w:spacing w:after="120"/>
      </w:pPr>
      <w:r>
        <w:t>Contener, preservar evidencia, evaluar impacto, notificar cuando corresponda, remediar y revalidar.</w:t>
      </w:r>
    </w:p>
    <w:p>
      <w:pPr>
        <w:pStyle w:val="Heading3"/>
      </w:pPr>
      <w:r>
        <w:t>10. Pregunta de junta directiva</w:t>
      </w:r>
    </w:p>
    <w:p>
      <w:pPr>
        <w:spacing w:after="120"/>
      </w:pPr>
      <w:r>
        <w:t>Responder dónde existe mayor riesgo de IA y cómo se demuestra que los controles funcionan.</w:t>
      </w:r>
    </w:p>
    <w:p>
      <w:pPr>
        <w:pStyle w:val="Heading2"/>
      </w:pPr>
      <w:r>
        <w:t>Dominios mínimos de control</w:t>
      </w:r>
    </w:p>
    <w:p>
      <w:pPr>
        <w:pStyle w:val="ListBullet"/>
      </w:pPr>
      <w:r>
        <w:t>GOV-01 Responsabilidad de IA.</w:t>
      </w:r>
    </w:p>
    <w:p>
      <w:pPr>
        <w:pStyle w:val="ListBullet"/>
      </w:pPr>
      <w:r>
        <w:t>INV-01 Integridad del inventario.</w:t>
      </w:r>
    </w:p>
    <w:p>
      <w:pPr>
        <w:pStyle w:val="ListBullet"/>
      </w:pPr>
      <w:r>
        <w:t>CLS-01 Clasificación de riesgo/autonomía.</w:t>
      </w:r>
    </w:p>
    <w:p>
      <w:pPr>
        <w:pStyle w:val="ListBullet"/>
      </w:pPr>
      <w:r>
        <w:t>RSK-01 Evaluación de riesgos e impactos.</w:t>
      </w:r>
    </w:p>
    <w:p>
      <w:pPr>
        <w:pStyle w:val="ListBullet"/>
      </w:pPr>
      <w:r>
        <w:t>DAT-01 Gobierno de datos/conocimiento.</w:t>
      </w:r>
    </w:p>
    <w:p>
      <w:pPr>
        <w:pStyle w:val="ListBullet"/>
      </w:pPr>
      <w:r>
        <w:t>SEC-01 Revisión de seguridad de IA.</w:t>
      </w:r>
    </w:p>
    <w:p>
      <w:pPr>
        <w:pStyle w:val="ListBullet"/>
      </w:pPr>
      <w:r>
        <w:t>PRV-01 Evaluación de privacidad.</w:t>
      </w:r>
    </w:p>
    <w:p>
      <w:pPr>
        <w:pStyle w:val="ListBullet"/>
      </w:pPr>
      <w:r>
        <w:t>HUM-01 Supervisión humana significativa.</w:t>
      </w:r>
    </w:p>
    <w:p>
      <w:pPr>
        <w:pStyle w:val="ListBullet"/>
      </w:pPr>
      <w:r>
        <w:t>VAL-01 Pruebas y validación.</w:t>
      </w:r>
    </w:p>
    <w:p>
      <w:pPr>
        <w:pStyle w:val="ListBullet"/>
      </w:pPr>
      <w:r>
        <w:t>APP-01 Aprobación de despliegue.</w:t>
      </w:r>
    </w:p>
    <w:p>
      <w:pPr>
        <w:pStyle w:val="ListBullet"/>
      </w:pPr>
      <w:r>
        <w:t>TPR-01 Gobierno de terceros.</w:t>
      </w:r>
    </w:p>
    <w:p>
      <w:pPr>
        <w:pStyle w:val="ListBullet"/>
      </w:pPr>
      <w:r>
        <w:t>MON-01 Monitoreo continuo.</w:t>
      </w:r>
    </w:p>
    <w:p>
      <w:pPr>
        <w:pStyle w:val="ListBullet"/>
      </w:pPr>
      <w:r>
        <w:t>CHG-01 Cambios materiales y revalidación.</w:t>
      </w:r>
    </w:p>
    <w:p>
      <w:pPr>
        <w:pStyle w:val="ListBullet"/>
      </w:pPr>
      <w:r>
        <w:t>INC-01 Gestión de incidentes de IA.</w:t>
      </w:r>
    </w:p>
    <w:p>
      <w:pPr>
        <w:pStyle w:val="ListBullet"/>
      </w:pPr>
      <w:r>
        <w:t>AUD-01 Evidencia y aseguramiento.</w:t>
      </w:r>
    </w:p>
    <w:p>
      <w:pPr>
        <w:pStyle w:val="ListBullet"/>
      </w:pPr>
      <w:r>
        <w:t>RET-01 Retiro y desmantelamiento.</w:t>
      </w:r>
    </w:p>
    <w:p>
      <w:pPr>
        <w:pStyle w:val="Heading2"/>
      </w:pPr>
      <w:r>
        <w:t>Criterio de finalización</w:t>
      </w:r>
    </w:p>
    <w:p>
      <w:pPr>
        <w:spacing w:after="120"/>
      </w:pPr>
      <w:r>
        <w:t>La persona que complete el Manual 46 debe poder tomar cualquier caso de uso de IA y construir una cadena trazable desde propósito y propiedad hasta clasificación, riesgos, controles, evidencia, aprobación, monitoreo, incidentes, cambios y decisión de riesgo residual.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