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46 — Fundamentos Universais de Governança de IA</w:t>
      </w:r>
    </w:p>
    <w:p>
      <w:pPr>
        <w:spacing w:after="120"/>
      </w:pPr>
      <w:r>
        <w:t>**Status:** DESENVOLVIMENTO CONTROLADO</w:t>
      </w:r>
    </w:p>
    <w:p>
      <w:pPr>
        <w:spacing w:after="120"/>
      </w:pPr>
      <w:r>
        <w:t>**Idioma:** Português do Brasil (`pt-BR`)</w:t>
      </w:r>
    </w:p>
    <w:p>
      <w:pPr>
        <w:spacing w:after="120"/>
      </w:pPr>
      <w:r>
        <w:t>**Escopo:** Base universal e sensível às jurisdições para governança corporativa de IA.</w:t>
      </w:r>
    </w:p>
    <w:p>
      <w:pPr>
        <w:pStyle w:val="Heading2"/>
      </w:pPr>
      <w:r>
        <w:t>Propósito</w:t>
      </w:r>
    </w:p>
    <w:p>
      <w:pPr>
        <w:spacing w:after="120"/>
      </w:pPr>
      <w:r>
        <w:t>Este manual estabelece uma base universal para governar sistemas de inteligência artificial sem depender de um empregador, jurisdição, regulador, fornecedor, família de modelos ou arquitetura tecnológica específica. Aplica-se a IA preditiva, aprendizado de máquina, IA generativa, modelos fundacionais, sistemas RAG, IA incorporada e sistemas agênticos.</w:t>
      </w:r>
    </w:p>
    <w:p>
      <w:pPr>
        <w:spacing w:after="120"/>
      </w:pPr>
      <w:r>
        <w:t>O objetivo não é impedir o uso de IA. O objetivo é permitir adoção demonstravelmente segura, lícita, controlada, útil e responsável.</w:t>
      </w:r>
    </w:p>
    <w:p>
      <w:pPr>
        <w:pStyle w:val="Heading2"/>
      </w:pPr>
      <w:r>
        <w:t>Espinha dorsal universal de governança</w:t>
      </w:r>
    </w:p>
    <w:p>
      <w:pPr>
        <w:spacing w:after="120"/>
      </w:pPr>
      <w:r>
        <w:t>**Responsabilização → Inventário → Classificação → Avaliação de riscos e impactos → Governança de dados → Segurança → Privacidade → Supervisão humana → Transparência → Testes e validação → Documentação → Aprovação → Implantação → Monitoramento → Gestão de incidentes e mudanças → Governança de terceiros → Evidência e auditoria → Desativação → Melhoria contínua**</w:t>
      </w:r>
    </w:p>
    <w:p>
      <w:pPr>
        <w:pStyle w:val="Heading2"/>
      </w:pPr>
      <w:r>
        <w:t>Princípios fundamentais</w:t>
      </w:r>
    </w:p>
    <w:p>
      <w:pPr>
        <w:pStyle w:val="ListNumber"/>
      </w:pPr>
      <w:r>
        <w:t>Toda iniciativa de IA deve possuir proprietário de negócio e proprietário técnico claramente identificados.</w:t>
      </w:r>
    </w:p>
    <w:p>
      <w:pPr>
        <w:pStyle w:val="ListNumber"/>
      </w:pPr>
      <w:r>
        <w:t>A intensidade da governança deve ser proporcional ao risco, impacto, autonomia, criticidade, sensibilidade dos dados e exposição jurídica.</w:t>
      </w:r>
    </w:p>
    <w:p>
      <w:pPr>
        <w:pStyle w:val="ListNumber"/>
      </w:pPr>
      <w:r>
        <w:t>Governa-se o sistema completo, não apenas o modelo: dados, instruções, RAG, ferramentas, APIs, agentes, pessoas, fornecedores e infraestrutura fazem parte do escopo.</w:t>
      </w:r>
    </w:p>
    <w:p>
      <w:pPr>
        <w:pStyle w:val="ListNumber"/>
      </w:pPr>
      <w:r>
        <w:t>A governança começa antes da produção por meio de entrada, inventário, classificação, avaliação e aprovação.</w:t>
      </w:r>
    </w:p>
    <w:p>
      <w:pPr>
        <w:pStyle w:val="ListNumber"/>
      </w:pPr>
      <w:r>
        <w:t>A supervisão humana deve ser significativa: competência, informação, tempo, autoridade e capacidade real de intervir.</w:t>
      </w:r>
    </w:p>
    <w:p>
      <w:pPr>
        <w:pStyle w:val="ListNumber"/>
      </w:pPr>
      <w:r>
        <w:t>Segurança e privacidade são componentes nativos da governança de IA.</w:t>
      </w:r>
    </w:p>
    <w:p>
      <w:pPr>
        <w:pStyle w:val="ListNumber"/>
      </w:pPr>
      <w:r>
        <w:t>Decisões e controles devem produzir evidência verificável.</w:t>
      </w:r>
    </w:p>
    <w:p>
      <w:pPr>
        <w:pStyle w:val="ListNumber"/>
      </w:pPr>
      <w:r>
        <w:t>O uso de fornecedores externos não elimina a responsabilização da organização adotante.</w:t>
      </w:r>
    </w:p>
    <w:p>
      <w:pPr>
        <w:pStyle w:val="ListNumber"/>
      </w:pPr>
      <w:r>
        <w:t>O monitoramento deve detectar mudanças de desempenho, risco, modelo, fornecedor, dados, ferramentas, permissões e obrigações regulatórias.</w:t>
      </w:r>
    </w:p>
    <w:p>
      <w:pPr>
        <w:pStyle w:val="ListNumber"/>
      </w:pPr>
      <w:r>
        <w:t>A governança deve viabilizar inovação responsável sem impor controles desproporcionais a usos de baixo risco.</w:t>
      </w:r>
    </w:p>
    <w:p>
      <w:pPr>
        <w:pStyle w:val="Heading2"/>
      </w:pPr>
      <w:r>
        <w:t>Módulo 1 — Mandato e modelo operacional</w:t>
      </w:r>
    </w:p>
    <w:p>
      <w:pPr>
        <w:spacing w:after="120"/>
      </w:pPr>
      <w:r>
        <w:t>Definir patrocínio executivo, escopo, apetite de risco, autoridade decisória, escalonamento e separação entre primeira, segunda e terceira linhas.</w:t>
      </w:r>
    </w:p>
    <w:p>
      <w:pPr>
        <w:spacing w:after="120"/>
      </w:pPr>
      <w:r>
        <w:t>**Evidência:** estatuto de governança de IA, políticas, matriz de decisões, termos de referência do comitê e vínculo com o apetite de risco.</w:t>
      </w:r>
    </w:p>
    <w:p>
      <w:pPr>
        <w:pStyle w:val="Heading2"/>
      </w:pPr>
      <w:r>
        <w:t>Módulo 2 — Inventário de IA</w:t>
      </w:r>
    </w:p>
    <w:p>
      <w:pPr>
        <w:spacing w:after="120"/>
      </w:pPr>
      <w:r>
        <w:t>O inventário é o sistema de registro da governança. Deve incluir identificador, finalidade, proprietários, modelo/fornecedor/versão, usuários, populações afetadas, dados, terceiros, geografia, nível de risco, autonomia, supervisão humana, validação, aprovação, monitoramento, mudanças, incidentes e desativação.</w:t>
      </w:r>
    </w:p>
    <w:p>
      <w:pPr>
        <w:pStyle w:val="Heading2"/>
      </w:pPr>
      <w:r>
        <w:t>Módulo 3 — Classificação de risco, impacto e autonomia</w:t>
      </w:r>
    </w:p>
    <w:p>
      <w:pPr>
        <w:spacing w:after="120"/>
      </w:pPr>
      <w:r>
        <w:t>Avaliar impacto sobre pessoas e direitos, saúde e segurança, criticidade do negócio, exposição financeira, sensibilidade de dados, privilégios de cibersegurança, autonomia, reversibilidade, escala, uso externo/interno, classificação regulatória, concentração e necessidade de explicabilidade ou contestação.</w:t>
      </w:r>
    </w:p>
    <w:p>
      <w:pPr>
        <w:spacing w:after="120"/>
      </w:pPr>
      <w:r>
        <w:t>A classificação determina profundidade da avaliação, revisores obrigatórios, independência da validação, autoridade de aprovação e frequência de monitoramento.</w:t>
      </w:r>
    </w:p>
    <w:p>
      <w:pPr>
        <w:pStyle w:val="Heading2"/>
      </w:pPr>
      <w:r>
        <w:t>Módulo 4 — Avaliação de riscos e impactos</w:t>
      </w:r>
    </w:p>
    <w:p>
      <w:pPr>
        <w:spacing w:after="120"/>
      </w:pPr>
      <w:r>
        <w:t>Cobrir riscos estratégicos, regulatórios, de direitos humanos, segurança física, desempenho do modelo, qualidade/proveniência de dados, privacidade, cibersegurança, abuso, viés, transparência, propriedade intelectual, terceiros, resiliência, autonomia, fraude e reputação.</w:t>
      </w:r>
    </w:p>
    <w:p>
      <w:pPr>
        <w:spacing w:after="120"/>
      </w:pPr>
      <w:r>
        <w:t>Usar a estrutura:</w:t>
      </w:r>
    </w:p>
    <w:p>
      <w:pPr>
        <w:spacing w:after="120"/>
      </w:pPr>
      <w:r>
        <w:t>**Cenário → Causa → Impacto → Risco inerente → Controle → Risco residual → Responsável → Decisão**</w:t>
      </w:r>
    </w:p>
    <w:p>
      <w:pPr>
        <w:pStyle w:val="Heading2"/>
      </w:pPr>
      <w:r>
        <w:t>Módulo 5 — Governança de dados e conhecimento</w:t>
      </w:r>
    </w:p>
    <w:p>
      <w:pPr>
        <w:spacing w:after="120"/>
      </w:pPr>
      <w:r>
        <w:t>Controlar linhagem, proveniência, finalidade autorizada, qualidade, minimização, dados sensíveis, retenção, separação entre treinamento e avaliação quando pertinente, autorização de corpus RAG, permissões de recuperação, correção, exclusão e termos de uso de dados de fornecedores.</w:t>
      </w:r>
    </w:p>
    <w:p>
      <w:pPr>
        <w:spacing w:after="120"/>
      </w:pPr>
      <w:r>
        <w:t>Prompts, contexto, bancos vetoriais, índices, embeddings e conjuntos de ajuste podem constituir ativos de informação governados.</w:t>
      </w:r>
    </w:p>
    <w:p>
      <w:pPr>
        <w:pStyle w:val="Heading2"/>
      </w:pPr>
      <w:r>
        <w:t>Módulo 6 — Segurança de IA</w:t>
      </w:r>
    </w:p>
    <w:p>
      <w:pPr>
        <w:spacing w:after="120"/>
      </w:pPr>
      <w:r>
        <w:t>Avaliar endpoints de modelos, identidades, APIs, segredos, pipelines, prompts, instruções de sistema, recuperação, ferramentas, plugins, permissões de agentes, dependências e telemetria.</w:t>
      </w:r>
    </w:p>
    <w:p>
      <w:pPr>
        <w:spacing w:after="120"/>
      </w:pPr>
      <w:r>
        <w:t>Controles-chave: privilégio mínimo, proteção de credenciais, validação de entradas/saídas, resistência a prompt injection, prevenção de exfiltração, integridade de dependências, detecção de ataques, contenção e recuperação.</w:t>
      </w:r>
    </w:p>
    <w:p>
      <w:pPr>
        <w:pStyle w:val="Heading2"/>
      </w:pPr>
      <w:r>
        <w:t>Módulo 7 — Supervisão humana significativa</w:t>
      </w:r>
    </w:p>
    <w:p>
      <w:pPr>
        <w:spacing w:after="120"/>
      </w:pPr>
      <w:r>
        <w:t>Definir quais decisões exigem revisão humana, quem pode aprovar ou substituir, quais informações o revisor recebe, tempos de resposta, limites de escalonamento, capacidade de interromper ou suspender e registro de intervenções.</w:t>
      </w:r>
    </w:p>
    <w:p>
      <w:pPr>
        <w:spacing w:after="120"/>
      </w:pPr>
      <w:r>
        <w:t>Um revisor sem tempo ou autoridade real não constitui controle efetivo.</w:t>
      </w:r>
    </w:p>
    <w:p>
      <w:pPr>
        <w:pStyle w:val="Heading2"/>
      </w:pPr>
      <w:r>
        <w:t>Módulo 8 — Testes, avaliação, verificação e validação</w:t>
      </w:r>
    </w:p>
    <w:p>
      <w:pPr>
        <w:spacing w:after="120"/>
      </w:pPr>
      <w:r>
        <w:t>Avaliar desempenho pretendido, robustez, casos extremos, abuso, segurança, privacidade, equidade quando relevante, explicabilidade, fatores humanos, recuperação de falhas, factualidade/confabulação em GenAI, qualidade da recuperação RAG e limites de ações agênticas.</w:t>
      </w:r>
    </w:p>
    <w:p>
      <w:pPr>
        <w:spacing w:after="120"/>
      </w:pPr>
      <w:r>
        <w:t>A independência da validação deve aumentar com a materialidade.</w:t>
      </w:r>
    </w:p>
    <w:p>
      <w:pPr>
        <w:pStyle w:val="Heading2"/>
      </w:pPr>
      <w:r>
        <w:t>Módulo 9 — Portões de aprovação do ciclo de vida</w:t>
      </w:r>
    </w:p>
    <w:p>
      <w:pPr>
        <w:spacing w:after="120"/>
      </w:pPr>
      <w:r>
        <w:t>**Entrada → Inventário → Classificação → Avaliação → Projeto/Aquisição → Validação → Aprovação → Implantação → Monitoramento → Mudança/Revalidação → Desativação**</w:t>
      </w:r>
    </w:p>
    <w:p>
      <w:pPr>
        <w:spacing w:after="120"/>
      </w:pPr>
      <w:r>
        <w:t>Decisões possíveis: aprovar, aprovar com condições, rejeitar, adiar, conceder exceção temporária, suspender ou retirar.</w:t>
      </w:r>
    </w:p>
    <w:p>
      <w:pPr>
        <w:pStyle w:val="Heading2"/>
      </w:pPr>
      <w:r>
        <w:t>Módulo 10 — Governança de terceiros</w:t>
      </w:r>
    </w:p>
    <w:p>
      <w:pPr>
        <w:spacing w:after="120"/>
      </w:pPr>
      <w:r>
        <w:t>Avaliar governança do fornecedor, segurança, privacidade, uso de dados, limitações do modelo, subcontratados, processamento geográfico, mudanças, incidentes, evidência de assurance, continuidade, obrigações contratuais, saída e portabilidade.</w:t>
      </w:r>
    </w:p>
    <w:p>
      <w:pPr>
        <w:pStyle w:val="Heading2"/>
      </w:pPr>
      <w:r>
        <w:t>Módulo 11 — IA generativa</w:t>
      </w:r>
    </w:p>
    <w:p>
      <w:pPr>
        <w:spacing w:after="120"/>
      </w:pPr>
      <w:r>
        <w:t>Adicionar controles para confabulação, prompt injection, vazamento de informação, governança RAG, validação de saídas, proveniência e rotulagem de conteúdo quando aplicável, propriedade intelectual, red teaming, guardrails e comportamento seguro de contingência.</w:t>
      </w:r>
    </w:p>
    <w:p>
      <w:pPr>
        <w:pStyle w:val="Heading2"/>
      </w:pPr>
      <w:r>
        <w:t>Módulo 12 — IA agêntica</w:t>
      </w:r>
    </w:p>
    <w:p>
      <w:pPr>
        <w:spacing w:after="120"/>
      </w:pPr>
      <w:r>
        <w:t>Governar ações, não apenas conteúdo. Controlar identidade do agente, finalidade delimitada, autenticação, autorização, privilégio mínimo, allowlists de ferramentas/APIs, isolamento de credenciais, limites de transação/recursos, aprovações humanas, segregação de funções, proveniência de ações, monitoramento em tempo de execução, desligamento emergencial, delegação entre agentes e revalidação após mudanças.</w:t>
      </w:r>
    </w:p>
    <w:p>
      <w:pPr>
        <w:pStyle w:val="Heading2"/>
      </w:pPr>
      <w:r>
        <w:t>Módulo 13 — Monitoramento contínuo</w:t>
      </w:r>
    </w:p>
    <w:p>
      <w:pPr>
        <w:spacing w:after="120"/>
      </w:pPr>
      <w:r>
        <w:t>Monitorar deriva, erros, taxas de intervenção humana, resultados prejudiciais, eventos de segurança e privacidade, uso não autorizado de ferramentas, exceções, achados em aberto, mudanças de modelo/fornecedor e revalidações vencidas.</w:t>
      </w:r>
    </w:p>
    <w:p>
      <w:pPr>
        <w:spacing w:after="120"/>
      </w:pPr>
      <w:r>
        <w:t>Cada indicador deve possuir responsável, limite, frequência, fonte de evidência e resposta definida.</w:t>
      </w:r>
    </w:p>
    <w:p>
      <w:pPr>
        <w:pStyle w:val="Heading2"/>
      </w:pPr>
      <w:r>
        <w:t>Módulo 14 — Gestão de incidentes e mudanças</w:t>
      </w:r>
    </w:p>
    <w:p>
      <w:pPr>
        <w:spacing w:after="120"/>
      </w:pPr>
      <w:r>
        <w:t>Ciclo de incidente:</w:t>
      </w:r>
    </w:p>
    <w:p>
      <w:pPr>
        <w:spacing w:after="120"/>
      </w:pPr>
      <w:r>
        <w:t>**Detectar → Conter → Preservar evidência → Avaliar impacto → Escalonar/Notificar → Remediar → Validar → Aprender**</w:t>
      </w:r>
    </w:p>
    <w:p>
      <w:pPr>
        <w:spacing w:after="120"/>
      </w:pPr>
      <w:r>
        <w:t>Mudanças materiais incluem modelo, versão, fornecedor, instruções, dados, fontes RAG, ferramentas, permissões, população usuária, geografia, finalidade ou aumento de autonomia.</w:t>
      </w:r>
    </w:p>
    <w:p>
      <w:pPr>
        <w:pStyle w:val="Heading2"/>
      </w:pPr>
      <w:r>
        <w:t>Módulo 15 — Evidência e assurance</w:t>
      </w:r>
    </w:p>
    <w:p>
      <w:pPr>
        <w:spacing w:after="120"/>
      </w:pPr>
      <w:r>
        <w:t>Cadeia universal:</w:t>
      </w:r>
    </w:p>
    <w:p>
      <w:pPr>
        <w:spacing w:after="120"/>
      </w:pPr>
      <w:r>
        <w:t>**Requisito ou Risco → Objetivo de controle → Atividade de controle → Responsável → Frequência/Gatilho → Evidência → Procedimento de teste → Exceção → Remediação → Decisão de risco residual**</w:t>
      </w:r>
    </w:p>
    <w:p>
      <w:pPr>
        <w:spacing w:after="120"/>
      </w:pPr>
      <w:r>
        <w:t>Níveis de assurance: autoavaliação da primeira linha, desafio/testes da segunda linha, validação independente, auditoria interna e assurance externo quando apropriado.</w:t>
      </w:r>
    </w:p>
    <w:p>
      <w:pPr>
        <w:pStyle w:val="Heading2"/>
      </w:pPr>
      <w:r>
        <w:t>Módulo 16 — Governança executiva e do conselho</w:t>
      </w:r>
    </w:p>
    <w:p>
      <w:pPr>
        <w:spacing w:after="120"/>
      </w:pPr>
      <w:r>
        <w:t>Reportar inventário por nível de risco, sistemas de alto impacto, status de validação/aprovação, aceitações de risco residual, exceções, achados críticos, incidentes, concentração de fornecedores, exposição regulatória e KRIs frente ao apetite de risco.</w:t>
      </w:r>
    </w:p>
    <w:p>
      <w:pPr>
        <w:pStyle w:val="Heading2"/>
      </w:pPr>
      <w:r>
        <w:t>Cenários práticos</w:t>
      </w:r>
    </w:p>
    <w:p>
      <w:pPr>
        <w:pStyle w:val="Heading3"/>
      </w:pPr>
      <w:r>
        <w:t>1. Assistente GenAI interno</w:t>
      </w:r>
    </w:p>
    <w:p>
      <w:pPr>
        <w:spacing w:after="120"/>
      </w:pPr>
      <w:r>
        <w:t>Avaliar acesso, confidencialidade, dados, RAG, outputs, fornecedor, monitoramento e uso aceitável.</w:t>
      </w:r>
    </w:p>
    <w:p>
      <w:pPr>
        <w:pStyle w:val="Heading3"/>
      </w:pPr>
      <w:r>
        <w:t>2. IA voltada ao cliente</w:t>
      </w:r>
    </w:p>
    <w:p>
      <w:pPr>
        <w:spacing w:after="120"/>
      </w:pPr>
      <w:r>
        <w:t>Avaliar impacto, explicabilidade, contestação, validação, supervisão e transparência.</w:t>
      </w:r>
    </w:p>
    <w:p>
      <w:pPr>
        <w:pStyle w:val="Heading3"/>
      </w:pPr>
      <w:r>
        <w:t>3. Triagem de candidatos por IA</w:t>
      </w:r>
    </w:p>
    <w:p>
      <w:pPr>
        <w:spacing w:after="120"/>
      </w:pPr>
      <w:r>
        <w:t>Avaliar fornecedor, proveniência, equidade, supervisão, aplicabilidade jurídica e evidência.</w:t>
      </w:r>
    </w:p>
    <w:p>
      <w:pPr>
        <w:pStyle w:val="Heading3"/>
      </w:pPr>
      <w:r>
        <w:t>4. RAG sobre informação sensível</w:t>
      </w:r>
    </w:p>
    <w:p>
      <w:pPr>
        <w:spacing w:after="120"/>
      </w:pPr>
      <w:r>
        <w:t>Avaliar autorização de repositórios, permissões por documento, bancos vetoriais, atualidade, vazamento de dados e injeção indireta.</w:t>
      </w:r>
    </w:p>
    <w:p>
      <w:pPr>
        <w:pStyle w:val="Heading3"/>
      </w:pPr>
      <w:r>
        <w:t>5. Agente autônomo de atendimento</w:t>
      </w:r>
    </w:p>
    <w:p>
      <w:pPr>
        <w:spacing w:after="120"/>
      </w:pPr>
      <w:r>
        <w:t>Avaliar identidade, permissões, ferramentas, limites, aprovações humanas, segregação, logs, monitoramento e parada de emergência.</w:t>
      </w:r>
    </w:p>
    <w:p>
      <w:pPr>
        <w:pStyle w:val="Heading3"/>
      </w:pPr>
      <w:r>
        <w:t>6. Assistente de programação</w:t>
      </w:r>
    </w:p>
    <w:p>
      <w:pPr>
        <w:spacing w:after="120"/>
      </w:pPr>
      <w:r>
        <w:t>Avaliar confidencialidade de código, dependências, segredos, licenças, revisão e testes de segurança.</w:t>
      </w:r>
    </w:p>
    <w:p>
      <w:pPr>
        <w:pStyle w:val="Heading3"/>
      </w:pPr>
      <w:r>
        <w:t>7. Automação de baixo impacto</w:t>
      </w:r>
    </w:p>
    <w:p>
      <w:pPr>
        <w:spacing w:after="120"/>
      </w:pPr>
      <w:r>
        <w:t>Aplicar proporcionalidade sem controles excessivos.</w:t>
      </w:r>
    </w:p>
    <w:p>
      <w:pPr>
        <w:pStyle w:val="Heading3"/>
      </w:pPr>
      <w:r>
        <w:t>8. Mudança material de modelo do fornecedor</w:t>
      </w:r>
    </w:p>
    <w:p>
      <w:pPr>
        <w:spacing w:after="120"/>
      </w:pPr>
      <w:r>
        <w:t>Exigir notificação, testes de regressão, reavaliação, rollback e revalidação.</w:t>
      </w:r>
    </w:p>
    <w:p>
      <w:pPr>
        <w:pStyle w:val="Heading3"/>
      </w:pPr>
      <w:r>
        <w:t>9. Incidente de IA</w:t>
      </w:r>
    </w:p>
    <w:p>
      <w:pPr>
        <w:spacing w:after="120"/>
      </w:pPr>
      <w:r>
        <w:t>Conter, preservar evidência, avaliar impacto, notificar quando aplicável, remediar e revalidar.</w:t>
      </w:r>
    </w:p>
    <w:p>
      <w:pPr>
        <w:pStyle w:val="Heading3"/>
      </w:pPr>
      <w:r>
        <w:t>10. Pergunta do conselho</w:t>
      </w:r>
    </w:p>
    <w:p>
      <w:pPr>
        <w:spacing w:after="120"/>
      </w:pPr>
      <w:r>
        <w:t>Responder onde existe maior risco de IA e como se demonstra que os controles funcionam.</w:t>
      </w:r>
    </w:p>
    <w:p>
      <w:pPr>
        <w:pStyle w:val="Heading2"/>
      </w:pPr>
      <w:r>
        <w:t>Domínios mínimos de controle</w:t>
      </w:r>
    </w:p>
    <w:p>
      <w:pPr>
        <w:pStyle w:val="ListBullet"/>
      </w:pPr>
      <w:r>
        <w:t>GOV-01 Responsabilização de IA.</w:t>
      </w:r>
    </w:p>
    <w:p>
      <w:pPr>
        <w:pStyle w:val="ListBullet"/>
      </w:pPr>
      <w:r>
        <w:t>INV-01 Integridade do inventário.</w:t>
      </w:r>
    </w:p>
    <w:p>
      <w:pPr>
        <w:pStyle w:val="ListBullet"/>
      </w:pPr>
      <w:r>
        <w:t>CLS-01 Classificação de risco/autonomia.</w:t>
      </w:r>
    </w:p>
    <w:p>
      <w:pPr>
        <w:pStyle w:val="ListBullet"/>
      </w:pPr>
      <w:r>
        <w:t>RSK-01 Avaliação de riscos e impactos.</w:t>
      </w:r>
    </w:p>
    <w:p>
      <w:pPr>
        <w:pStyle w:val="ListBullet"/>
      </w:pPr>
      <w:r>
        <w:t>DAT-01 Governança de dados/conhecimento.</w:t>
      </w:r>
    </w:p>
    <w:p>
      <w:pPr>
        <w:pStyle w:val="ListBullet"/>
      </w:pPr>
      <w:r>
        <w:t>SEC-01 Revisão de segurança de IA.</w:t>
      </w:r>
    </w:p>
    <w:p>
      <w:pPr>
        <w:pStyle w:val="ListBullet"/>
      </w:pPr>
      <w:r>
        <w:t>PRV-01 Avaliação de privacidade.</w:t>
      </w:r>
    </w:p>
    <w:p>
      <w:pPr>
        <w:pStyle w:val="ListBullet"/>
      </w:pPr>
      <w:r>
        <w:t>HUM-01 Supervisão humana significativa.</w:t>
      </w:r>
    </w:p>
    <w:p>
      <w:pPr>
        <w:pStyle w:val="ListBullet"/>
      </w:pPr>
      <w:r>
        <w:t>VAL-01 Testes e validação.</w:t>
      </w:r>
    </w:p>
    <w:p>
      <w:pPr>
        <w:pStyle w:val="ListBullet"/>
      </w:pPr>
      <w:r>
        <w:t>APP-01 Aprovação de implantação.</w:t>
      </w:r>
    </w:p>
    <w:p>
      <w:pPr>
        <w:pStyle w:val="ListBullet"/>
      </w:pPr>
      <w:r>
        <w:t>TPR-01 Governança de terceiros.</w:t>
      </w:r>
    </w:p>
    <w:p>
      <w:pPr>
        <w:pStyle w:val="ListBullet"/>
      </w:pPr>
      <w:r>
        <w:t>MON-01 Monitoramento contínuo.</w:t>
      </w:r>
    </w:p>
    <w:p>
      <w:pPr>
        <w:pStyle w:val="ListBullet"/>
      </w:pPr>
      <w:r>
        <w:t>CHG-01 Mudanças materiais e revalidação.</w:t>
      </w:r>
    </w:p>
    <w:p>
      <w:pPr>
        <w:pStyle w:val="ListBullet"/>
      </w:pPr>
      <w:r>
        <w:t>INC-01 Gestão de incidentes de IA.</w:t>
      </w:r>
    </w:p>
    <w:p>
      <w:pPr>
        <w:pStyle w:val="ListBullet"/>
      </w:pPr>
      <w:r>
        <w:t>AUD-01 Evidência e assurance.</w:t>
      </w:r>
    </w:p>
    <w:p>
      <w:pPr>
        <w:pStyle w:val="ListBullet"/>
      </w:pPr>
      <w:r>
        <w:t>RET-01 Desativação e retirada.</w:t>
      </w:r>
    </w:p>
    <w:p>
      <w:pPr>
        <w:pStyle w:val="Heading2"/>
      </w:pPr>
      <w:r>
        <w:t>Critério de conclusão</w:t>
      </w:r>
    </w:p>
    <w:p>
      <w:pPr>
        <w:spacing w:after="120"/>
      </w:pPr>
      <w:r>
        <w:t>A pessoa que concluir o Manual 46 deve ser capaz de pegar qualquer caso de uso de IA e construir uma cadeia rastreável desde finalidade e propriedade até classificação, riscos, controles, evidência, aprovação, monitoramento, incidentes, mudanças e decisão de risco residual.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