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Manual 34 — Implementación controlada de Gestión de Información de Privacidad ISO/IEC 27701:2025</w:t>
      </w:r>
    </w:p>
    <w:p>
      <w:pPr>
        <w:spacing w:after="120"/>
      </w:pPr>
      <w:r>
        <w:t>**Idioma:** Español de América Latina (es-419) — traducción no oficial del proyecto.</w:t>
      </w:r>
    </w:p>
    <w:p>
      <w:pPr>
        <w:spacing w:after="120"/>
      </w:pPr>
      <w:r>
        <w:t>**Línea base:** ISO/IEC 27701:2025, Edición 2. No se reproduce texto normativo protegido de ISO.</w:t>
      </w:r>
    </w:p>
    <w:p>
      <w:pPr>
        <w:spacing w:after="120"/>
      </w:pPr>
      <w:r>
        <w:t>**Límite:** esta guía de implementación no establece por sí sola certificación ni cumplimiento jurídico.</w:t>
      </w:r>
    </w:p>
    <w:p>
      <w:pPr>
        <w:pStyle w:val="Heading2"/>
      </w:pPr>
      <w:r>
        <w:t>Chapter 01 — Propósito, alcance y jerarquía controlada de fuentes</w:t>
      </w:r>
    </w:p>
    <w:p>
      <w:pPr>
        <w:spacing w:after="120"/>
      </w:pPr>
      <w:r>
        <w:t>Defina el objetivo del PIMS, sus límites organizacionales, clases de información, productos, servicios, entidades jurídicas, jurisdicciones e interfaces. Mantenga separadas las referencias a ISO/IEC 27701:2025, la integración con ISO/IEC 27001/27002, las leyes vinculantes, la guía regulatoria, los contratos y los procedimientos internos.</w:t>
      </w:r>
    </w:p>
    <w:p>
      <w:pPr>
        <w:spacing w:after="120"/>
      </w:pPr>
      <w:r>
        <w:t>**Controles de implementación:** aprobar alcance, exclusiones, interfaces y propietarios de fuentes; fechar cada reverificación.</w:t>
      </w:r>
    </w:p>
    <w:p>
      <w:pPr>
        <w:spacing w:after="120"/>
      </w:pPr>
      <w:r>
        <w:t>**Evidencia:** alcance aprobado, registro de fuentes, aplicabilidad y bitácora de verificación.</w:t>
      </w:r>
    </w:p>
    <w:p>
      <w:pPr>
        <w:pStyle w:val="Heading2"/>
      </w:pPr>
      <w:r>
        <w:t>Chapter 02 — Contexto del PIMS y límites organizacionales</w:t>
      </w:r>
    </w:p>
    <w:p>
      <w:pPr>
        <w:spacing w:after="120"/>
      </w:pPr>
      <w:r>
        <w:t>Documente condiciones internas y externas que afectan la gestión de privacidad, como modelo de negocio, escala de tratamiento, sensibilidad, tecnología, outsourcing, geografía y expectativas de stakeholders. Convierta el contexto en supuestos explícitos de diseño y disparadores de revisión.</w:t>
      </w:r>
    </w:p>
    <w:p>
      <w:pPr>
        <w:spacing w:after="120"/>
      </w:pPr>
      <w:r>
        <w:t>**Controles:** revisión al menos anual y tras cambios materiales; vincular cambios con riesgo y alcance.</w:t>
      </w:r>
    </w:p>
    <w:p>
      <w:pPr>
        <w:spacing w:after="120"/>
      </w:pPr>
      <w:r>
        <w:t>**Evidencia:** evaluación de contexto, diagrama de límites, registro de cambios y aprobación.</w:t>
      </w:r>
    </w:p>
    <w:p>
      <w:pPr>
        <w:pStyle w:val="Heading2"/>
      </w:pPr>
      <w:r>
        <w:t>Chapter 03 — Partes interesadas e inventario de requisitos de privacidad</w:t>
      </w:r>
    </w:p>
    <w:p>
      <w:pPr>
        <w:spacing w:after="120"/>
      </w:pPr>
      <w:r>
        <w:t>Identifique titulares de datos, clientes, reguladores, personal, proveedores, socios, auditores y otras partes relevantes. Traduzca requisitos aplicables a obligaciones controladas sin presentar toda expectativa como ley.</w:t>
      </w:r>
    </w:p>
    <w:p>
      <w:pPr>
        <w:spacing w:after="120"/>
      </w:pPr>
      <w:r>
        <w:t>**Controles:** mantener propietario, fuente, aplicabilidad, estado y evidencia.</w:t>
      </w:r>
    </w:p>
    <w:p>
      <w:pPr>
        <w:spacing w:after="120"/>
      </w:pPr>
      <w:r>
        <w:t>**Evidencia:** registro de interesados, inventario de requisitos y matriz de trazabilidad.</w:t>
      </w:r>
    </w:p>
    <w:p>
      <w:pPr>
        <w:pStyle w:val="Heading2"/>
      </w:pPr>
      <w:r>
        <w:t>Chapter 04 — Determinación del alcance del PIMS y registro de aplicabilidad</w:t>
      </w:r>
    </w:p>
    <w:p>
      <w:pPr>
        <w:spacing w:after="120"/>
      </w:pPr>
      <w:r>
        <w:t>Defina actividades de tratamiento, sistemas, ubicaciones, entidades, servicios y terceros dentro del PIMS. Registre justificación de exclusiones y dependencias para que cualquier afirmación de readiness no exceda el alcance gestionado.</w:t>
      </w:r>
    </w:p>
    <w:p>
      <w:pPr>
        <w:spacing w:after="120"/>
      </w:pPr>
      <w:r>
        <w:t>**Controles:** aprobación de management, mapeo de dependencias y reconciliación con inventarios.</w:t>
      </w:r>
    </w:p>
    <w:p>
      <w:pPr>
        <w:spacing w:after="120"/>
      </w:pPr>
      <w:r>
        <w:t>**Evidencia:** alcance PIMS, aplicabilidad y referencias a inventarios.</w:t>
      </w:r>
    </w:p>
    <w:p>
      <w:pPr>
        <w:pStyle w:val="Heading2"/>
      </w:pPr>
      <w:r>
        <w:t>Chapter 05 — Liderazgo, política y accountability</w:t>
      </w:r>
    </w:p>
    <w:p>
      <w:pPr>
        <w:spacing w:after="120"/>
      </w:pPr>
      <w:r>
        <w:t>Senior management debe establecer dirección, aprobar la política, asignar accountability, proveer recursos y revisar desempeño. Integre privacidad con enterprise risk e information security governance.</w:t>
      </w:r>
    </w:p>
    <w:p>
      <w:pPr>
        <w:spacing w:after="120"/>
      </w:pPr>
      <w:r>
        <w:t>**Controles:** política aprobada, ejecutivo accountable, cadencia de gobierno y ruta de escalamiento.</w:t>
      </w:r>
    </w:p>
    <w:p>
      <w:pPr>
        <w:spacing w:after="120"/>
      </w:pPr>
      <w:r>
        <w:t>**Evidencia:** política, charter, actas, decisiones y aprobaciones de recursos.</w:t>
      </w:r>
    </w:p>
    <w:p>
      <w:pPr>
        <w:pStyle w:val="Heading2"/>
      </w:pPr>
      <w:r>
        <w:t>Chapter 06 — Roles de gobierno de privacidad y segregación de funciones</w:t>
      </w:r>
    </w:p>
    <w:p>
      <w:pPr>
        <w:spacing w:after="120"/>
      </w:pPr>
      <w:r>
        <w:t>Defina responsabilidades para riesgo, ownership del tratamiento, sistemas, interpretación legal, security, procurement, incident response, internal audit y management review. Separe operación y revisión independiente cuando sea práctico.</w:t>
      </w:r>
    </w:p>
    <w:p>
      <w:pPr>
        <w:spacing w:after="120"/>
      </w:pPr>
      <w:r>
        <w:t>**Controles:** RACI, autoridades delegadas, revisión de conflictos y respaldo de funciones.</w:t>
      </w:r>
    </w:p>
    <w:p>
      <w:pPr>
        <w:spacing w:after="120"/>
      </w:pPr>
      <w:r>
        <w:t>**Evidencia:** matriz de roles, descripciones y delegaciones.</w:t>
      </w:r>
    </w:p>
    <w:p>
      <w:pPr>
        <w:pStyle w:val="Heading2"/>
      </w:pPr>
      <w:r>
        <w:t>Chapter 07 — Gestión de riesgos y oportunidades de privacidad</w:t>
      </w:r>
    </w:p>
    <w:p>
      <w:pPr>
        <w:spacing w:after="120"/>
      </w:pPr>
      <w:r>
        <w:t>Use un método repetible para identificar riesgos derivados de tratamiento, tecnología, personas, proveedores, jurisdicciones y cambios de ciclo de vida. Evalúe probabilidad e impacto con criterios definidos y documente decisiones de tratamiento.</w:t>
      </w:r>
    </w:p>
    <w:p>
      <w:pPr>
        <w:spacing w:after="120"/>
      </w:pPr>
      <w:r>
        <w:t>**Controles:** metodología aprobada, ownership, autoridad de aceptación y reevaluación periódica.</w:t>
      </w:r>
    </w:p>
    <w:p>
      <w:pPr>
        <w:spacing w:after="120"/>
      </w:pPr>
      <w:r>
        <w:t>**Evidencia:** registro de riesgos, planes, aceptaciones e historial de revisión.</w:t>
      </w:r>
    </w:p>
    <w:p>
      <w:pPr>
        <w:pStyle w:val="Heading2"/>
      </w:pPr>
      <w:r>
        <w:t>Chapter 08 — Objetivos, métricas y planificación de privacidad</w:t>
      </w:r>
    </w:p>
    <w:p>
      <w:pPr>
        <w:spacing w:after="120"/>
      </w:pPr>
      <w:r>
        <w:t>Defina objetivos medibles ligados a riesgo, prioridades de negocio, obligaciones y mejora continua. Especifique indicador, meta, propietario, frecuencia y umbral de remediación.</w:t>
      </w:r>
    </w:p>
    <w:p>
      <w:pPr>
        <w:spacing w:after="120"/>
      </w:pPr>
      <w:r>
        <w:t>**Controles:** objetivos aprobados y reglas de calidad de datos.</w:t>
      </w:r>
    </w:p>
    <w:p>
      <w:pPr>
        <w:spacing w:after="120"/>
      </w:pPr>
      <w:r>
        <w:t>**Evidencia:** registro de objetivos, KPI/KRI, dashboards y acciones.</w:t>
      </w:r>
    </w:p>
    <w:p>
      <w:pPr>
        <w:pStyle w:val="Heading2"/>
      </w:pPr>
      <w:r>
        <w:t>Chapter 09 — Recursos, competencia, awareness y comunicaciones</w:t>
      </w:r>
    </w:p>
    <w:p>
      <w:pPr>
        <w:spacing w:after="120"/>
      </w:pPr>
      <w:r>
        <w:t>Identifique competencias requeridas para governance, engineering, operations, procurement, incident response, audit y liderazgo. Proporcione capacitación por rol y defina comunicaciones internas y externas.</w:t>
      </w:r>
    </w:p>
    <w:p>
      <w:pPr>
        <w:spacing w:after="120"/>
      </w:pPr>
      <w:r>
        <w:t>**Controles:** criterios de competencia, planes de capacitación, seguimiento y rutas aprobadas.</w:t>
      </w:r>
    </w:p>
    <w:p>
      <w:pPr>
        <w:spacing w:after="120"/>
      </w:pPr>
      <w:r>
        <w:t>**Evidencia:** matriz de competencia, capacitación y plan de comunicaciones.</w:t>
      </w:r>
    </w:p>
    <w:p>
      <w:pPr>
        <w:pStyle w:val="Heading2"/>
      </w:pPr>
      <w:r>
        <w:t>Chapter 10 — Gobierno de información documentada</w:t>
      </w:r>
    </w:p>
    <w:p>
      <w:pPr>
        <w:spacing w:after="120"/>
      </w:pPr>
      <w:r>
        <w:t>Controle políticas, procedimientos, registros, workpapers, plantillas y evidencia del PIMS para asegurar versión, aprobación, protección, retención, recuperación y cambio autorizado.</w:t>
      </w:r>
    </w:p>
    <w:p>
      <w:pPr>
        <w:spacing w:after="120"/>
      </w:pPr>
      <w:r>
        <w:t>**Controles:** ownership, versionado, aprobación, retención, acceso y disposición.</w:t>
      </w:r>
    </w:p>
    <w:p>
      <w:pPr>
        <w:spacing w:after="120"/>
      </w:pPr>
      <w:r>
        <w:t>**Evidencia:** registro documental, historial, calendario de retención y accesos.</w:t>
      </w:r>
    </w:p>
    <w:p>
      <w:pPr>
        <w:pStyle w:val="Heading2"/>
      </w:pPr>
      <w:r>
        <w:t>Chapter 11 — Planificación y control operacional</w:t>
      </w:r>
    </w:p>
    <w:p>
      <w:pPr>
        <w:spacing w:after="120"/>
      </w:pPr>
      <w:r>
        <w:t>Convierta requisitos y tratamientos de riesgo en procedimientos repetibles para intake, uso, sharing, storage, change, retention, deletion, interacción con proveedores y excepciones.</w:t>
      </w:r>
    </w:p>
    <w:p>
      <w:pPr>
        <w:spacing w:after="120"/>
      </w:pPr>
      <w:r>
        <w:t>**Controles:** procedimientos, propietarios, aprobación de excepciones e impacto de cambios.</w:t>
      </w:r>
    </w:p>
    <w:p>
      <w:pPr>
        <w:spacing w:after="120"/>
      </w:pPr>
      <w:r>
        <w:t>**Evidencia:** procedimientos, logs, registro de excepciones y revisiones.</w:t>
      </w:r>
    </w:p>
    <w:p>
      <w:pPr>
        <w:pStyle w:val="Heading2"/>
      </w:pPr>
      <w:r>
        <w:t>Chapter 12 — Responsabilidades del PII controller</w:t>
      </w:r>
    </w:p>
    <w:p>
      <w:pPr>
        <w:spacing w:after="120"/>
      </w:pPr>
      <w:r>
        <w:t>Cuando la organización actúe como controller, gobierne propósitos, instrucciones de tratamiento, transparencia, soporte de derechos, sharing, retention, risk decisions y oversight de processors. Mantenga las obligaciones legales por jurisdicción como capa separada.</w:t>
      </w:r>
    </w:p>
    <w:p>
      <w:pPr>
        <w:spacing w:after="120"/>
      </w:pPr>
      <w:r>
        <w:t>**Controles:** determinación de rol, registros de propósito, oversight y escalamiento legal.</w:t>
      </w:r>
    </w:p>
    <w:p>
      <w:pPr>
        <w:spacing w:after="120"/>
      </w:pPr>
      <w:r>
        <w:t>**Evidencia:** evaluación de controller, processing records, notices y registros de oversight.</w:t>
      </w:r>
    </w:p>
    <w:p>
      <w:pPr>
        <w:pStyle w:val="Heading2"/>
      </w:pPr>
      <w:r>
        <w:t>Chapter 13 — Responsabilidades del PII processor</w:t>
      </w:r>
    </w:p>
    <w:p>
      <w:pPr>
        <w:spacing w:after="120"/>
      </w:pPr>
      <w:r>
        <w:t>Cuando la organización actúe como processor, controle recepción, validación, implementación y cambio de instrucciones del controller. Gestione subprocessors, confidencialidad, seguridad, retorno/eliminación, incident support y obligaciones contractuales.</w:t>
      </w:r>
    </w:p>
    <w:p>
      <w:pPr>
        <w:spacing w:after="120"/>
      </w:pPr>
      <w:r>
        <w:t>**Controles:** registro de instrucciones, contratos, subprocessor governance y terminación.</w:t>
      </w:r>
    </w:p>
    <w:p>
      <w:pPr>
        <w:spacing w:after="120"/>
      </w:pPr>
      <w:r>
        <w:t>**Evidencia:** evaluación de processor, logs, contratos y prueba de retorno/eliminación.</w:t>
      </w:r>
    </w:p>
    <w:p>
      <w:pPr>
        <w:pStyle w:val="Heading2"/>
      </w:pPr>
      <w:r>
        <w:t>Chapter 14 — Procesos de soporte a derechos de titulares</w:t>
      </w:r>
    </w:p>
    <w:p>
      <w:pPr>
        <w:spacing w:after="120"/>
      </w:pPr>
      <w:r>
        <w:t>Establezca intake, verificación de identidad, routing, fulfillment, excepciones, aprobación y evidencia para derechos aplicables. No presuma un conjunto universal de derechos o plazos.</w:t>
      </w:r>
    </w:p>
    <w:p>
      <w:pPr>
        <w:spacing w:after="120"/>
      </w:pPr>
      <w:r>
        <w:t>**Controles:** workflow por jurisdicción, protección de identidad, tracking y revisión legal.</w:t>
      </w:r>
    </w:p>
    <w:p>
      <w:pPr>
        <w:spacing w:after="120"/>
      </w:pPr>
      <w:r>
        <w:t>**Evidencia:** registro de solicitudes, verificación, respuesta y decisiones de excepción.</w:t>
      </w:r>
    </w:p>
    <w:p>
      <w:pPr>
        <w:pStyle w:val="Heading2"/>
      </w:pPr>
      <w:r>
        <w:t>Chapter 15 — Soporte a propósito lícito y registros de tratamiento</w:t>
      </w:r>
    </w:p>
    <w:p>
      <w:pPr>
        <w:spacing w:after="120"/>
      </w:pPr>
      <w:r>
        <w:t>Mantenga registros que identifiquen propósito, owner, categorías de datos, titulares, sistemas, destinatarios, jurisdicciones, retención y base legal/contractual cuando aplique. La determinación de base legal corresponde a funciones autorizadas.</w:t>
      </w:r>
    </w:p>
    <w:p>
      <w:pPr>
        <w:spacing w:after="120"/>
      </w:pPr>
      <w:r>
        <w:t>**Controles:** inventario de tratamiento, revisión de cambio de propósito y owner certification.</w:t>
      </w:r>
    </w:p>
    <w:p>
      <w:pPr>
        <w:spacing w:after="120"/>
      </w:pPr>
      <w:r>
        <w:t>**Evidencia:** processing records, aprobaciones, mapeos legales e historial.</w:t>
      </w:r>
    </w:p>
    <w:p>
      <w:pPr>
        <w:pStyle w:val="Heading2"/>
      </w:pPr>
      <w:r>
        <w:t>Chapter 16 — Privacy by design y privacy by default</w:t>
      </w:r>
    </w:p>
    <w:p>
      <w:pPr>
        <w:spacing w:after="120"/>
      </w:pPr>
      <w:r>
        <w:t>Integre privacidad en producto, servicio, arquitectura, procurement, analytics y change management antes de deployment. Las configuraciones por defecto deben reflejar objetivos y decisiones de riesgo aprobadas.</w:t>
      </w:r>
    </w:p>
    <w:p>
      <w:pPr>
        <w:spacing w:after="120"/>
      </w:pPr>
      <w:r>
        <w:t>**Controles:** design gates, requisitos, architecture review y aprobación de desviaciones.</w:t>
      </w:r>
    </w:p>
    <w:p>
      <w:pPr>
        <w:spacing w:after="120"/>
      </w:pPr>
      <w:r>
        <w:t>**Evidencia:** assessments, requisitos, decisiones y excepciones.</w:t>
      </w:r>
    </w:p>
    <w:p>
      <w:pPr>
        <w:pStyle w:val="Heading2"/>
      </w:pPr>
      <w:r>
        <w:t>Chapter 17 — Minimización, exactitud, retención y disposición</w:t>
      </w:r>
    </w:p>
    <w:p>
      <w:pPr>
        <w:spacing w:after="120"/>
      </w:pPr>
      <w:r>
        <w:t>Limite recolección y uso a propósito aprobado y necesidad operacional, mantenga exactitud apropiada, reglas de retención y eliminación, anonimización, retorno o archivo verificables.</w:t>
      </w:r>
    </w:p>
    <w:p>
      <w:pPr>
        <w:spacing w:after="120"/>
      </w:pPr>
      <w:r>
        <w:t>**Controles:** justificación de datos, retention schedule, deletion workflow y legal hold.</w:t>
      </w:r>
    </w:p>
    <w:p>
      <w:pPr>
        <w:spacing w:after="120"/>
      </w:pPr>
      <w:r>
        <w:t>**Evidencia:** revisiones de minimización, quality checks, reglas y disposal logs.</w:t>
      </w:r>
    </w:p>
    <w:p>
      <w:pPr>
        <w:pStyle w:val="Heading2"/>
      </w:pPr>
      <w:r>
        <w:t>Chapter 18 — Transparencia y soporte de notices</w:t>
      </w:r>
    </w:p>
    <w:p>
      <w:pPr>
        <w:spacing w:after="120"/>
      </w:pPr>
      <w:r>
        <w:t>Mantenga descripciones claras y controladas del tratamiento y revise notices cuando cambien de forma material el procesamiento, destinatarios, tecnología, geografía o requisitos.</w:t>
      </w:r>
    </w:p>
    <w:p>
      <w:pPr>
        <w:spacing w:after="120"/>
      </w:pPr>
      <w:r>
        <w:t>**Controles:** ownership, triggers, versionado y revisión de accesibilidad.</w:t>
      </w:r>
    </w:p>
    <w:p>
      <w:pPr>
        <w:spacing w:after="120"/>
      </w:pPr>
      <w:r>
        <w:t>**Evidencia:** inventario de notices, aprobaciones, historial y assessments.</w:t>
      </w:r>
    </w:p>
    <w:p>
      <w:pPr>
        <w:pStyle w:val="Heading2"/>
      </w:pPr>
      <w:r>
        <w:t>Chapter 19 — Consentimiento y gestión de preferencias</w:t>
      </w:r>
    </w:p>
    <w:p>
      <w:pPr>
        <w:spacing w:after="120"/>
      </w:pPr>
      <w:r>
        <w:t>Cuando consentimiento o preferencias formen parte del modelo aplicable, capture decisión, contexto, versión, fecha/hora, alcance y retiro/cambio de forma auditable. No use consentimiento como sustituto automático de análisis jurídico.</w:t>
      </w:r>
    </w:p>
    <w:p>
      <w:pPr>
        <w:spacing w:after="120"/>
      </w:pPr>
      <w:r>
        <w:t>**Controles:** criterios, preference store, retiro y propagación downstream.</w:t>
      </w:r>
    </w:p>
    <w:p>
      <w:pPr>
        <w:spacing w:after="120"/>
      </w:pPr>
      <w:r>
        <w:t>**Evidencia:** registros de consentimiento, preferencias, retiros y pruebas de sincronización.</w:t>
      </w:r>
    </w:p>
    <w:p>
      <w:pPr>
        <w:pStyle w:val="Heading2"/>
      </w:pPr>
      <w:r>
        <w:t>Chapter 20 — Gobierno de proveedores, subprocessors y terceros</w:t>
      </w:r>
    </w:p>
    <w:p>
      <w:pPr>
        <w:spacing w:after="120"/>
      </w:pPr>
      <w:r>
        <w:t>Aplique due diligence de privacidad basado en riesgo antes del onboarding y durante el ciclo de vida. Defina roles, flujos, jurisdicciones, contratos, expectativas, incident duties, audit rights, cambios y exit.</w:t>
      </w:r>
    </w:p>
    <w:p>
      <w:pPr>
        <w:spacing w:after="120"/>
      </w:pPr>
      <w:r>
        <w:t>**Controles:** tiering, due diligence, contract review, monitoring y exit controls.</w:t>
      </w:r>
    </w:p>
    <w:p>
      <w:pPr>
        <w:spacing w:after="120"/>
      </w:pPr>
      <w:r>
        <w:t>**Evidencia:** assessments, contratos, monitoring, remediation y terminación.</w:t>
      </w:r>
    </w:p>
    <w:p>
      <w:pPr>
        <w:pStyle w:val="Heading2"/>
      </w:pPr>
      <w:r>
        <w:t>Chapter 21 — Transferencias transfronterizas y mapeo jurisdiccional</w:t>
      </w:r>
    </w:p>
    <w:p>
      <w:pPr>
        <w:spacing w:after="120"/>
      </w:pPr>
      <w:r>
        <w:t>Mapee dónde se recopila, accede, almacena, soporta y transfiere PII. Enrute determinaciones sobre mecanismos y adecuación a funciones legales/privacy calificadas porque varían por jurisdicción.</w:t>
      </w:r>
    </w:p>
    <w:p>
      <w:pPr>
        <w:spacing w:after="120"/>
      </w:pPr>
      <w:r>
        <w:t>**Controles:** inventario de ubicación, transfer review, mecanismo aprobado y change control.</w:t>
      </w:r>
    </w:p>
    <w:p>
      <w:pPr>
        <w:spacing w:after="120"/>
      </w:pPr>
      <w:r>
        <w:t>**Evidencia:** transfer map, determinación legal, contratos y reevaluaciones.</w:t>
      </w:r>
    </w:p>
    <w:p>
      <w:pPr>
        <w:pStyle w:val="Heading2"/>
      </w:pPr>
      <w:r>
        <w:t>Chapter 22 — Integración de controles de seguridad con ISO/IEC 27001 y 27002</w:t>
      </w:r>
    </w:p>
    <w:p>
      <w:pPr>
        <w:spacing w:after="120"/>
      </w:pPr>
      <w:r>
        <w:t>Coordine controles de privacidad con el sistema de gestión de seguridad y safeguards técnicos. Riesgo de privacidad puede exigir controles adicionales y security controls por sí solos no demuestran privacy compliance.</w:t>
      </w:r>
    </w:p>
    <w:p>
      <w:pPr>
        <w:spacing w:after="120"/>
      </w:pPr>
      <w:r>
        <w:t>**Controles:** mapping privacy-security, ownership compartido, gaps y excepciones.</w:t>
      </w:r>
    </w:p>
    <w:p>
      <w:pPr>
        <w:spacing w:after="120"/>
      </w:pPr>
      <w:r>
        <w:t>**Evidencia:** crosswalk, vínculos risk/control, pruebas y remediation.</w:t>
      </w:r>
    </w:p>
    <w:p>
      <w:pPr>
        <w:pStyle w:val="Heading2"/>
      </w:pPr>
      <w:r>
        <w:t>Chapter 23 — Soporte a incidentes de privacidad y breach response</w:t>
      </w:r>
    </w:p>
    <w:p>
      <w:pPr>
        <w:spacing w:after="120"/>
      </w:pPr>
      <w:r>
        <w:t>Integre evaluación de privacidad en incident response para determinar datos, personas, jurisdicciones, obligaciones contractuales, posibles notificaciones, containment, remediation y preservación de evidencia. Las decisiones de notificación son jurisdiccionales.</w:t>
      </w:r>
    </w:p>
    <w:p>
      <w:pPr>
        <w:spacing w:after="120"/>
      </w:pPr>
      <w:r>
        <w:t>**Controles:** privacy triage, ruta legal/regulatoria, evidence preservation y lessons learned.</w:t>
      </w:r>
    </w:p>
    <w:p>
      <w:pPr>
        <w:spacing w:after="120"/>
      </w:pPr>
      <w:r>
        <w:t>**Evidencia:** incident record, impact assessment, notification decision y remediation.</w:t>
      </w:r>
    </w:p>
    <w:p>
      <w:pPr>
        <w:pStyle w:val="Heading2"/>
      </w:pPr>
      <w:r>
        <w:t>Chapter 24 — Arquitectura de registros, evidencia y trazabilidad</w:t>
      </w:r>
    </w:p>
    <w:p>
      <w:pPr>
        <w:spacing w:after="120"/>
      </w:pPr>
      <w:r>
        <w:t>Defina objetos de evidencia para demostrar decisiones, operación de controles, reviews, excepciones y corrective actions. Vincule evidencia con requisito, riesgo, control, owner, sistema/proceso, periodo y aprobación.</w:t>
      </w:r>
    </w:p>
    <w:p>
      <w:pPr>
        <w:spacing w:after="120"/>
      </w:pPr>
      <w:r>
        <w:t>**Controles:** taxonomía, naming/retention, acceso e integrity checks.</w:t>
      </w:r>
    </w:p>
    <w:p>
      <w:pPr>
        <w:spacing w:after="120"/>
      </w:pPr>
      <w:r>
        <w:t>**Evidencia:** evidence index, traceability matrix, retention e integrity metadata.</w:t>
      </w:r>
    </w:p>
    <w:p>
      <w:pPr>
        <w:pStyle w:val="Heading2"/>
      </w:pPr>
      <w:r>
        <w:t>Chapter 25 — Monitoring, measurement, analysis y evaluation</w:t>
      </w:r>
    </w:p>
    <w:p>
      <w:pPr>
        <w:spacing w:after="120"/>
      </w:pPr>
      <w:r>
        <w:t>Mida desempeño del PIMS y evalúe si los controles operan según lo previsto. Diferencie métricas operacionales de conclusiones de assurance.</w:t>
      </w:r>
    </w:p>
    <w:p>
      <w:pPr>
        <w:spacing w:after="120"/>
      </w:pPr>
      <w:r>
        <w:t>**Controles:** data owners, reglas de cálculo, thresholds, cadence y triggers de corrective action.</w:t>
      </w:r>
    </w:p>
    <w:p>
      <w:pPr>
        <w:spacing w:after="120"/>
      </w:pPr>
      <w:r>
        <w:t>**Evidencia:** dashboards, source records, trend analysis y acciones.</w:t>
      </w:r>
    </w:p>
    <w:p>
      <w:pPr>
        <w:pStyle w:val="Heading2"/>
      </w:pPr>
      <w:r>
        <w:t>Chapter 26 — Internal audit del PIMS</w:t>
      </w:r>
    </w:p>
    <w:p>
      <w:pPr>
        <w:spacing w:after="120"/>
      </w:pPr>
      <w:r>
        <w:t>Planifique auditorías basadas en riesgo con independencia suficiente. Defina alcance, criterios, evidencia, sampling, findings, reporting, remediation y follow-up.</w:t>
      </w:r>
    </w:p>
    <w:p>
      <w:pPr>
        <w:spacing w:after="120"/>
      </w:pPr>
      <w:r>
        <w:t>**Controles:** audit program, competencia/independencia, clasificación de findings y closure validation.</w:t>
      </w:r>
    </w:p>
    <w:p>
      <w:pPr>
        <w:spacing w:after="120"/>
      </w:pPr>
      <w:r>
        <w:t>**Evidencia:** plan, workpapers, findings, responses y cierre.</w:t>
      </w:r>
    </w:p>
    <w:p>
      <w:pPr>
        <w:pStyle w:val="Heading2"/>
      </w:pPr>
      <w:r>
        <w:t>Chapter 27 — Management review</w:t>
      </w:r>
    </w:p>
    <w:p>
      <w:pPr>
        <w:spacing w:after="120"/>
      </w:pPr>
      <w:r>
        <w:t>Management debe evaluar suitability, adequacy, effectiveness, riesgos significativos, auditorías, incidentes, objetivos, recursos, cambios de stakeholders y prioridades de mejora.</w:t>
      </w:r>
    </w:p>
    <w:p>
      <w:pPr>
        <w:spacing w:after="120"/>
      </w:pPr>
      <w:r>
        <w:t>**Controles:** agenda definida, inputs, tracking de decisiones y accountability.</w:t>
      </w:r>
    </w:p>
    <w:p>
      <w:pPr>
        <w:spacing w:after="120"/>
      </w:pPr>
      <w:r>
        <w:t>**Evidencia:** review pack, minutes, decisiones, acciones y cierre.</w:t>
      </w:r>
    </w:p>
    <w:p>
      <w:pPr>
        <w:pStyle w:val="Heading2"/>
      </w:pPr>
      <w:r>
        <w:t>Chapter 28 — Nonconformity y corrective action</w:t>
      </w:r>
    </w:p>
    <w:p>
      <w:pPr>
        <w:spacing w:after="120"/>
      </w:pPr>
      <w:r>
        <w:t>Ante falla de requisito o control, contenga, evalúe impacto, identifique causa, revise implicaciones sistémicas, corrija y verifique efectividad antes de cerrar.</w:t>
      </w:r>
    </w:p>
    <w:p>
      <w:pPr>
        <w:spacing w:after="120"/>
      </w:pPr>
      <w:r>
        <w:t>**Controles:** intake, root-cause method, ownership, fechas y effectiveness review.</w:t>
      </w:r>
    </w:p>
    <w:p>
      <w:pPr>
        <w:spacing w:after="120"/>
      </w:pPr>
      <w:r>
        <w:t>**Evidencia:** nonconformity record, root cause, remediation y validation result.</w:t>
      </w:r>
    </w:p>
    <w:p>
      <w:pPr>
        <w:pStyle w:val="Heading2"/>
      </w:pPr>
      <w:r>
        <w:t>Chapter 29 — Mejora continua</w:t>
      </w:r>
    </w:p>
    <w:p>
      <w:pPr>
        <w:spacing w:after="120"/>
      </w:pPr>
      <w:r>
        <w:t>Use tendencias de riesgo, auditorías, incidentes, métricas, feedback, cambios regulatorios/tecnológicos y lessons learned para priorizar mejoras.</w:t>
      </w:r>
    </w:p>
    <w:p>
      <w:pPr>
        <w:spacing w:after="120"/>
      </w:pPr>
      <w:r>
        <w:t>**Controles:** backlog, criterios de prioridad, benefit/risk assessment y governance review.</w:t>
      </w:r>
    </w:p>
    <w:p>
      <w:pPr>
        <w:spacing w:after="120"/>
      </w:pPr>
      <w:r>
        <w:t>**Evidencia:** backlog, roadmap, implementation records y outcome measures.</w:t>
      </w:r>
    </w:p>
    <w:p>
      <w:pPr>
        <w:pStyle w:val="Heading2"/>
      </w:pPr>
      <w:r>
        <w:t>Chapter 30 — Límite de mapeo regulatorio y contractual</w:t>
      </w:r>
    </w:p>
    <w:p>
      <w:pPr>
        <w:spacing w:after="120"/>
      </w:pPr>
      <w:r>
        <w:t>Mapee controles/evidencia del PIMS a leyes, regulaciones, guía, requisitos de clientes y contratos sin afirmar equivalencia. Un crosswalk es ayuda de trazabilidad, no prueba de cumplimiento automático.</w:t>
      </w:r>
    </w:p>
    <w:p>
      <w:pPr>
        <w:spacing w:after="120"/>
      </w:pPr>
      <w:r>
        <w:t>**Controles:** fuente/fecha/versión, rationale, legal review cuando aplique y non-equivalence statement.</w:t>
      </w:r>
    </w:p>
    <w:p>
      <w:pPr>
        <w:spacing w:after="120"/>
      </w:pPr>
      <w:r>
        <w:t>**Evidencia:** crosswalk register, rationale, approvals e historial.</w:t>
      </w:r>
    </w:p>
    <w:p>
      <w:pPr>
        <w:pStyle w:val="Heading2"/>
      </w:pPr>
      <w:r>
        <w:t>Chapter 31 — Certification readiness, assurance y evidence package</w:t>
      </w:r>
    </w:p>
    <w:p>
      <w:pPr>
        <w:spacing w:after="120"/>
      </w:pPr>
      <w:r>
        <w:t>Prepare evidencia controlada para readiness interno y assurance externo manteniendo el límite con certificación acreditada. Solo haga afirmaciones de certificación basadas en evidencia externa válida.</w:t>
      </w:r>
    </w:p>
    <w:p>
      <w:pPr>
        <w:spacing w:after="120"/>
      </w:pPr>
      <w:r>
        <w:t>**Controles:** evidence index, readiness review, gap closure y claim approval.</w:t>
      </w:r>
    </w:p>
    <w:p>
      <w:pPr>
        <w:spacing w:after="120"/>
      </w:pPr>
      <w:r>
        <w:t>**Evidencia:** readiness report, evidence pack, gap register y certificados válidos cuando existan.</w:t>
      </w:r>
    </w:p>
    <w:p>
      <w:pPr>
        <w:pStyle w:val="Heading2"/>
      </w:pPr>
      <w:r>
        <w:t>Chapter 32 — Reverificación de fuentes y roadmap de implementación</w:t>
      </w:r>
    </w:p>
    <w:p>
      <w:pPr>
        <w:spacing w:after="120"/>
      </w:pPr>
      <w:r>
        <w:t>Antes de cada release, confirme edición/estatus actual de ISO/IEC 27701, amendments/corrigenda relevantes, dependencias y overlays materiales. Congele identidades de fuente antes de generar candidatos y reinicie el ciclo ante cambios materiales.</w:t>
      </w:r>
    </w:p>
    <w:p>
      <w:pPr>
        <w:spacing w:after="120"/>
      </w:pPr>
      <w:r>
        <w:t>**Controles:** source verification, release checklist, source freeze, change triggers y predecessor check.</w:t>
      </w:r>
    </w:p>
    <w:p>
      <w:pPr>
        <w:spacing w:after="120"/>
      </w:pPr>
      <w:r>
        <w:t>**Evidencia:** source-state record, checklist, provenance manifest, QA results y publication approval.</w:t>
      </w:r>
    </w:p>
    <w:p>
      <w:pPr>
        <w:pStyle w:val="Heading2"/>
      </w:pPr>
      <w:r>
        <w:t>Declaración controlada de release</w:t>
      </w:r>
    </w:p>
    <w:p>
      <w:pPr>
        <w:spacing w:after="120"/>
      </w:pPr>
      <w:r>
        <w:t>Este manual es guía de implementación original. No es una publicación de ISO, no es una traducción autorizada por ISO y no confiere por sí solo certificación ni cumplimiento legal. Las conclusiones jurídicas deben ser realizadas por profesionales autorizados conforme a los hechos y la ley vigente.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Liberation Sans" w:hAnsi="Liberation San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