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43 — ISO/IEC 27017 &amp; 27018 Cloud Security and Privacy Controlled Implementation</w:t>
      </w:r>
    </w:p>
    <w:p>
      <w:pPr>
        <w:spacing w:after="120"/>
      </w:pPr>
      <w:r>
        <w:t>**Controlled baseline:** ISO/IEC 27017:2026 Edition 2 and ISO/IEC 27018:2025 Edition 3, with ISO/IEC 27001/27002 and applicable privacy law treated as separate related layers.</w:t>
      </w:r>
    </w:p>
    <w:p>
      <w:pPr>
        <w:spacing w:after="120"/>
      </w:pPr>
      <w:r>
        <w:t>**Copyright boundary:** this manual contains project-authored summaries and implementation guidance only; it does not reproduce protected ISO control text and is not an authorized ISO translation.</w:t>
      </w:r>
    </w:p>
    <w:p>
      <w:pPr>
        <w:spacing w:after="120"/>
      </w:pPr>
      <w:r>
        <w:t>**Release rule:** reverify edition status immediately before candidate freeze.</w:t>
      </w:r>
    </w:p>
    <w:p>
      <w:pPr>
        <w:pStyle w:val="Heading2"/>
      </w:pPr>
      <w:r>
        <w:t>Chapter 01 — Source and copyright boundary</w:t>
      </w:r>
    </w:p>
    <w:p>
      <w:pPr>
        <w:spacing w:after="120"/>
      </w:pPr>
      <w:r>
        <w:t>Maintain authoritative edition metadata, purchased-standard access controls where applicable, project-authored summaries, copyright restrictions, citation records, and release-time version checks.</w:t>
      </w:r>
    </w:p>
    <w:p>
      <w:pPr>
        <w:pStyle w:val="Heading2"/>
      </w:pPr>
      <w:r>
        <w:t>Chapter 02 — Scope and standard relationships</w:t>
      </w:r>
    </w:p>
    <w:p>
      <w:pPr>
        <w:spacing w:after="120"/>
      </w:pPr>
      <w:r>
        <w:t>Define the scope of ISO/IEC 27017 cloud security guidance and ISO/IEC 27018 public-cloud PII processing guidance, and document their relationship to ISO/IEC 27001, 27002, 27701, contracts, and law.</w:t>
      </w:r>
    </w:p>
    <w:p>
      <w:pPr>
        <w:pStyle w:val="Heading2"/>
      </w:pPr>
      <w:r>
        <w:t>Chapter 03 — Cloud service models</w:t>
      </w:r>
    </w:p>
    <w:p>
      <w:pPr>
        <w:spacing w:after="120"/>
      </w:pPr>
      <w:r>
        <w:t>Classify IaaS, PaaS, SaaS and related managed-service models, documenting which responsibilities remain with provider, customer, tenant administrators, integrators, and subprocessors.</w:t>
      </w:r>
    </w:p>
    <w:p>
      <w:pPr>
        <w:pStyle w:val="Heading2"/>
      </w:pPr>
      <w:r>
        <w:t>Chapter 04 — Customer and provider accountability</w:t>
      </w:r>
    </w:p>
    <w:p>
      <w:pPr>
        <w:spacing w:after="120"/>
      </w:pPr>
      <w:r>
        <w:t>Assign accountable owners for security, privacy, service management, architecture, incident response, vendor oversight, evidence, and contractual obligations on both sides of the service relationship.</w:t>
      </w:r>
    </w:p>
    <w:p>
      <w:pPr>
        <w:pStyle w:val="Heading2"/>
      </w:pPr>
      <w:r>
        <w:t>Chapter 05 — Shared responsibility</w:t>
      </w:r>
    </w:p>
    <w:p>
      <w:pPr>
        <w:spacing w:after="120"/>
      </w:pPr>
      <w:r>
        <w:t>Create service-specific responsibility matrices that map control ownership, configuration duties, evidence sources, dependencies, exceptions, escalation paths, and verification frequency.</w:t>
      </w:r>
    </w:p>
    <w:p>
      <w:pPr>
        <w:pStyle w:val="Heading2"/>
      </w:pPr>
      <w:r>
        <w:t>Chapter 06 — Information-security governance</w:t>
      </w:r>
    </w:p>
    <w:p>
      <w:pPr>
        <w:spacing w:after="120"/>
      </w:pPr>
      <w:r>
        <w:t>Integrate cloud risks into policy, risk assessment, control design, change management, assurance, management review, corrective action, and continual improvement.</w:t>
      </w:r>
    </w:p>
    <w:p>
      <w:pPr>
        <w:pStyle w:val="Heading2"/>
      </w:pPr>
      <w:r>
        <w:t>Chapter 07 — Asset and configuration governance</w:t>
      </w:r>
    </w:p>
    <w:p>
      <w:pPr>
        <w:spacing w:after="120"/>
      </w:pPr>
      <w:r>
        <w:t>Inventory cloud accounts, subscriptions, projects, workloads, data stores, images, secrets, configurations, regions, dependencies, and owners; maintain approved secure baselines and drift monitoring.</w:t>
      </w:r>
    </w:p>
    <w:p>
      <w:pPr>
        <w:pStyle w:val="Heading2"/>
      </w:pPr>
      <w:r>
        <w:t>Chapter 08 — Identity and access</w:t>
      </w:r>
    </w:p>
    <w:p>
      <w:pPr>
        <w:spacing w:after="120"/>
      </w:pPr>
      <w:r>
        <w:t>Govern identity federation, account lifecycle, authentication, authorization, service identities, conditional access, segregation, periodic review, and evidence of revocation.</w:t>
      </w:r>
    </w:p>
    <w:p>
      <w:pPr>
        <w:pStyle w:val="Heading2"/>
      </w:pPr>
      <w:r>
        <w:t>Chapter 09 — Privileged cloud administration</w:t>
      </w:r>
    </w:p>
    <w:p>
      <w:pPr>
        <w:spacing w:after="120"/>
      </w:pPr>
      <w:r>
        <w:t>Protect administrative roles through least privilege, strong authentication, privileged access workflows, just-in-time elevation, logging, break-glass controls, review, and separation of duties.</w:t>
      </w:r>
    </w:p>
    <w:p>
      <w:pPr>
        <w:pStyle w:val="Heading2"/>
      </w:pPr>
      <w:r>
        <w:t>Chapter 10 — Virtualized and shared environments</w:t>
      </w:r>
    </w:p>
    <w:p>
      <w:pPr>
        <w:spacing w:after="120"/>
      </w:pPr>
      <w:r>
        <w:t>Assess isolation, multi-tenancy, hypervisor or container boundaries, shared services, noisy-neighbor risks, metadata services, tenant separation, and provider assurance evidence.</w:t>
      </w:r>
    </w:p>
    <w:p>
      <w:pPr>
        <w:pStyle w:val="Heading2"/>
      </w:pPr>
      <w:r>
        <w:t>Chapter 11 — Administrative operations</w:t>
      </w:r>
    </w:p>
    <w:p>
      <w:pPr>
        <w:spacing w:after="120"/>
      </w:pPr>
      <w:r>
        <w:t>Control provider and customer operational procedures, maintenance, support access, automation, consoles, emergency changes, remote administration, and operational evidence.</w:t>
      </w:r>
    </w:p>
    <w:p>
      <w:pPr>
        <w:pStyle w:val="Heading2"/>
      </w:pPr>
      <w:r>
        <w:t>Chapter 12 — Network and cloud architecture</w:t>
      </w:r>
    </w:p>
    <w:p>
      <w:pPr>
        <w:spacing w:after="120"/>
      </w:pPr>
      <w:r>
        <w:t>Design segmentation, ingress/egress control, private connectivity, gateways, service endpoints, DNS, firewalls, load balancers, exposure management, and architecture review.</w:t>
      </w:r>
    </w:p>
    <w:p>
      <w:pPr>
        <w:pStyle w:val="Heading2"/>
      </w:pPr>
      <w:r>
        <w:t>Chapter 13 — Logging and monitoring</w:t>
      </w:r>
    </w:p>
    <w:p>
      <w:pPr>
        <w:spacing w:after="120"/>
      </w:pPr>
      <w:r>
        <w:t>Define required cloud audit logs, workload telemetry, administrative events, security alerts, retention, time synchronization, integrity, centralized analysis, and investigation access.</w:t>
      </w:r>
    </w:p>
    <w:p>
      <w:pPr>
        <w:pStyle w:val="Heading2"/>
      </w:pPr>
      <w:r>
        <w:t>Chapter 14 — Cryptography and key management</w:t>
      </w:r>
    </w:p>
    <w:p>
      <w:pPr>
        <w:spacing w:after="120"/>
      </w:pPr>
      <w:r>
        <w:t>Define encryption requirements, key ownership, provider-managed versus customer-managed keys, rotation, backup, access, revocation, HSM use, secrets handling, and evidence.</w:t>
      </w:r>
    </w:p>
    <w:p>
      <w:pPr>
        <w:pStyle w:val="Heading2"/>
      </w:pPr>
      <w:r>
        <w:t>Chapter 15 — Vulnerability and configuration management</w:t>
      </w:r>
    </w:p>
    <w:p>
      <w:pPr>
        <w:spacing w:after="120"/>
      </w:pPr>
      <w:r>
        <w:t>Manage images, hosts, containers, services, dependencies, patches, configuration findings, remediation SLAs, exceptions, compensating controls, and continuous posture monitoring.</w:t>
      </w:r>
    </w:p>
    <w:p>
      <w:pPr>
        <w:pStyle w:val="Heading2"/>
      </w:pPr>
      <w:r>
        <w:t>Chapter 16 — Incident management</w:t>
      </w:r>
    </w:p>
    <w:p>
      <w:pPr>
        <w:spacing w:after="120"/>
      </w:pPr>
      <w:r>
        <w:t>Define provider/customer incident roles, detection, triage, evidence access, communications, containment, legal/privacy assessment, notification support, lessons learned, and corrective action.</w:t>
      </w:r>
    </w:p>
    <w:p>
      <w:pPr>
        <w:pStyle w:val="Heading2"/>
      </w:pPr>
      <w:r>
        <w:t>Chapter 17 — Resilience and availability</w:t>
      </w:r>
    </w:p>
    <w:p>
      <w:pPr>
        <w:spacing w:after="120"/>
      </w:pPr>
      <w:r>
        <w:t>Set resilience objectives, region/zone architecture, backups, recovery, capacity, dependency mapping, service continuity, testing, provider outage procedures, and evidence of recovery exercises.</w:t>
      </w:r>
    </w:p>
    <w:p>
      <w:pPr>
        <w:pStyle w:val="Heading2"/>
      </w:pPr>
      <w:r>
        <w:t>Chapter 18 — Portability and interoperability</w:t>
      </w:r>
    </w:p>
    <w:p>
      <w:pPr>
        <w:spacing w:after="120"/>
      </w:pPr>
      <w:r>
        <w:t>Plan export formats, interfaces, dependencies, identity migration, data extraction, configuration transfer, lock-in risks, testing, exit criteria, and contractual support.</w:t>
      </w:r>
    </w:p>
    <w:p>
      <w:pPr>
        <w:pStyle w:val="Heading2"/>
      </w:pPr>
      <w:r>
        <w:t>Chapter 19 — Secure deletion and return</w:t>
      </w:r>
    </w:p>
    <w:p>
      <w:pPr>
        <w:spacing w:after="120"/>
      </w:pPr>
      <w:r>
        <w:t>Define return, deletion, cryptographic erasure, residual copies, backups, media handling, tenant termination, provider attestations, exceptions, and verification evidence.</w:t>
      </w:r>
    </w:p>
    <w:p>
      <w:pPr>
        <w:pStyle w:val="Heading2"/>
      </w:pPr>
      <w:r>
        <w:t>Chapter 20 — Supplier and subprocessor governance</w:t>
      </w:r>
    </w:p>
    <w:p>
      <w:pPr>
        <w:spacing w:after="120"/>
      </w:pPr>
      <w:r>
        <w:t>Inventory providers and subprocessors, assess security/privacy capability, contract requirements, location, changes, incidents, audit rights, assurance reports, remediation, and termination.</w:t>
      </w:r>
    </w:p>
    <w:p>
      <w:pPr>
        <w:pStyle w:val="Heading2"/>
      </w:pPr>
      <w:r>
        <w:t>Chapter 21 — Public-cloud PII processor scope</w:t>
      </w:r>
    </w:p>
    <w:p>
      <w:pPr>
        <w:spacing w:after="120"/>
      </w:pPr>
      <w:r>
        <w:t>Determine when the relevant service acts in a public-cloud PII processor role and document instructions, responsibilities, data categories, processing purposes, and legal overlays without overstating ISO guidance as law.</w:t>
      </w:r>
    </w:p>
    <w:p>
      <w:pPr>
        <w:pStyle w:val="Heading2"/>
      </w:pPr>
      <w:r>
        <w:t>Chapter 22 — Customer instructions and purpose limits</w:t>
      </w:r>
    </w:p>
    <w:p>
      <w:pPr>
        <w:spacing w:after="120"/>
      </w:pPr>
      <w:r>
        <w:t>Document authorized processing instructions, permitted purposes, prohibited secondary use, change control, support access, deletion, retention, and evidence of provider adherence.</w:t>
      </w:r>
    </w:p>
    <w:p>
      <w:pPr>
        <w:pStyle w:val="Heading2"/>
      </w:pPr>
      <w:r>
        <w:t>Chapter 23 — Disclosure and transparency</w:t>
      </w:r>
    </w:p>
    <w:p>
      <w:pPr>
        <w:spacing w:after="120"/>
      </w:pPr>
      <w:r>
        <w:t>Maintain transparency about provider identity, subprocessors, locations, security/privacy capabilities, disclosure processes, service changes, and material risks relevant to customers.</w:t>
      </w:r>
    </w:p>
    <w:p>
      <w:pPr>
        <w:pStyle w:val="Heading2"/>
      </w:pPr>
      <w:r>
        <w:t>Chapter 24 — Breach support</w:t>
      </w:r>
    </w:p>
    <w:p>
      <w:pPr>
        <w:spacing w:after="120"/>
      </w:pPr>
      <w:r>
        <w:t>Define provider obligations to detect and communicate relevant events, preserve evidence, support customer risk assessment and notification, coordinate subprocessors, and document remediation.</w:t>
      </w:r>
    </w:p>
    <w:p>
      <w:pPr>
        <w:pStyle w:val="Heading2"/>
      </w:pPr>
      <w:r>
        <w:t>Chapter 25 — Data location and transfer considerations</w:t>
      </w:r>
    </w:p>
    <w:p>
      <w:pPr>
        <w:spacing w:after="120"/>
      </w:pPr>
      <w:r>
        <w:t>Track storage, replication, support access, remote administration, subprocessors, transfer mechanisms, localization requirements, contractual safeguards, and jurisdiction-specific risk decisions.</w:t>
      </w:r>
    </w:p>
    <w:p>
      <w:pPr>
        <w:pStyle w:val="Heading2"/>
      </w:pPr>
      <w:r>
        <w:t>Chapter 26 — Contractual controls</w:t>
      </w:r>
    </w:p>
    <w:p>
      <w:pPr>
        <w:spacing w:after="120"/>
      </w:pPr>
      <w:r>
        <w:t>Translate cloud security/privacy responsibilities into service agreements, DPAs, security schedules, SLAs, incident clauses, audit rights, subprocessor terms, deletion, exit, and evidence commitments.</w:t>
      </w:r>
    </w:p>
    <w:p>
      <w:pPr>
        <w:pStyle w:val="Heading2"/>
      </w:pPr>
      <w:r>
        <w:t>Chapter 27 — Evidence and auditability</w:t>
      </w:r>
    </w:p>
    <w:p>
      <w:pPr>
        <w:spacing w:after="120"/>
      </w:pPr>
      <w:r>
        <w:t>Define evidence for responsibility assignments, configurations, access, logs, incidents, supplier controls, deletion, resilience, privacy instructions, testing, and corrective actions; preserve traceability.</w:t>
      </w:r>
    </w:p>
    <w:p>
      <w:pPr>
        <w:pStyle w:val="Heading2"/>
      </w:pPr>
      <w:r>
        <w:t>Chapter 28 — Risk treatment</w:t>
      </w:r>
    </w:p>
    <w:p>
      <w:pPr>
        <w:spacing w:after="120"/>
      </w:pPr>
      <w:r>
        <w:t>Assess cloud-specific threats, shared-control failures, provider dependencies, concentration, misconfiguration, data exposure, privacy risks, resilience, and exit constraints; track treatment and acceptance.</w:t>
      </w:r>
    </w:p>
    <w:p>
      <w:pPr>
        <w:pStyle w:val="Heading2"/>
      </w:pPr>
      <w:r>
        <w:t>Chapter 29 — Crosswalks to 27001, 27002, and 27701</w:t>
      </w:r>
    </w:p>
    <w:p>
      <w:pPr>
        <w:spacing w:after="120"/>
      </w:pPr>
      <w:r>
        <w:t>Use project-authored crosswalks as implementation aids only. Document scope assumptions, non-equivalence, edition differences, and evidence mappings without reproducing protected standard text.</w:t>
      </w:r>
    </w:p>
    <w:p>
      <w:pPr>
        <w:pStyle w:val="Heading2"/>
      </w:pPr>
      <w:r>
        <w:t>Chapter 30 — Metrics and assurance limitations</w:t>
      </w:r>
    </w:p>
    <w:p>
      <w:pPr>
        <w:spacing w:after="120"/>
      </w:pPr>
      <w:r>
        <w:t>Track cloud posture findings, privileged access, incident support, supplier issues, recovery tests, deletion evidence, privacy exceptions, remediation aging, and assurance coverage while stating evidence limitations.</w:t>
      </w:r>
    </w:p>
    <w:p>
      <w:pPr>
        <w:pStyle w:val="Heading2"/>
      </w:pPr>
      <w:r>
        <w:t>Chapter 31 — Localization, provenance, and copyright control</w:t>
      </w:r>
    </w:p>
    <w:p>
      <w:pPr>
        <w:spacing w:after="120"/>
      </w:pPr>
      <w:r>
        <w:t>Freeze EN/es-419/pt-BR project editions, preserve the non-authorized-translation notice, bind DOCX/PDF candidates to SHA-256, and retain source-version, structure, parity, accessibility, render, workflow-security, and staging evidence.</w:t>
      </w:r>
    </w:p>
    <w:p>
      <w:pPr>
        <w:pStyle w:val="Heading2"/>
      </w:pPr>
      <w:r>
        <w:t>Chapter 32 — Edition-status reverification and release governance</w:t>
      </w:r>
    </w:p>
    <w:p>
      <w:pPr>
        <w:spacing w:after="120"/>
      </w:pPr>
      <w:r>
        <w:t>Immediately before publication, reverify ISO/IEC 27017 and 27018 edition status and related-standard dependencies. Confirm predecessor Manual 42 publication, exact artifact identity, clean staged-head QA, copyright boundary, and registry reconciliation before release.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