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43 — Implementação Controlada de Segurança e Privacidade em Nuvem ISO/IEC 27017 e 27018</w:t>
      </w:r>
    </w:p>
    <w:p>
      <w:pPr>
        <w:spacing w:after="120"/>
      </w:pPr>
      <w:r>
        <w:t>**Linha de base:** ISO/IEC 27017:2026 Edição 2 e ISO/IEC 27018:2025 Edição 3. **Limite de copyright:** orientação original do projeto; não reproduz texto protegido e não é tradução autorizada da ISO.</w:t>
      </w:r>
    </w:p>
    <w:p>
      <w:pPr>
        <w:pStyle w:val="Heading2"/>
      </w:pPr>
      <w:r>
        <w:t>Chapter 01 — Fontes e limite de copyright</w:t>
      </w:r>
    </w:p>
    <w:p>
      <w:pPr>
        <w:spacing w:after="120"/>
      </w:pPr>
      <w:r>
        <w:t>Mantenha edições, acesso autorizado, resumos próprios, restrições, citações e reverificação antes da liberação.</w:t>
      </w:r>
    </w:p>
    <w:p>
      <w:pPr>
        <w:pStyle w:val="Heading2"/>
      </w:pPr>
      <w:r>
        <w:t>Chapter 02 — Escopo e relações entre normas</w:t>
      </w:r>
    </w:p>
    <w:p>
      <w:pPr>
        <w:spacing w:after="120"/>
      </w:pPr>
      <w:r>
        <w:t>Delimite 27017, 27018 e relações com 27001, 27002, 27701, contratos e legislação.</w:t>
      </w:r>
    </w:p>
    <w:p>
      <w:pPr>
        <w:pStyle w:val="Heading2"/>
      </w:pPr>
      <w:r>
        <w:t>Chapter 03 — Modelos de serviço em nuvem</w:t>
      </w:r>
    </w:p>
    <w:p>
      <w:pPr>
        <w:spacing w:after="120"/>
      </w:pPr>
      <w:r>
        <w:t>Classifique IaaS, PaaS, SaaS e serviços gerenciados; atribua responsabilidades por modelo.</w:t>
      </w:r>
    </w:p>
    <w:p>
      <w:pPr>
        <w:pStyle w:val="Heading2"/>
      </w:pPr>
      <w:r>
        <w:t>Chapter 04 — Responsabilidade cliente-provedor</w:t>
      </w:r>
    </w:p>
    <w:p>
      <w:pPr>
        <w:spacing w:after="120"/>
      </w:pPr>
      <w:r>
        <w:t>Defina proprietários de segurança, privacidade, arquitetura, incidentes, fornecedores e evidências.</w:t>
      </w:r>
    </w:p>
    <w:p>
      <w:pPr>
        <w:pStyle w:val="Heading2"/>
      </w:pPr>
      <w:r>
        <w:t>Chapter 05 — Responsabilidade compartilhada</w:t>
      </w:r>
    </w:p>
    <w:p>
      <w:pPr>
        <w:spacing w:after="120"/>
      </w:pPr>
      <w:r>
        <w:t>Mantenha matrizes por serviço com propriedade, configuração, evidências, dependências e exceções.</w:t>
      </w:r>
    </w:p>
    <w:p>
      <w:pPr>
        <w:pStyle w:val="Heading2"/>
      </w:pPr>
      <w:r>
        <w:t>Chapter 06 — Governança de segurança da informação</w:t>
      </w:r>
    </w:p>
    <w:p>
      <w:pPr>
        <w:spacing w:after="120"/>
      </w:pPr>
      <w:r>
        <w:t>Integre riscos de nuvem a políticas, avaliação, tratamento, mudanças, garantia e análise crítica.</w:t>
      </w:r>
    </w:p>
    <w:p>
      <w:pPr>
        <w:pStyle w:val="Heading2"/>
      </w:pPr>
      <w:r>
        <w:t>Chapter 07 — Ativos e configuração</w:t>
      </w:r>
    </w:p>
    <w:p>
      <w:pPr>
        <w:spacing w:after="120"/>
      </w:pPr>
      <w:r>
        <w:t>Inventarie contas, cargas, dados, imagens, segredos, regiões, dependências e configurações aprovadas.</w:t>
      </w:r>
    </w:p>
    <w:p>
      <w:pPr>
        <w:pStyle w:val="Heading2"/>
      </w:pPr>
      <w:r>
        <w:t>Chapter 08 — Identidade e acesso</w:t>
      </w:r>
    </w:p>
    <w:p>
      <w:pPr>
        <w:spacing w:after="120"/>
      </w:pPr>
      <w:r>
        <w:t>Governe federação, ciclo de contas, autenticação, autorização, identidades de serviço e revisões.</w:t>
      </w:r>
    </w:p>
    <w:p>
      <w:pPr>
        <w:pStyle w:val="Heading2"/>
      </w:pPr>
      <w:r>
        <w:t>Chapter 09 — Administração privilegiada</w:t>
      </w:r>
    </w:p>
    <w:p>
      <w:pPr>
        <w:spacing w:after="120"/>
      </w:pPr>
      <w:r>
        <w:t>Aplique menor privilégio, MFA, elevação temporária, registros, contas emergenciais e segregação.</w:t>
      </w:r>
    </w:p>
    <w:p>
      <w:pPr>
        <w:pStyle w:val="Heading2"/>
      </w:pPr>
      <w:r>
        <w:t>Chapter 10 — Ambientes virtualizados e compartilhados</w:t>
      </w:r>
    </w:p>
    <w:p>
      <w:pPr>
        <w:spacing w:after="120"/>
      </w:pPr>
      <w:r>
        <w:t>Avalie isolamento, multitenancy, contêineres, hipervisores, serviços compartilhados e evidências do provedor.</w:t>
      </w:r>
    </w:p>
    <w:p>
      <w:pPr>
        <w:pStyle w:val="Heading2"/>
      </w:pPr>
      <w:r>
        <w:t>Chapter 11 — Operações administrativas</w:t>
      </w:r>
    </w:p>
    <w:p>
      <w:pPr>
        <w:spacing w:after="120"/>
      </w:pPr>
      <w:r>
        <w:t>Controle manutenção, suporte, automação, consoles, mudanças emergenciais e acesso remoto.</w:t>
      </w:r>
    </w:p>
    <w:p>
      <w:pPr>
        <w:pStyle w:val="Heading2"/>
      </w:pPr>
      <w:r>
        <w:t>Chapter 12 — Arquitetura de rede e nuvem</w:t>
      </w:r>
    </w:p>
    <w:p>
      <w:pPr>
        <w:spacing w:after="120"/>
      </w:pPr>
      <w:r>
        <w:t>Projete segmentação, entrada/saída, conectividade privada, endpoints, DNS, firewalls e revisão de exposição.</w:t>
      </w:r>
    </w:p>
    <w:p>
      <w:pPr>
        <w:pStyle w:val="Heading2"/>
      </w:pPr>
      <w:r>
        <w:t>Chapter 13 — Registro e monitoramento</w:t>
      </w:r>
    </w:p>
    <w:p>
      <w:pPr>
        <w:spacing w:after="120"/>
      </w:pPr>
      <w:r>
        <w:t>Defina logs, telemetria, alertas, retenção, sincronização, integridade, centralização e investigação.</w:t>
      </w:r>
    </w:p>
    <w:p>
      <w:pPr>
        <w:pStyle w:val="Heading2"/>
      </w:pPr>
      <w:r>
        <w:t>Chapter 14 — Criptografia e chaves</w:t>
      </w:r>
    </w:p>
    <w:p>
      <w:pPr>
        <w:spacing w:after="120"/>
      </w:pPr>
      <w:r>
        <w:t>Defina criptografia, propriedade de chaves, rotação, backup, HSM, segredos, revogação e evidências.</w:t>
      </w:r>
    </w:p>
    <w:p>
      <w:pPr>
        <w:pStyle w:val="Heading2"/>
      </w:pPr>
      <w:r>
        <w:t>Chapter 15 — Vulnerabilidades e configuração</w:t>
      </w:r>
    </w:p>
    <w:p>
      <w:pPr>
        <w:spacing w:after="120"/>
      </w:pPr>
      <w:r>
        <w:t>Gerencie imagens, hosts, contêineres, dependências, patches, postura, SLAs e exceções.</w:t>
      </w:r>
    </w:p>
    <w:p>
      <w:pPr>
        <w:pStyle w:val="Heading2"/>
      </w:pPr>
      <w:r>
        <w:t>Chapter 16 — Gestão de incidentes</w:t>
      </w:r>
    </w:p>
    <w:p>
      <w:pPr>
        <w:spacing w:after="120"/>
      </w:pPr>
      <w:r>
        <w:t>Defina detecção, triagem, evidências, comunicações, contenção, privacidade, notificação e lições aprendidas.</w:t>
      </w:r>
    </w:p>
    <w:p>
      <w:pPr>
        <w:pStyle w:val="Heading2"/>
      </w:pPr>
      <w:r>
        <w:t>Chapter 17 — Resiliência e disponibilidade</w:t>
      </w:r>
    </w:p>
    <w:p>
      <w:pPr>
        <w:spacing w:after="120"/>
      </w:pPr>
      <w:r>
        <w:t>Estabeleça objetivos, zonas/regiões, backups, recuperação, capacidade, continuidade e testes.</w:t>
      </w:r>
    </w:p>
    <w:p>
      <w:pPr>
        <w:pStyle w:val="Heading2"/>
      </w:pPr>
      <w:r>
        <w:t>Chapter 18 — Portabilidade e interoperabilidade</w:t>
      </w:r>
    </w:p>
    <w:p>
      <w:pPr>
        <w:spacing w:after="120"/>
      </w:pPr>
      <w:r>
        <w:t>Planeje formatos, interfaces, migração, extração, dependências, lock-in, testes e saída.</w:t>
      </w:r>
    </w:p>
    <w:p>
      <w:pPr>
        <w:pStyle w:val="Heading2"/>
      </w:pPr>
      <w:r>
        <w:t>Chapter 19 — Exclusão e devolução segura</w:t>
      </w:r>
    </w:p>
    <w:p>
      <w:pPr>
        <w:spacing w:after="120"/>
      </w:pPr>
      <w:r>
        <w:t>Controle devolução, eliminação, apagamento criptográfico, cópias residuais, backups e evidências do provedor.</w:t>
      </w:r>
    </w:p>
    <w:p>
      <w:pPr>
        <w:pStyle w:val="Heading2"/>
      </w:pPr>
      <w:r>
        <w:t>Chapter 20 — Fornecedores e suboperadores</w:t>
      </w:r>
    </w:p>
    <w:p>
      <w:pPr>
        <w:spacing w:after="120"/>
      </w:pPr>
      <w:r>
        <w:t>Inventarie terceiros, contratos, localizações, mudanças, incidentes, auditoria, remediação e término.</w:t>
      </w:r>
    </w:p>
    <w:p>
      <w:pPr>
        <w:pStyle w:val="Heading2"/>
      </w:pPr>
      <w:r>
        <w:t>Chapter 21 — Escopo de operador de PII em nuvem pública</w:t>
      </w:r>
    </w:p>
    <w:p>
      <w:pPr>
        <w:spacing w:after="120"/>
      </w:pPr>
      <w:r>
        <w:t>Determine papéis e documente instruções, categorias, finalidades e camadas jurídicas sem transformar ISO em lei.</w:t>
      </w:r>
    </w:p>
    <w:p>
      <w:pPr>
        <w:pStyle w:val="Heading2"/>
      </w:pPr>
      <w:r>
        <w:t>Chapter 22 — Instruções do cliente e limites de finalidade</w:t>
      </w:r>
    </w:p>
    <w:p>
      <w:pPr>
        <w:spacing w:after="120"/>
      </w:pPr>
      <w:r>
        <w:t>Documente processamento autorizado, usos proibidos, mudanças, suporte, retenção e eliminação.</w:t>
      </w:r>
    </w:p>
    <w:p>
      <w:pPr>
        <w:pStyle w:val="Heading2"/>
      </w:pPr>
      <w:r>
        <w:t>Chapter 23 — Divulgação e transparência</w:t>
      </w:r>
    </w:p>
    <w:p>
      <w:pPr>
        <w:spacing w:after="120"/>
      </w:pPr>
      <w:r>
        <w:t>Mantenha informações sobre provedor, suboperadores, localizações, capacidades, mudanças e riscos materiais.</w:t>
      </w:r>
    </w:p>
    <w:p>
      <w:pPr>
        <w:pStyle w:val="Heading2"/>
      </w:pPr>
      <w:r>
        <w:t>Chapter 24 — Suporte a violações</w:t>
      </w:r>
    </w:p>
    <w:p>
      <w:pPr>
        <w:spacing w:after="120"/>
      </w:pPr>
      <w:r>
        <w:t>Defina detecção, comunicação, evidências, apoio à avaliação/notificação, coordenação e remediação.</w:t>
      </w:r>
    </w:p>
    <w:p>
      <w:pPr>
        <w:pStyle w:val="Heading2"/>
      </w:pPr>
      <w:r>
        <w:t>Chapter 25 — Localização e transferências de dados</w:t>
      </w:r>
    </w:p>
    <w:p>
      <w:pPr>
        <w:spacing w:after="120"/>
      </w:pPr>
      <w:r>
        <w:t>Rastreie armazenamento, replicação, suporte, acesso remoto, transferências e decisões jurisdicionais.</w:t>
      </w:r>
    </w:p>
    <w:p>
      <w:pPr>
        <w:pStyle w:val="Heading2"/>
      </w:pPr>
      <w:r>
        <w:t>Chapter 26 — Controles contratuais</w:t>
      </w:r>
    </w:p>
    <w:p>
      <w:pPr>
        <w:spacing w:after="120"/>
      </w:pPr>
      <w:r>
        <w:t>Traduza responsabilidades em contratos, DPA, SLA, incidentes, auditoria, suboperadores, exclusão e saída.</w:t>
      </w:r>
    </w:p>
    <w:p>
      <w:pPr>
        <w:pStyle w:val="Heading2"/>
      </w:pPr>
      <w:r>
        <w:t>Chapter 27 — Evidências e auditabilidade</w:t>
      </w:r>
    </w:p>
    <w:p>
      <w:pPr>
        <w:spacing w:after="120"/>
      </w:pPr>
      <w:r>
        <w:t>Defina evidências de responsabilidades, configurações, acesso, logs, incidentes, eliminação, resiliência e privacidade.</w:t>
      </w:r>
    </w:p>
    <w:p>
      <w:pPr>
        <w:pStyle w:val="Heading2"/>
      </w:pPr>
      <w:r>
        <w:t>Chapter 28 — Tratamento de riscos</w:t>
      </w:r>
    </w:p>
    <w:p>
      <w:pPr>
        <w:spacing w:after="120"/>
      </w:pPr>
      <w:r>
        <w:t>Avalie ameaças de nuvem, falhas compartilhadas, concentração, exposição, resiliência e limitações de saída.</w:t>
      </w:r>
    </w:p>
    <w:p>
      <w:pPr>
        <w:pStyle w:val="Heading2"/>
      </w:pPr>
      <w:r>
        <w:t>Chapter 29 — Crosswalks 27001, 27002 e 27701</w:t>
      </w:r>
    </w:p>
    <w:p>
      <w:pPr>
        <w:spacing w:after="120"/>
      </w:pPr>
      <w:r>
        <w:t>Use crosswalks próprios com premissas, não equivalência, diferenças de edição e mapeamentos de evidências.</w:t>
      </w:r>
    </w:p>
    <w:p>
      <w:pPr>
        <w:pStyle w:val="Heading2"/>
      </w:pPr>
      <w:r>
        <w:t>Chapter 30 — Métricas e limites de garantia</w:t>
      </w:r>
    </w:p>
    <w:p>
      <w:pPr>
        <w:spacing w:after="120"/>
      </w:pPr>
      <w:r>
        <w:t>Meça postura, privilégios, incidentes, fornecedores, recuperação, eliminação, exceções e cobertura.</w:t>
      </w:r>
    </w:p>
    <w:p>
      <w:pPr>
        <w:pStyle w:val="Heading2"/>
      </w:pPr>
      <w:r>
        <w:t>Chapter 31 — Localização, proveniência e copyright</w:t>
      </w:r>
    </w:p>
    <w:p>
      <w:pPr>
        <w:spacing w:after="120"/>
      </w:pPr>
      <w:r>
        <w:t>Congele EN/es-419/pt-BR, preserve aviso de tradução não autorizada e vincule candidatos a SHA-256.</w:t>
      </w:r>
    </w:p>
    <w:p>
      <w:pPr>
        <w:pStyle w:val="Heading2"/>
      </w:pPr>
      <w:r>
        <w:t>Chapter 32 — Reverificação de edição e liberação</w:t>
      </w:r>
    </w:p>
    <w:p>
      <w:pPr>
        <w:spacing w:after="120"/>
      </w:pPr>
      <w:r>
        <w:t>Revalide versões ISO, dependências, predecessor 42, identidade exata, QA limpa e registros antes de publicar.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