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6" w:name="information-security-policy-template"/>
    <w:p>
      <w:pPr>
        <w:pStyle w:val="Heading1"/>
      </w:pPr>
      <w:r>
        <w:t xml:space="preserve">Information Security Policy Template</w:t>
      </w:r>
    </w:p>
    <w:p>
      <w:pPr>
        <w:pStyle w:val="BlockText"/>
      </w:pPr>
      <w:r>
        <w:rPr>
          <w:bCs/>
          <w:b/>
        </w:rPr>
        <w:t xml:space="preserve">Drafting notice:</w:t>
      </w:r>
      <w:r>
        <w:t xml:space="preserve"> </w:t>
      </w:r>
      <w:r>
        <w:t xml:space="preserve">Resolve every bracketed field and obtain legal, privacy, human-resources, compliance, records, security, and accessibility review as applicable before approval.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[POLICY OWNER]</w:t>
      </w:r>
    </w:p>
    <w:p>
      <w:pPr>
        <w:numPr>
          <w:ilvl w:val="0"/>
          <w:numId w:val="1001"/>
        </w:numPr>
        <w:pStyle w:val="Compact"/>
      </w:pPr>
      <w:r>
        <w:t xml:space="preserve">Approving authority: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[VERSION]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Next review: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Classification:</w:t>
      </w:r>
      <w:r>
        <w:t xml:space="preserve"> </w:t>
      </w:r>
      <w:r>
        <w:rPr>
          <w:rStyle w:val="VerbatimChar"/>
        </w:rPr>
        <w:t xml:space="preserve">[CLASSIFICATION]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rStyle w:val="VerbatimChar"/>
        </w:rPr>
        <w:t xml:space="preserve">[ORGANIZATION]</w:t>
      </w:r>
      <w:r>
        <w:t xml:space="preserve"> </w:t>
      </w:r>
      <w:r>
        <w:t xml:space="preserve">establishes this policy to protect information, technology, services, people, and business objectives through risk-based governance and security controls.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</w:t>
      </w:r>
      <w:r>
        <w:t xml:space="preserve"> </w:t>
      </w:r>
      <w:r>
        <w:rPr>
          <w:rStyle w:val="VerbatimChar"/>
        </w:rPr>
        <w:t xml:space="preserve">[LEGAL ENTITIES, WORKFORCE, CONTRACTORS, LOCATIONS, SYSTEMS, DATA, CLOUD SERVICES, AND THIRD PARTIES]</w:t>
      </w:r>
      <w:r>
        <w:t xml:space="preserve">.</w:t>
      </w:r>
    </w:p>
    <w:bookmarkEnd w:id="22"/>
    <w:bookmarkStart w:id="23" w:name="principles"/>
    <w:p>
      <w:pPr>
        <w:pStyle w:val="Heading2"/>
      </w:pPr>
      <w:r>
        <w:t xml:space="preserve">3. Principles</w:t>
      </w:r>
    </w:p>
    <w:p>
      <w:pPr>
        <w:pStyle w:val="FirstParagraph"/>
      </w:pPr>
      <w:r>
        <w:rPr>
          <w:rStyle w:val="VerbatimChar"/>
        </w:rPr>
        <w:t xml:space="preserve">[ORGANIZATION]</w:t>
      </w:r>
      <w:r>
        <w:t xml:space="preserve"> </w:t>
      </w:r>
      <w:r>
        <w:t xml:space="preserve">must:</w:t>
      </w:r>
    </w:p>
    <w:p>
      <w:pPr>
        <w:numPr>
          <w:ilvl w:val="0"/>
          <w:numId w:val="1002"/>
        </w:numPr>
        <w:pStyle w:val="Compact"/>
      </w:pPr>
      <w:r>
        <w:t xml:space="preserve">manage information-security risk within approved risk appetite;</w:t>
      </w:r>
    </w:p>
    <w:p>
      <w:pPr>
        <w:numPr>
          <w:ilvl w:val="0"/>
          <w:numId w:val="1002"/>
        </w:numPr>
        <w:pStyle w:val="Compact"/>
      </w:pPr>
      <w:r>
        <w:t xml:space="preserve">assign accountable owners for information, systems, services, and controls;</w:t>
      </w:r>
    </w:p>
    <w:p>
      <w:pPr>
        <w:numPr>
          <w:ilvl w:val="0"/>
          <w:numId w:val="1002"/>
        </w:numPr>
        <w:pStyle w:val="Compact"/>
      </w:pPr>
      <w:r>
        <w:t xml:space="preserve">apply security throughout acquisition, design, development, operation, change, and disposal;</w:t>
      </w:r>
    </w:p>
    <w:p>
      <w:pPr>
        <w:numPr>
          <w:ilvl w:val="0"/>
          <w:numId w:val="1002"/>
        </w:numPr>
        <w:pStyle w:val="Compact"/>
      </w:pPr>
      <w:r>
        <w:t xml:space="preserve">protect confidentiality, integrity, availability, authenticity, and resilience according to risk;</w:t>
      </w:r>
    </w:p>
    <w:p>
      <w:pPr>
        <w:numPr>
          <w:ilvl w:val="0"/>
          <w:numId w:val="1002"/>
        </w:numPr>
        <w:pStyle w:val="Compact"/>
      </w:pPr>
      <w:r>
        <w:t xml:space="preserve">comply with applicable legal, regulatory, contractual, privacy, records, and customer requirements;</w:t>
      </w:r>
    </w:p>
    <w:p>
      <w:pPr>
        <w:numPr>
          <w:ilvl w:val="0"/>
          <w:numId w:val="1002"/>
        </w:numPr>
        <w:pStyle w:val="Compact"/>
      </w:pPr>
      <w:r>
        <w:t xml:space="preserve">maintain incident, continuity, recovery, supplier, vulnerability, identity, logging, and monitoring capabilities;</w:t>
      </w:r>
    </w:p>
    <w:p>
      <w:pPr>
        <w:numPr>
          <w:ilvl w:val="0"/>
          <w:numId w:val="1002"/>
        </w:numPr>
        <w:pStyle w:val="Compact"/>
      </w:pPr>
      <w:r>
        <w:t xml:space="preserve">provide role-based awareness and training;</w:t>
      </w:r>
    </w:p>
    <w:p>
      <w:pPr>
        <w:numPr>
          <w:ilvl w:val="0"/>
          <w:numId w:val="1002"/>
        </w:numPr>
        <w:pStyle w:val="Compact"/>
      </w:pPr>
      <w:r>
        <w:t xml:space="preserve">measure control performance and address deficiencies;</w:t>
      </w:r>
    </w:p>
    <w:p>
      <w:pPr>
        <w:numPr>
          <w:ilvl w:val="0"/>
          <w:numId w:val="1002"/>
        </w:numPr>
        <w:pStyle w:val="Compact"/>
      </w:pPr>
      <w:r>
        <w:t xml:space="preserve">document and approve exceptions.</w:t>
      </w:r>
    </w:p>
    <w:bookmarkEnd w:id="23"/>
    <w:bookmarkStart w:id="24" w:name="governance"/>
    <w:p>
      <w:pPr>
        <w:pStyle w:val="Heading2"/>
      </w:pPr>
      <w:r>
        <w:t xml:space="preserve">4. Governance</w:t>
      </w:r>
    </w:p>
    <w:p>
      <w:pPr>
        <w:pStyle w:val="FirstParagraph"/>
      </w:pPr>
      <w:r>
        <w:rPr>
          <w:rStyle w:val="VerbatimChar"/>
        </w:rPr>
        <w:t xml:space="preserve">[GOVERNING BODY OR EXECUTIVE]</w:t>
      </w:r>
      <w:r>
        <w:t xml:space="preserve"> </w:t>
      </w:r>
      <w:r>
        <w:t xml:space="preserve">approves security direction and risk appetite.</w:t>
      </w:r>
      <w:r>
        <w:t xml:space="preserve"> </w:t>
      </w:r>
      <w:r>
        <w:rPr>
          <w:rStyle w:val="VerbatimChar"/>
        </w:rPr>
        <w:t xml:space="preserve">[CISO OR SECURITY LEADER]</w:t>
      </w:r>
      <w:r>
        <w:t xml:space="preserve"> </w:t>
      </w:r>
      <w:r>
        <w:t xml:space="preserve">coordinates the security program. Business, data, system, process, and control owners remain accountable for risks and controls within their authority.</w:t>
      </w:r>
    </w:p>
    <w:bookmarkEnd w:id="24"/>
    <w:bookmarkStart w:id="25" w:name="risk-management"/>
    <w:p>
      <w:pPr>
        <w:pStyle w:val="Heading2"/>
      </w:pPr>
      <w:r>
        <w:t xml:space="preserve">5. Risk management</w:t>
      </w:r>
    </w:p>
    <w:p>
      <w:pPr>
        <w:pStyle w:val="FirstParagraph"/>
      </w:pPr>
      <w:r>
        <w:t xml:space="preserve">Security risks must be identified, assessed, treated, monitored, and reported using</w:t>
      </w:r>
      <w:r>
        <w:t xml:space="preserve"> </w:t>
      </w:r>
      <w:r>
        <w:rPr>
          <w:rStyle w:val="VerbatimChar"/>
        </w:rPr>
        <w:t xml:space="preserve">[RISK METHODOLOGY]</w:t>
      </w:r>
      <w:r>
        <w:t xml:space="preserve">. Risk acceptance must be approved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 </w:t>
      </w:r>
      <w:r>
        <w:t xml:space="preserve">and reviewed by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.</w:t>
      </w:r>
    </w:p>
    <w:bookmarkEnd w:id="25"/>
    <w:bookmarkStart w:id="26" w:name="asset-and-information-management"/>
    <w:p>
      <w:pPr>
        <w:pStyle w:val="Heading2"/>
      </w:pPr>
      <w:r>
        <w:t xml:space="preserve">6. Asset and information management</w:t>
      </w:r>
    </w:p>
    <w:p>
      <w:pPr>
        <w:pStyle w:val="FirstParagraph"/>
      </w:pPr>
      <w:r>
        <w:t xml:space="preserve">Information and technology assets must be inventoried, assigned owners, classified, handled, retained, and disposed of according to approved requirements.</w:t>
      </w:r>
    </w:p>
    <w:bookmarkEnd w:id="26"/>
    <w:bookmarkStart w:id="27" w:name="identity-and-access"/>
    <w:p>
      <w:pPr>
        <w:pStyle w:val="Heading2"/>
      </w:pPr>
      <w:r>
        <w:t xml:space="preserve">7. Identity and access</w:t>
      </w:r>
    </w:p>
    <w:p>
      <w:pPr>
        <w:pStyle w:val="FirstParagraph"/>
      </w:pPr>
      <w:r>
        <w:t xml:space="preserve">Access must be authorized, least-privileged, periodically reviewed, promptly changed or revoked, and protected with authentication controls proportionate to risk.</w:t>
      </w:r>
    </w:p>
    <w:bookmarkEnd w:id="27"/>
    <w:bookmarkStart w:id="28" w:name="secure-technology-lifecycle"/>
    <w:p>
      <w:pPr>
        <w:pStyle w:val="Heading2"/>
      </w:pPr>
      <w:r>
        <w:t xml:space="preserve">8. Secure technology lifecycle</w:t>
      </w:r>
    </w:p>
    <w:p>
      <w:pPr>
        <w:pStyle w:val="FirstParagraph"/>
      </w:pPr>
      <w:r>
        <w:t xml:space="preserve">Security requirements must be included in architecture, acquisition, development, configuration, testing, deployment, change, maintenance, and decommissioning.</w:t>
      </w:r>
    </w:p>
    <w:bookmarkEnd w:id="28"/>
    <w:bookmarkStart w:id="29" w:name="operations-and-resilience"/>
    <w:p>
      <w:pPr>
        <w:pStyle w:val="Heading2"/>
      </w:pPr>
      <w:r>
        <w:t xml:space="preserve">9. Operations and resilience</w:t>
      </w:r>
    </w:p>
    <w:p>
      <w:pPr>
        <w:pStyle w:val="FirstParagraph"/>
      </w:pPr>
      <w:r>
        <w:rPr>
          <w:rStyle w:val="VerbatimChar"/>
        </w:rPr>
        <w:t xml:space="preserve">[ORGANIZATION]</w:t>
      </w:r>
      <w:r>
        <w:t xml:space="preserve"> </w:t>
      </w:r>
      <w:r>
        <w:t xml:space="preserve">must maintain vulnerability management, malware protection, backup, recovery, logging, monitoring, capacity, configuration, incident response, continuity, and disaster-recovery controls proportionate to risk.</w:t>
      </w:r>
    </w:p>
    <w:bookmarkEnd w:id="29"/>
    <w:bookmarkStart w:id="30" w:name="third-parties"/>
    <w:p>
      <w:pPr>
        <w:pStyle w:val="Heading2"/>
      </w:pPr>
      <w:r>
        <w:t xml:space="preserve">10. Third parties</w:t>
      </w:r>
    </w:p>
    <w:p>
      <w:pPr>
        <w:pStyle w:val="FirstParagraph"/>
      </w:pPr>
      <w:r>
        <w:t xml:space="preserve">Security and privacy risks arising from suppliers and other third parties must be assessed, contractually addressed, monitored, and managed through termination or transition.</w:t>
      </w:r>
    </w:p>
    <w:bookmarkEnd w:id="30"/>
    <w:bookmarkStart w:id="31" w:name="reporting"/>
    <w:p>
      <w:pPr>
        <w:pStyle w:val="Heading2"/>
      </w:pPr>
      <w:r>
        <w:t xml:space="preserve">11. Reporting</w:t>
      </w:r>
    </w:p>
    <w:p>
      <w:pPr>
        <w:pStyle w:val="FirstParagraph"/>
      </w:pPr>
      <w:r>
        <w:t xml:space="preserve">Suspected security incidents, control failures, policy violations, and material risks must be reported through</w:t>
      </w:r>
      <w:r>
        <w:t xml:space="preserve"> </w:t>
      </w:r>
      <w:r>
        <w:rPr>
          <w:rStyle w:val="VerbatimChar"/>
        </w:rPr>
        <w:t xml:space="preserve">[REPORTING CHANNEL]</w:t>
      </w:r>
      <w:r>
        <w:t xml:space="preserve"> </w:t>
      </w:r>
      <w:r>
        <w:t xml:space="preserve">without retaliation where protected by law.</w:t>
      </w:r>
    </w:p>
    <w:bookmarkEnd w:id="31"/>
    <w:bookmarkStart w:id="32" w:name="exceptions"/>
    <w:p>
      <w:pPr>
        <w:pStyle w:val="Heading2"/>
      </w:pPr>
      <w:r>
        <w:t xml:space="preserve">12. Exceptions</w:t>
      </w:r>
    </w:p>
    <w:p>
      <w:pPr>
        <w:pStyle w:val="FirstParagraph"/>
      </w:pPr>
      <w:r>
        <w:t xml:space="preserve">Exceptions require documented justification, risk assessment, compensating controls, owner, expiration date, monitoring, and approval by</w:t>
      </w:r>
      <w:r>
        <w:t xml:space="preserve"> </w:t>
      </w:r>
      <w:r>
        <w:rPr>
          <w:rStyle w:val="VerbatimChar"/>
        </w:rPr>
        <w:t xml:space="preserve">[EXCEPTION AUTHORITY]</w:t>
      </w:r>
      <w:r>
        <w:t xml:space="preserve">.</w:t>
      </w:r>
    </w:p>
    <w:bookmarkEnd w:id="32"/>
    <w:bookmarkStart w:id="33" w:name="enforcement"/>
    <w:p>
      <w:pPr>
        <w:pStyle w:val="Heading2"/>
      </w:pPr>
      <w:r>
        <w:t xml:space="preserve">13. Enforcement</w:t>
      </w:r>
    </w:p>
    <w:p>
      <w:pPr>
        <w:pStyle w:val="FirstParagraph"/>
      </w:pPr>
      <w:r>
        <w:t xml:space="preserve">Violations may result in corrective, contractual, or disciplinary action consistent with applicable law, contracts, workforce rules, due process, and approved procedures.</w:t>
      </w:r>
    </w:p>
    <w:bookmarkEnd w:id="33"/>
    <w:bookmarkStart w:id="34" w:name="related-documents"/>
    <w:p>
      <w:pPr>
        <w:pStyle w:val="Heading2"/>
      </w:pPr>
      <w:r>
        <w:t xml:space="preserve">14. Related documents</w:t>
      </w:r>
    </w:p>
    <w:p>
      <w:pPr>
        <w:pStyle w:val="FirstParagraph"/>
      </w:pPr>
      <w:r>
        <w:rPr>
          <w:rStyle w:val="VerbatimChar"/>
        </w:rPr>
        <w:t xml:space="preserve">[LIST STANDARDS, PROCEDURES, PLANS, AND REGISTERS]</w:t>
      </w:r>
    </w:p>
    <w:bookmarkEnd w:id="34"/>
    <w:bookmarkStart w:id="35" w:name="review-and-approval"/>
    <w:p>
      <w:pPr>
        <w:pStyle w:val="Heading2"/>
      </w:pPr>
      <w:r>
        <w:t xml:space="preserve">15. Review and approval</w:t>
      </w:r>
    </w:p>
    <w:p>
      <w:pPr>
        <w:pStyle w:val="FirstParagraph"/>
      </w:pPr>
      <w:r>
        <w:t xml:space="preserve">This policy must be reviewed at least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 </w:t>
      </w:r>
      <w:r>
        <w:t xml:space="preserve">and after material changes. Approval records and revision history must be retained.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2026-08-01T18:34:22Z</dcterms:created>
  <dcterms:modified xsi:type="dcterms:W3CDTF">2026-08-01T18:34:22Z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