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Alberto Al Leiva</w:t>
      </w:r>
    </w:p>
    <w:bookmarkStart w:id="31" w:name="acceptable-use-policy-template"/>
    <w:p>
      <w:pPr>
        <w:pStyle w:val="Heading1"/>
      </w:pPr>
      <w:r>
        <w:t xml:space="preserve">Acceptable Use Policy Template</w:t>
      </w:r>
    </w:p>
    <w:p>
      <w:pPr>
        <w:pStyle w:val="BlockText"/>
      </w:pPr>
      <w:r>
        <w:t xml:space="preserve">Review workforce, monitoring, privacy, labor, accessibility, whistleblower, and local-law requirements before adoption.</w:t>
      </w:r>
    </w:p>
    <w:bookmarkStart w:id="20" w:name="document-control"/>
    <w:p>
      <w:pPr>
        <w:pStyle w:val="Heading2"/>
      </w:pPr>
      <w:r>
        <w:t xml:space="preserve">Document control</w:t>
      </w:r>
    </w:p>
    <w:p>
      <w:pPr>
        <w:numPr>
          <w:ilvl w:val="0"/>
          <w:numId w:val="1001"/>
        </w:numPr>
        <w:pStyle w:val="Compact"/>
      </w:pPr>
      <w:r>
        <w:t xml:space="preserve">Policy ID:</w:t>
      </w:r>
      <w:r>
        <w:t xml:space="preserve"> </w:t>
      </w:r>
      <w:r>
        <w:rPr>
          <w:rStyle w:val="VerbatimChar"/>
        </w:rPr>
        <w:t xml:space="preserve">[POLICY ID]</w:t>
      </w:r>
    </w:p>
    <w:p>
      <w:pPr>
        <w:numPr>
          <w:ilvl w:val="0"/>
          <w:numId w:val="1001"/>
        </w:numPr>
        <w:pStyle w:val="Compact"/>
      </w:pPr>
      <w:r>
        <w:t xml:space="preserve">Owner:</w:t>
      </w:r>
      <w:r>
        <w:t xml:space="preserve"> </w:t>
      </w:r>
      <w:r>
        <w:rPr>
          <w:rStyle w:val="VerbatimChar"/>
        </w:rPr>
        <w:t xml:space="preserve">[POLICY OWNER]</w:t>
      </w:r>
    </w:p>
    <w:p>
      <w:pPr>
        <w:numPr>
          <w:ilvl w:val="0"/>
          <w:numId w:val="1001"/>
        </w:numPr>
        <w:pStyle w:val="Compact"/>
      </w:pPr>
      <w:r>
        <w:t xml:space="preserve">Approver:</w:t>
      </w:r>
      <w:r>
        <w:t xml:space="preserve"> </w:t>
      </w:r>
      <w:r>
        <w:rPr>
          <w:rStyle w:val="VerbatimChar"/>
        </w:rPr>
        <w:t xml:space="preserve">[APPROVING AUTHORITY]</w:t>
      </w:r>
    </w:p>
    <w:p>
      <w:pPr>
        <w:numPr>
          <w:ilvl w:val="0"/>
          <w:numId w:val="1001"/>
        </w:numPr>
        <w:pStyle w:val="Compact"/>
      </w:pPr>
      <w:r>
        <w:t xml:space="preserve">Effective date:</w:t>
      </w:r>
      <w:r>
        <w:t xml:space="preserve"> </w:t>
      </w:r>
      <w:r>
        <w:rPr>
          <w:rStyle w:val="VerbatimChar"/>
        </w:rPr>
        <w:t xml:space="preserve">[DATE]</w:t>
      </w:r>
    </w:p>
    <w:p>
      <w:pPr>
        <w:numPr>
          <w:ilvl w:val="0"/>
          <w:numId w:val="1001"/>
        </w:numPr>
        <w:pStyle w:val="Compact"/>
      </w:pPr>
      <w:r>
        <w:t xml:space="preserve">Review date:</w:t>
      </w:r>
      <w:r>
        <w:t xml:space="preserve"> </w:t>
      </w:r>
      <w:r>
        <w:rPr>
          <w:rStyle w:val="VerbatimChar"/>
        </w:rPr>
        <w:t xml:space="preserve">[DATE]</w:t>
      </w:r>
    </w:p>
    <w:bookmarkEnd w:id="20"/>
    <w:bookmarkStart w:id="21" w:name="purpose"/>
    <w:p>
      <w:pPr>
        <w:pStyle w:val="Heading2"/>
      </w:pPr>
      <w:r>
        <w:t xml:space="preserve">1. Purpose</w:t>
      </w:r>
    </w:p>
    <w:p>
      <w:pPr>
        <w:pStyle w:val="FirstParagraph"/>
      </w:pPr>
      <w:r>
        <w:t xml:space="preserve">This policy defines acceptable and prohibited use of</w:t>
      </w:r>
      <w:r>
        <w:t xml:space="preserve"> </w:t>
      </w:r>
      <w:r>
        <w:rPr>
          <w:rStyle w:val="VerbatimChar"/>
        </w:rPr>
        <w:t xml:space="preserve">[ORGANIZATION]</w:t>
      </w:r>
      <w:r>
        <w:t xml:space="preserve"> </w:t>
      </w:r>
      <w:r>
        <w:t xml:space="preserve">information, technology, communications, accounts, networks, devices, facilities, and services.</w:t>
      </w:r>
    </w:p>
    <w:bookmarkEnd w:id="21"/>
    <w:bookmarkStart w:id="22" w:name="scope"/>
    <w:p>
      <w:pPr>
        <w:pStyle w:val="Heading2"/>
      </w:pPr>
      <w:r>
        <w:t xml:space="preserve">2. Scope</w:t>
      </w:r>
    </w:p>
    <w:p>
      <w:pPr>
        <w:pStyle w:val="FirstParagraph"/>
      </w:pPr>
      <w:r>
        <w:t xml:space="preserve">Applies to</w:t>
      </w:r>
      <w:r>
        <w:t xml:space="preserve"> </w:t>
      </w:r>
      <w:r>
        <w:rPr>
          <w:rStyle w:val="VerbatimChar"/>
        </w:rPr>
        <w:t xml:space="preserve">[WORKFORCE, CONTRACTORS, TEMPORARY PERSONNEL, VOLUNTEERS, THIRD PARTIES, DEVICES, NETWORKS, CLOUD SERVICES, AND PERSONALLY OWNED DEVICES WHEN AUTHORIZED]</w:t>
      </w:r>
      <w:r>
        <w:t xml:space="preserve">.</w:t>
      </w:r>
    </w:p>
    <w:bookmarkEnd w:id="22"/>
    <w:bookmarkStart w:id="23" w:name="general-responsibilities"/>
    <w:p>
      <w:pPr>
        <w:pStyle w:val="Heading2"/>
      </w:pPr>
      <w:r>
        <w:t xml:space="preserve">3. General responsibilities</w:t>
      </w:r>
    </w:p>
    <w:p>
      <w:pPr>
        <w:pStyle w:val="FirstParagraph"/>
      </w:pPr>
      <w:r>
        <w:t xml:space="preserve">Users must:</w:t>
      </w:r>
    </w:p>
    <w:p>
      <w:pPr>
        <w:numPr>
          <w:ilvl w:val="0"/>
          <w:numId w:val="1002"/>
        </w:numPr>
        <w:pStyle w:val="Compact"/>
      </w:pPr>
      <w:r>
        <w:t xml:space="preserve">use resources primarily for authorized purposes;</w:t>
      </w:r>
    </w:p>
    <w:p>
      <w:pPr>
        <w:numPr>
          <w:ilvl w:val="0"/>
          <w:numId w:val="1002"/>
        </w:numPr>
        <w:pStyle w:val="Compact"/>
      </w:pPr>
      <w:r>
        <w:t xml:space="preserve">protect credentials, devices, information, and physical access;</w:t>
      </w:r>
    </w:p>
    <w:p>
      <w:pPr>
        <w:numPr>
          <w:ilvl w:val="0"/>
          <w:numId w:val="1002"/>
        </w:numPr>
        <w:pStyle w:val="Compact"/>
      </w:pPr>
      <w:r>
        <w:t xml:space="preserve">follow classification, handling, retention, privacy, and records requirements;</w:t>
      </w:r>
    </w:p>
    <w:p>
      <w:pPr>
        <w:numPr>
          <w:ilvl w:val="0"/>
          <w:numId w:val="1002"/>
        </w:numPr>
        <w:pStyle w:val="Compact"/>
      </w:pPr>
      <w:r>
        <w:t xml:space="preserve">promptly report loss, suspected compromise, prohibited content, incidents, or control failure;</w:t>
      </w:r>
    </w:p>
    <w:p>
      <w:pPr>
        <w:numPr>
          <w:ilvl w:val="0"/>
          <w:numId w:val="1002"/>
        </w:numPr>
        <w:pStyle w:val="Compact"/>
      </w:pPr>
      <w:r>
        <w:t xml:space="preserve">comply with licenses, intellectual-property rights, contracts, and applicable law;</w:t>
      </w:r>
    </w:p>
    <w:p>
      <w:pPr>
        <w:numPr>
          <w:ilvl w:val="0"/>
          <w:numId w:val="1002"/>
        </w:numPr>
        <w:pStyle w:val="Compact"/>
      </w:pPr>
      <w:r>
        <w:t xml:space="preserve">avoid actions that create unreasonable security, operational, legal, or reputational risk.</w:t>
      </w:r>
    </w:p>
    <w:bookmarkEnd w:id="23"/>
    <w:bookmarkStart w:id="24" w:name="prohibited-activities"/>
    <w:p>
      <w:pPr>
        <w:pStyle w:val="Heading2"/>
      </w:pPr>
      <w:r>
        <w:t xml:space="preserve">4. Prohibited activities</w:t>
      </w:r>
    </w:p>
    <w:p>
      <w:pPr>
        <w:pStyle w:val="FirstParagraph"/>
      </w:pPr>
      <w:r>
        <w:t xml:space="preserve">Unless expressly authorized for legitimate duties, users must not:</w:t>
      </w:r>
    </w:p>
    <w:p>
      <w:pPr>
        <w:numPr>
          <w:ilvl w:val="0"/>
          <w:numId w:val="1003"/>
        </w:numPr>
        <w:pStyle w:val="Compact"/>
      </w:pPr>
      <w:r>
        <w:t xml:space="preserve">access, alter, disclose, copy, or destroy information without authorization;</w:t>
      </w:r>
    </w:p>
    <w:p>
      <w:pPr>
        <w:numPr>
          <w:ilvl w:val="0"/>
          <w:numId w:val="1003"/>
        </w:numPr>
        <w:pStyle w:val="Compact"/>
      </w:pPr>
      <w:r>
        <w:t xml:space="preserve">bypass security, monitoring, access, or licensing controls;</w:t>
      </w:r>
    </w:p>
    <w:p>
      <w:pPr>
        <w:numPr>
          <w:ilvl w:val="0"/>
          <w:numId w:val="1003"/>
        </w:numPr>
        <w:pStyle w:val="Compact"/>
      </w:pPr>
      <w:r>
        <w:t xml:space="preserve">install unapproved software, services, extensions, or devices;</w:t>
      </w:r>
    </w:p>
    <w:p>
      <w:pPr>
        <w:numPr>
          <w:ilvl w:val="0"/>
          <w:numId w:val="1003"/>
        </w:numPr>
        <w:pStyle w:val="Compact"/>
      </w:pPr>
      <w:r>
        <w:t xml:space="preserve">introduce malware, conduct unauthorized testing, or interfere with services;</w:t>
      </w:r>
    </w:p>
    <w:p>
      <w:pPr>
        <w:numPr>
          <w:ilvl w:val="0"/>
          <w:numId w:val="1003"/>
        </w:numPr>
        <w:pStyle w:val="Compact"/>
      </w:pPr>
      <w:r>
        <w:t xml:space="preserve">share credentials or use another person’s identity;</w:t>
      </w:r>
    </w:p>
    <w:p>
      <w:pPr>
        <w:numPr>
          <w:ilvl w:val="0"/>
          <w:numId w:val="1003"/>
        </w:numPr>
        <w:pStyle w:val="Compact"/>
      </w:pPr>
      <w:r>
        <w:t xml:space="preserve">use resources for harassment, discrimination, retaliation, unlawful surveillance, fraud, theft, or prohibited content;</w:t>
      </w:r>
    </w:p>
    <w:p>
      <w:pPr>
        <w:numPr>
          <w:ilvl w:val="0"/>
          <w:numId w:val="1003"/>
        </w:numPr>
        <w:pStyle w:val="Compact"/>
      </w:pPr>
      <w:r>
        <w:t xml:space="preserve">store organizational information in unapproved personal accounts or services;</w:t>
      </w:r>
    </w:p>
    <w:p>
      <w:pPr>
        <w:numPr>
          <w:ilvl w:val="0"/>
          <w:numId w:val="1003"/>
        </w:numPr>
        <w:pStyle w:val="Compact"/>
      </w:pPr>
      <w:r>
        <w:t xml:space="preserve">make unauthorized public statements or commitments on behalf of</w:t>
      </w:r>
      <w:r>
        <w:t xml:space="preserve"> </w:t>
      </w:r>
      <w:r>
        <w:rPr>
          <w:rStyle w:val="VerbatimChar"/>
        </w:rPr>
        <w:t xml:space="preserve">[ORGANIZATION]</w:t>
      </w:r>
      <w:r>
        <w:t xml:space="preserve">;</w:t>
      </w:r>
    </w:p>
    <w:p>
      <w:pPr>
        <w:numPr>
          <w:ilvl w:val="0"/>
          <w:numId w:val="1003"/>
        </w:numPr>
        <w:pStyle w:val="Compact"/>
      </w:pPr>
      <w:r>
        <w:t xml:space="preserve">use generative AI or external tools with restricted information contrary to approved requirements.</w:t>
      </w:r>
    </w:p>
    <w:bookmarkEnd w:id="24"/>
    <w:bookmarkStart w:id="25" w:name="limited-personal-use"/>
    <w:p>
      <w:pPr>
        <w:pStyle w:val="Heading2"/>
      </w:pPr>
      <w:r>
        <w:t xml:space="preserve">5. Limited personal use</w:t>
      </w:r>
    </w:p>
    <w:p>
      <w:pPr>
        <w:pStyle w:val="FirstParagraph"/>
      </w:pPr>
      <w:r>
        <w:rPr>
          <w:rStyle w:val="VerbatimChar"/>
        </w:rPr>
        <w:t xml:space="preserve">[ORGANIZATION POLICY ON PERSONAL USE]</w:t>
      </w:r>
      <w:r>
        <w:t xml:space="preserve">. Personal use must not interfere with work, consume unreasonable resources, create risk, violate law or policy, or imply organizational endorsement.</w:t>
      </w:r>
    </w:p>
    <w:bookmarkEnd w:id="25"/>
    <w:bookmarkStart w:id="26" w:name="monitoring-and-privacy"/>
    <w:p>
      <w:pPr>
        <w:pStyle w:val="Heading2"/>
      </w:pPr>
      <w:r>
        <w:t xml:space="preserve">6. Monitoring and privacy</w:t>
      </w:r>
    </w:p>
    <w:p>
      <w:pPr>
        <w:pStyle w:val="FirstParagraph"/>
      </w:pPr>
      <w:r>
        <w:t xml:space="preserve">Use may be logged, monitored, reviewed, or disclosed only as authorized by law, policy, contracts, notices, and approved procedures. This clause must be adapted to local privacy and labor requirements. It does not eliminate rights that cannot lawfully be waived.</w:t>
      </w:r>
    </w:p>
    <w:bookmarkEnd w:id="26"/>
    <w:bookmarkStart w:id="27" w:name="remote-work-and-mobile-use"/>
    <w:p>
      <w:pPr>
        <w:pStyle w:val="Heading2"/>
      </w:pPr>
      <w:r>
        <w:t xml:space="preserve">7. Remote work and mobile use</w:t>
      </w:r>
    </w:p>
    <w:p>
      <w:pPr>
        <w:pStyle w:val="FirstParagraph"/>
      </w:pPr>
      <w:r>
        <w:t xml:space="preserve">Users must follow approved remote-access, device-security, physical-privacy, travel, and information-handling requirements. Loss or theft must be reported within</w:t>
      </w:r>
      <w:r>
        <w:t xml:space="preserve"> </w:t>
      </w:r>
      <w:r>
        <w:rPr>
          <w:rStyle w:val="VerbatimChar"/>
        </w:rPr>
        <w:t xml:space="preserve">[TIMEFRAME]</w:t>
      </w:r>
      <w:r>
        <w:t xml:space="preserve">.</w:t>
      </w:r>
    </w:p>
    <w:bookmarkEnd w:id="27"/>
    <w:bookmarkStart w:id="28" w:name="ai-and-automation"/>
    <w:p>
      <w:pPr>
        <w:pStyle w:val="Heading2"/>
      </w:pPr>
      <w:r>
        <w:t xml:space="preserve">8. AI and automation</w:t>
      </w:r>
    </w:p>
    <w:p>
      <w:pPr>
        <w:pStyle w:val="FirstParagraph"/>
      </w:pPr>
      <w:r>
        <w:t xml:space="preserve">Users must follow</w:t>
      </w:r>
      <w:r>
        <w:t xml:space="preserve"> </w:t>
      </w:r>
      <w:r>
        <w:rPr>
          <w:rStyle w:val="VerbatimChar"/>
        </w:rPr>
        <w:t xml:space="preserve">[AI USE POLICY OR STANDARD]</w:t>
      </w:r>
      <w:r>
        <w:t xml:space="preserve">, validate outputs, protect confidential and personal information, respect intellectual property, and retain human accountability for decisions.</w:t>
      </w:r>
    </w:p>
    <w:bookmarkEnd w:id="28"/>
    <w:bookmarkStart w:id="29" w:name="exceptions"/>
    <w:p>
      <w:pPr>
        <w:pStyle w:val="Heading2"/>
      </w:pPr>
      <w:r>
        <w:t xml:space="preserve">9. Exceptions</w:t>
      </w:r>
    </w:p>
    <w:p>
      <w:pPr>
        <w:pStyle w:val="FirstParagraph"/>
      </w:pPr>
      <w:r>
        <w:t xml:space="preserve">Exceptions require documented business need, risk review, compensating controls, duration, and approval by</w:t>
      </w:r>
      <w:r>
        <w:t xml:space="preserve"> </w:t>
      </w:r>
      <w:r>
        <w:rPr>
          <w:rStyle w:val="VerbatimChar"/>
        </w:rPr>
        <w:t xml:space="preserve">[AUTHORITY]</w:t>
      </w:r>
      <w:r>
        <w:t xml:space="preserve">.</w:t>
      </w:r>
    </w:p>
    <w:bookmarkEnd w:id="29"/>
    <w:bookmarkStart w:id="30" w:name="enforcement-and-acknowledgement"/>
    <w:p>
      <w:pPr>
        <w:pStyle w:val="Heading2"/>
      </w:pPr>
      <w:r>
        <w:t xml:space="preserve">10. Enforcement and acknowledgement</w:t>
      </w:r>
    </w:p>
    <w:p>
      <w:pPr>
        <w:pStyle w:val="FirstParagraph"/>
      </w:pPr>
      <w:r>
        <w:t xml:space="preserve">Violations may result in corrective, disciplinary, contractual, or legal action consistent with applicable law and due process. Acknowledgement records must be retained according to</w:t>
      </w:r>
      <w:r>
        <w:t xml:space="preserve"> </w:t>
      </w:r>
      <w:r>
        <w:rPr>
          <w:rStyle w:val="VerbatimChar"/>
        </w:rPr>
        <w:t xml:space="preserve">[RETENTION REQUIREMENT]</w:t>
      </w:r>
      <w:r>
        <w:t xml:space="preserve">.</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Alberto Al Leiva</dc:creator>
  <cp:keywords/>
  <dcterms:created xsi:type="dcterms:W3CDTF">2026-08-01T18:34:22Z</dcterms:created>
  <dcterms:modified xsi:type="dcterms:W3CDTF">2026-08-01T18:34:22Z</dcterms:modified>
</cp:coreProperties>
</file>

<file path=docProps/custom.xml><?xml version="1.0" encoding="utf-8"?>
<Properties xmlns="http://schemas.openxmlformats.org/officeDocument/2006/custom-properties" xmlns:vt="http://schemas.openxmlformats.org/officeDocument/2006/docPropsVTypes"/>
</file>