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Alberto Al Leiva</w:t>
      </w:r>
    </w:p>
    <w:bookmarkStart w:id="32" w:name="incident-response-policy-template"/>
    <w:p>
      <w:pPr>
        <w:pStyle w:val="Heading1"/>
      </w:pPr>
      <w:r>
        <w:t xml:space="preserve">Incident Response Policy Template</w:t>
      </w:r>
    </w:p>
    <w:p>
      <w:pPr>
        <w:pStyle w:val="BlockText"/>
      </w:pPr>
      <w:r>
        <w:rPr>
          <w:bCs/>
          <w:b/>
        </w:rPr>
        <w:t xml:space="preserve">Drafting notice:</w:t>
      </w:r>
      <w:r>
        <w:t xml:space="preserve"> </w:t>
      </w:r>
      <w:r>
        <w:t xml:space="preserve">Resolve and adapt legal, regulatory, contractual, privacy, insurance, law-enforcement, privilege, and breach-notification requirements before approval.</w:t>
      </w:r>
    </w:p>
    <w:bookmarkStart w:id="20" w:name="document-control"/>
    <w:p>
      <w:pPr>
        <w:pStyle w:val="Heading2"/>
      </w:pPr>
      <w:r>
        <w:t xml:space="preserve">Document control</w:t>
      </w:r>
    </w:p>
    <w:p>
      <w:pPr>
        <w:numPr>
          <w:ilvl w:val="0"/>
          <w:numId w:val="1001"/>
        </w:numPr>
        <w:pStyle w:val="Compact"/>
      </w:pPr>
      <w:r>
        <w:t xml:space="preserve">Policy ID:</w:t>
      </w:r>
      <w:r>
        <w:t xml:space="preserve"> </w:t>
      </w:r>
      <w:r>
        <w:rPr>
          <w:rStyle w:val="VerbatimChar"/>
        </w:rPr>
        <w:t xml:space="preserve">[POLICY ID]</w:t>
      </w:r>
    </w:p>
    <w:p>
      <w:pPr>
        <w:numPr>
          <w:ilvl w:val="0"/>
          <w:numId w:val="1001"/>
        </w:numPr>
        <w:pStyle w:val="Compact"/>
      </w:pPr>
      <w:r>
        <w:t xml:space="preserve">Owner:</w:t>
      </w:r>
      <w:r>
        <w:t xml:space="preserve"> </w:t>
      </w:r>
      <w:r>
        <w:rPr>
          <w:rStyle w:val="VerbatimChar"/>
        </w:rPr>
        <w:t xml:space="preserve">[POLICY OWNER]</w:t>
      </w:r>
    </w:p>
    <w:p>
      <w:pPr>
        <w:numPr>
          <w:ilvl w:val="0"/>
          <w:numId w:val="1001"/>
        </w:numPr>
        <w:pStyle w:val="Compact"/>
      </w:pPr>
      <w:r>
        <w:t xml:space="preserve">Approver:</w:t>
      </w:r>
      <w:r>
        <w:t xml:space="preserve"> </w:t>
      </w:r>
      <w:r>
        <w:rPr>
          <w:rStyle w:val="VerbatimChar"/>
        </w:rPr>
        <w:t xml:space="preserve">[APPROVING AUTHORITY]</w:t>
      </w:r>
    </w:p>
    <w:p>
      <w:pPr>
        <w:numPr>
          <w:ilvl w:val="0"/>
          <w:numId w:val="1001"/>
        </w:numPr>
        <w:pStyle w:val="Compact"/>
      </w:pPr>
      <w:r>
        <w:t xml:space="preserve">Effective date:</w:t>
      </w:r>
      <w:r>
        <w:t xml:space="preserve"> </w:t>
      </w:r>
      <w:r>
        <w:rPr>
          <w:rStyle w:val="VerbatimChar"/>
        </w:rPr>
        <w:t xml:space="preserve">[DATE]</w:t>
      </w:r>
    </w:p>
    <w:p>
      <w:pPr>
        <w:numPr>
          <w:ilvl w:val="0"/>
          <w:numId w:val="1001"/>
        </w:numPr>
        <w:pStyle w:val="Compact"/>
      </w:pPr>
      <w:r>
        <w:t xml:space="preserve">Review date:</w:t>
      </w:r>
      <w:r>
        <w:t xml:space="preserve"> </w:t>
      </w:r>
      <w:r>
        <w:rPr>
          <w:rStyle w:val="VerbatimChar"/>
        </w:rPr>
        <w:t xml:space="preserve">[DATE]</w:t>
      </w:r>
    </w:p>
    <w:bookmarkEnd w:id="20"/>
    <w:bookmarkStart w:id="21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policy establishes governance for preparing for, detecting, reporting, analyzing, containing, eradicating, recovering from, and learning from cybersecurity, privacy, technology, and information incidents.</w:t>
      </w:r>
    </w:p>
    <w:bookmarkEnd w:id="21"/>
    <w:bookmarkStart w:id="22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Applies to</w:t>
      </w:r>
      <w:r>
        <w:t xml:space="preserve"> </w:t>
      </w:r>
      <w:r>
        <w:rPr>
          <w:rStyle w:val="VerbatimChar"/>
        </w:rPr>
        <w:t xml:space="preserve">[ENTITIES, WORKFORCE, SYSTEMS, DATA, FACILITIES, CLOUD, OPERATIONAL TECHNOLOGY, SUPPLIERS, AND SERVICES]</w:t>
      </w:r>
      <w:r>
        <w:t xml:space="preserve">.</w:t>
      </w:r>
    </w:p>
    <w:bookmarkEnd w:id="22"/>
    <w:bookmarkStart w:id="23" w:name="governance"/>
    <w:p>
      <w:pPr>
        <w:pStyle w:val="Heading2"/>
      </w:pPr>
      <w:r>
        <w:t xml:space="preserve">3. Governance</w:t>
      </w:r>
    </w:p>
    <w:p>
      <w:pPr>
        <w:pStyle w:val="FirstParagraph"/>
      </w:pPr>
      <w:r>
        <w:rPr>
          <w:rStyle w:val="VerbatimChar"/>
        </w:rPr>
        <w:t xml:space="preserve">[INCIDENT RESPONSE LEADER]</w:t>
      </w:r>
      <w:r>
        <w:t xml:space="preserve"> </w:t>
      </w:r>
      <w:r>
        <w:t xml:space="preserve">coordinates response. Legal, privacy, communications, human resources, business continuity, technology, security, records, insurance, and executive stakeholders participate according to incident type and severity.</w:t>
      </w:r>
    </w:p>
    <w:bookmarkEnd w:id="23"/>
    <w:bookmarkStart w:id="24" w:name="reporting"/>
    <w:p>
      <w:pPr>
        <w:pStyle w:val="Heading2"/>
      </w:pPr>
      <w:r>
        <w:t xml:space="preserve">4. Reporting</w:t>
      </w:r>
    </w:p>
    <w:p>
      <w:pPr>
        <w:pStyle w:val="FirstParagraph"/>
      </w:pPr>
      <w:r>
        <w:t xml:space="preserve">Suspected incidents must be reported immediately through</w:t>
      </w:r>
      <w:r>
        <w:t xml:space="preserve"> </w:t>
      </w:r>
      <w:r>
        <w:rPr>
          <w:rStyle w:val="VerbatimChar"/>
        </w:rPr>
        <w:t xml:space="preserve">[CHANNELS]</w:t>
      </w:r>
      <w:r>
        <w:t xml:space="preserve">. Personnel must preserve evidence and must not conduct unauthorized investigation, communication, or remediation that could increase harm.</w:t>
      </w:r>
    </w:p>
    <w:bookmarkEnd w:id="24"/>
    <w:bookmarkStart w:id="25" w:name="classification-and-escalation"/>
    <w:p>
      <w:pPr>
        <w:pStyle w:val="Heading2"/>
      </w:pPr>
      <w:r>
        <w:t xml:space="preserve">5. Classification and escalation</w:t>
      </w:r>
    </w:p>
    <w:p>
      <w:pPr>
        <w:pStyle w:val="FirstParagraph"/>
      </w:pPr>
      <w:r>
        <w:t xml:space="preserve">Incidents must be classified using</w:t>
      </w:r>
      <w:r>
        <w:t xml:space="preserve"> </w:t>
      </w:r>
      <w:r>
        <w:rPr>
          <w:rStyle w:val="VerbatimChar"/>
        </w:rPr>
        <w:t xml:space="preserve">[SEVERITY MODEL]</w:t>
      </w:r>
      <w:r>
        <w:t xml:space="preserve">, considering safety, operations, data, customers, legal duties, financial impact, third parties, and public interest. Escalation timeframes are</w:t>
      </w:r>
      <w:r>
        <w:t xml:space="preserve"> </w:t>
      </w:r>
      <w:r>
        <w:rPr>
          <w:rStyle w:val="VerbatimChar"/>
        </w:rPr>
        <w:t xml:space="preserve">[TIMEFRAMES]</w:t>
      </w:r>
      <w:r>
        <w:t xml:space="preserve">.</w:t>
      </w:r>
    </w:p>
    <w:bookmarkEnd w:id="25"/>
    <w:bookmarkStart w:id="26" w:name="response-requirements"/>
    <w:p>
      <w:pPr>
        <w:pStyle w:val="Heading2"/>
      </w:pPr>
      <w:r>
        <w:t xml:space="preserve">6. Response requirements</w:t>
      </w:r>
    </w:p>
    <w:p>
      <w:pPr>
        <w:pStyle w:val="FirstParagraph"/>
      </w:pPr>
      <w:r>
        <w:t xml:space="preserve">The organization must maintain and exercise capabilities for:</w:t>
      </w:r>
    </w:p>
    <w:p>
      <w:pPr>
        <w:numPr>
          <w:ilvl w:val="0"/>
          <w:numId w:val="1002"/>
        </w:numPr>
        <w:pStyle w:val="Compact"/>
      </w:pPr>
      <w:r>
        <w:t xml:space="preserve">preparation and contact management;</w:t>
      </w:r>
    </w:p>
    <w:p>
      <w:pPr>
        <w:numPr>
          <w:ilvl w:val="0"/>
          <w:numId w:val="1002"/>
        </w:numPr>
        <w:pStyle w:val="Compact"/>
      </w:pPr>
      <w:r>
        <w:t xml:space="preserve">detection and intake;</w:t>
      </w:r>
    </w:p>
    <w:p>
      <w:pPr>
        <w:numPr>
          <w:ilvl w:val="0"/>
          <w:numId w:val="1002"/>
        </w:numPr>
        <w:pStyle w:val="Compact"/>
      </w:pPr>
      <w:r>
        <w:t xml:space="preserve">triage and analysis;</w:t>
      </w:r>
    </w:p>
    <w:p>
      <w:pPr>
        <w:numPr>
          <w:ilvl w:val="0"/>
          <w:numId w:val="1002"/>
        </w:numPr>
        <w:pStyle w:val="Compact"/>
      </w:pPr>
      <w:r>
        <w:t xml:space="preserve">containment and business-risk decisions;</w:t>
      </w:r>
    </w:p>
    <w:p>
      <w:pPr>
        <w:numPr>
          <w:ilvl w:val="0"/>
          <w:numId w:val="1002"/>
        </w:numPr>
        <w:pStyle w:val="Compact"/>
      </w:pPr>
      <w:r>
        <w:t xml:space="preserve">eradication and secure recovery;</w:t>
      </w:r>
    </w:p>
    <w:p>
      <w:pPr>
        <w:numPr>
          <w:ilvl w:val="0"/>
          <w:numId w:val="1002"/>
        </w:numPr>
        <w:pStyle w:val="Compact"/>
      </w:pPr>
      <w:r>
        <w:t xml:space="preserve">evidence preservation and chain of custody;</w:t>
      </w:r>
    </w:p>
    <w:p>
      <w:pPr>
        <w:numPr>
          <w:ilvl w:val="0"/>
          <w:numId w:val="1002"/>
        </w:numPr>
        <w:pStyle w:val="Compact"/>
      </w:pPr>
      <w:r>
        <w:t xml:space="preserve">legal, privacy, contractual, insurer, customer, regulator, and law-enforcement coordination;</w:t>
      </w:r>
    </w:p>
    <w:p>
      <w:pPr>
        <w:numPr>
          <w:ilvl w:val="0"/>
          <w:numId w:val="1002"/>
        </w:numPr>
        <w:pStyle w:val="Compact"/>
      </w:pPr>
      <w:r>
        <w:t xml:space="preserve">internal and external communications;</w:t>
      </w:r>
    </w:p>
    <w:p>
      <w:pPr>
        <w:numPr>
          <w:ilvl w:val="0"/>
          <w:numId w:val="1002"/>
        </w:numPr>
        <w:pStyle w:val="Compact"/>
      </w:pPr>
      <w:r>
        <w:t xml:space="preserve">post-incident review and corrective action.</w:t>
      </w:r>
    </w:p>
    <w:bookmarkEnd w:id="26"/>
    <w:bookmarkStart w:id="27" w:name="decision-authority"/>
    <w:p>
      <w:pPr>
        <w:pStyle w:val="Heading2"/>
      </w:pPr>
      <w:r>
        <w:t xml:space="preserve">7. Decision authority</w:t>
      </w:r>
    </w:p>
    <w:p>
      <w:pPr>
        <w:pStyle w:val="FirstParagraph"/>
      </w:pPr>
      <w:r>
        <w:t xml:space="preserve">Authority for system isolation, service shutdown, public communication, ransom-related decisions, customer notification, regulator notification, and law-enforcement referral must be assigned in</w:t>
      </w:r>
      <w:r>
        <w:t xml:space="preserve"> </w:t>
      </w:r>
      <w:r>
        <w:rPr>
          <w:rStyle w:val="VerbatimChar"/>
        </w:rPr>
        <w:t xml:space="preserve">[INCIDENT RESPONSE PLAN]</w:t>
      </w:r>
      <w:r>
        <w:t xml:space="preserve">.</w:t>
      </w:r>
    </w:p>
    <w:bookmarkEnd w:id="27"/>
    <w:bookmarkStart w:id="28" w:name="evidence-and-records"/>
    <w:p>
      <w:pPr>
        <w:pStyle w:val="Heading2"/>
      </w:pPr>
      <w:r>
        <w:t xml:space="preserve">8. Evidence and records</w:t>
      </w:r>
    </w:p>
    <w:p>
      <w:pPr>
        <w:pStyle w:val="FirstParagraph"/>
      </w:pPr>
      <w:r>
        <w:t xml:space="preserve">Incident records must be accurate, time-stamped, access-controlled, and retained according to legal hold, privilege, privacy, contract, insurance, and records requirements.</w:t>
      </w:r>
    </w:p>
    <w:bookmarkEnd w:id="28"/>
    <w:bookmarkStart w:id="29" w:name="third-parties"/>
    <w:p>
      <w:pPr>
        <w:pStyle w:val="Heading2"/>
      </w:pPr>
      <w:r>
        <w:t xml:space="preserve">9. Third parties</w:t>
      </w:r>
    </w:p>
    <w:p>
      <w:pPr>
        <w:pStyle w:val="FirstParagraph"/>
      </w:pPr>
      <w:r>
        <w:t xml:space="preserve">Contracts and operating procedures must define supplier reporting, cooperation, evidence, notification, recovery, and post-incident obligations.</w:t>
      </w:r>
    </w:p>
    <w:bookmarkEnd w:id="29"/>
    <w:bookmarkStart w:id="30" w:name="exercises-and-improvement"/>
    <w:p>
      <w:pPr>
        <w:pStyle w:val="Heading2"/>
      </w:pPr>
      <w:r>
        <w:t xml:space="preserve">10. Exercises and improvement</w:t>
      </w:r>
    </w:p>
    <w:p>
      <w:pPr>
        <w:pStyle w:val="FirstParagraph"/>
      </w:pPr>
      <w:r>
        <w:t xml:space="preserve">Plans must be tested at least</w:t>
      </w:r>
      <w:r>
        <w:t xml:space="preserve"> </w:t>
      </w:r>
      <w:r>
        <w:rPr>
          <w:rStyle w:val="VerbatimChar"/>
        </w:rPr>
        <w:t xml:space="preserve">[FREQUENCY]</w:t>
      </w:r>
      <w:r>
        <w:t xml:space="preserve"> </w:t>
      </w:r>
      <w:r>
        <w:t xml:space="preserve">and after material change. Lessons and corrective actions must be assigned, tracked, validated, and reported.</w:t>
      </w:r>
    </w:p>
    <w:bookmarkEnd w:id="30"/>
    <w:bookmarkStart w:id="31" w:name="exceptions"/>
    <w:p>
      <w:pPr>
        <w:pStyle w:val="Heading2"/>
      </w:pPr>
      <w:r>
        <w:t xml:space="preserve">11. Exceptions</w:t>
      </w:r>
    </w:p>
    <w:p>
      <w:pPr>
        <w:pStyle w:val="FirstParagraph"/>
      </w:pPr>
      <w:r>
        <w:t xml:space="preserve">Exceptions require documented risk, duration, compensating controls, and approval by</w:t>
      </w:r>
      <w:r>
        <w:t xml:space="preserve"> </w:t>
      </w:r>
      <w:r>
        <w:rPr>
          <w:rStyle w:val="VerbatimChar"/>
        </w:rPr>
        <w:t xml:space="preserve">[AUTHORITY]</w:t>
      </w:r>
      <w:r>
        <w:t xml:space="preserve">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Alberto Al Leiva</dc:creator>
  <cp:keywords/>
  <dcterms:created xsi:type="dcterms:W3CDTF">2026-08-01T18:34:22Z</dcterms:created>
  <dcterms:modified xsi:type="dcterms:W3CDTF">2026-08-01T18:34:22Z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