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Alberto Al Leiva</w:t>
      </w:r>
    </w:p>
    <w:bookmarkStart w:id="33" w:name="Xe0161361abffb7e8053f6c79c9d0e8a4c458fd8"/>
    <w:p>
      <w:pPr>
        <w:pStyle w:val="Heading1"/>
      </w:pPr>
      <w:r>
        <w:t xml:space="preserve">Business Continuity and Disaster Recovery Policy Template</w:t>
      </w:r>
    </w:p>
    <w:p>
      <w:pPr>
        <w:pStyle w:val="BlockText"/>
      </w:pPr>
      <w:r>
        <w:t xml:space="preserve">Adapt safety, emergency-management, regulatory, contractual, insurance, labor, accessibility, and local-resilience requirements before approval.</w:t>
      </w:r>
    </w:p>
    <w:bookmarkStart w:id="20" w:name="document-control"/>
    <w:p>
      <w:pPr>
        <w:pStyle w:val="Heading2"/>
      </w:pPr>
      <w:r>
        <w:t xml:space="preserve">Document control</w:t>
      </w:r>
    </w:p>
    <w:p>
      <w:pPr>
        <w:numPr>
          <w:ilvl w:val="0"/>
          <w:numId w:val="1001"/>
        </w:numPr>
        <w:pStyle w:val="Compact"/>
      </w:pPr>
      <w:r>
        <w:t xml:space="preserve">Policy ID:</w:t>
      </w:r>
      <w:r>
        <w:t xml:space="preserve"> </w:t>
      </w:r>
      <w:r>
        <w:rPr>
          <w:rStyle w:val="VerbatimChar"/>
        </w:rPr>
        <w:t xml:space="preserve">[POLICY ID]</w:t>
      </w:r>
    </w:p>
    <w:p>
      <w:pPr>
        <w:numPr>
          <w:ilvl w:val="0"/>
          <w:numId w:val="1001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[POLICY OWNER]</w:t>
      </w:r>
    </w:p>
    <w:p>
      <w:pPr>
        <w:numPr>
          <w:ilvl w:val="0"/>
          <w:numId w:val="1001"/>
        </w:numPr>
        <w:pStyle w:val="Compact"/>
      </w:pPr>
      <w:r>
        <w:t xml:space="preserve">Approver:</w:t>
      </w:r>
      <w:r>
        <w:t xml:space="preserve"> </w:t>
      </w:r>
      <w:r>
        <w:rPr>
          <w:rStyle w:val="VerbatimChar"/>
        </w:rPr>
        <w:t xml:space="preserve">[APPROVING AUTHORITY]</w:t>
      </w:r>
    </w:p>
    <w:p>
      <w:pPr>
        <w:numPr>
          <w:ilvl w:val="0"/>
          <w:numId w:val="1001"/>
        </w:numPr>
        <w:pStyle w:val="Compact"/>
      </w:pPr>
      <w:r>
        <w:t xml:space="preserve">Effective date:</w:t>
      </w:r>
      <w:r>
        <w:t xml:space="preserve"> </w:t>
      </w:r>
      <w:r>
        <w:rPr>
          <w:rStyle w:val="VerbatimChar"/>
        </w:rPr>
        <w:t xml:space="preserve">[DATE]</w:t>
      </w:r>
    </w:p>
    <w:p>
      <w:pPr>
        <w:numPr>
          <w:ilvl w:val="0"/>
          <w:numId w:val="1001"/>
        </w:numPr>
        <w:pStyle w:val="Compact"/>
      </w:pPr>
      <w:r>
        <w:t xml:space="preserve">Review date:</w:t>
      </w:r>
      <w:r>
        <w:t xml:space="preserve"> </w:t>
      </w:r>
      <w:r>
        <w:rPr>
          <w:rStyle w:val="VerbatimChar"/>
        </w:rPr>
        <w:t xml:space="preserve">[DATE]</w:t>
      </w:r>
    </w:p>
    <w:bookmarkEnd w:id="20"/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requirements to protect people, maintain or restore prioritized products and services, recover technology and information, and coordinate response to disruptive events.</w:t>
      </w:r>
    </w:p>
    <w:bookmarkEnd w:id="21"/>
    <w:bookmarkStart w:id="22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rStyle w:val="VerbatimChar"/>
        </w:rPr>
        <w:t xml:space="preserve">[ENTITIES, LOCATIONS, BUSINESS SERVICES, TECHNOLOGY, INFORMATION, WORKFORCE, FACILITIES, SUPPLIERS, AND DEPENDENCIES]</w:t>
      </w:r>
      <w:r>
        <w:t xml:space="preserve">.</w:t>
      </w:r>
    </w:p>
    <w:bookmarkEnd w:id="22"/>
    <w:bookmarkStart w:id="23" w:name="governance"/>
    <w:p>
      <w:pPr>
        <w:pStyle w:val="Heading2"/>
      </w:pPr>
      <w:r>
        <w:t xml:space="preserve">3. Governance</w:t>
      </w:r>
    </w:p>
    <w:p>
      <w:pPr>
        <w:pStyle w:val="FirstParagraph"/>
      </w:pPr>
      <w:r>
        <w:rPr>
          <w:rStyle w:val="VerbatimChar"/>
        </w:rPr>
        <w:t xml:space="preserve">[EXECUTIVE SPONSOR]</w:t>
      </w:r>
      <w:r>
        <w:t xml:space="preserve"> </w:t>
      </w:r>
      <w:r>
        <w:t xml:space="preserve">provides oversight.</w:t>
      </w:r>
      <w:r>
        <w:t xml:space="preserve"> </w:t>
      </w:r>
      <w:r>
        <w:rPr>
          <w:rStyle w:val="VerbatimChar"/>
        </w:rPr>
        <w:t xml:space="preserve">[CONTINUITY OWNER]</w:t>
      </w:r>
      <w:r>
        <w:t xml:space="preserve"> </w:t>
      </w:r>
      <w:r>
        <w:t xml:space="preserve">maintains the program. Business-service owners identify priorities and dependencies. Technology owners maintain recovery capabilities aligned to approved objectives.</w:t>
      </w:r>
    </w:p>
    <w:bookmarkEnd w:id="23"/>
    <w:bookmarkStart w:id="24" w:name="business-impact-analysis"/>
    <w:p>
      <w:pPr>
        <w:pStyle w:val="Heading2"/>
      </w:pPr>
      <w:r>
        <w:t xml:space="preserve">4. Business impact analysis</w:t>
      </w:r>
    </w:p>
    <w:p>
      <w:pPr>
        <w:pStyle w:val="FirstParagraph"/>
      </w:pPr>
      <w:r>
        <w:t xml:space="preserve">Prioritized activities must have documented impact analysis covering safety, customer, legal, operational, financial, data, supplier, and reputational consequences over time.</w:t>
      </w:r>
    </w:p>
    <w:bookmarkEnd w:id="24"/>
    <w:bookmarkStart w:id="25" w:name="recovery-objectives"/>
    <w:p>
      <w:pPr>
        <w:pStyle w:val="Heading2"/>
      </w:pPr>
      <w:r>
        <w:t xml:space="preserve">5. Recovery objectives</w:t>
      </w:r>
    </w:p>
    <w:p>
      <w:pPr>
        <w:pStyle w:val="FirstParagraph"/>
      </w:pPr>
      <w:r>
        <w:t xml:space="preserve">Management must approve recovery time objectives, recovery point objectives, minimum service levels, maximum tolerable disruption, and dependency assumptions for</w:t>
      </w:r>
      <w:r>
        <w:t xml:space="preserve"> </w:t>
      </w:r>
      <w:r>
        <w:rPr>
          <w:rStyle w:val="VerbatimChar"/>
        </w:rPr>
        <w:t xml:space="preserve">[DEFINED SERVICES]</w:t>
      </w:r>
      <w:r>
        <w:t xml:space="preserve">.</w:t>
      </w:r>
    </w:p>
    <w:bookmarkEnd w:id="25"/>
    <w:bookmarkStart w:id="26" w:name="plans"/>
    <w:p>
      <w:pPr>
        <w:pStyle w:val="Heading2"/>
      </w:pPr>
      <w:r>
        <w:t xml:space="preserve">6. Plans</w:t>
      </w:r>
    </w:p>
    <w:p>
      <w:pPr>
        <w:pStyle w:val="FirstParagraph"/>
      </w:pPr>
      <w:r>
        <w:t xml:space="preserve">The organization must maintain accessible, controlled plans for crisis management, business continuity, technology disaster recovery, communications, workforce continuity, facilities, and supplier disruption as applicable.</w:t>
      </w:r>
    </w:p>
    <w:bookmarkEnd w:id="26"/>
    <w:bookmarkStart w:id="27" w:name="backup-and-recovery"/>
    <w:p>
      <w:pPr>
        <w:pStyle w:val="Heading2"/>
      </w:pPr>
      <w:r>
        <w:t xml:space="preserve">7. Backup and recovery</w:t>
      </w:r>
    </w:p>
    <w:p>
      <w:pPr>
        <w:pStyle w:val="FirstParagraph"/>
      </w:pPr>
      <w:r>
        <w:t xml:space="preserve">Backups must be protected, monitored, tested, retained, and separated according to risk. Recovery procedures must address integrity, authorization, prioritization, dependencies, and secure return to normal operations.</w:t>
      </w:r>
    </w:p>
    <w:bookmarkEnd w:id="27"/>
    <w:bookmarkStart w:id="28" w:name="third-party-resilience"/>
    <w:p>
      <w:pPr>
        <w:pStyle w:val="Heading2"/>
      </w:pPr>
      <w:r>
        <w:t xml:space="preserve">8. Third-party resilience</w:t>
      </w:r>
    </w:p>
    <w:p>
      <w:pPr>
        <w:pStyle w:val="FirstParagraph"/>
      </w:pPr>
      <w:r>
        <w:t xml:space="preserve">Critical suppliers and services must be assessed for continuity capability, concentration, geographic, technology, financial, and transition risk. Contracts should define continuity, testing, notification, recovery, and exit obligations.</w:t>
      </w:r>
    </w:p>
    <w:bookmarkEnd w:id="28"/>
    <w:bookmarkStart w:id="29" w:name="exercises-and-validation"/>
    <w:p>
      <w:pPr>
        <w:pStyle w:val="Heading2"/>
      </w:pPr>
      <w:r>
        <w:t xml:space="preserve">9. Exercises and validation</w:t>
      </w:r>
    </w:p>
    <w:p>
      <w:pPr>
        <w:pStyle w:val="FirstParagraph"/>
      </w:pPr>
      <w:r>
        <w:t xml:space="preserve">Plans and recovery capabilities must be exercised at least</w:t>
      </w:r>
      <w:r>
        <w:t xml:space="preserve"> </w:t>
      </w:r>
      <w:r>
        <w:rPr>
          <w:rStyle w:val="VerbatimChar"/>
        </w:rPr>
        <w:t xml:space="preserve">[FREQUENCY]</w:t>
      </w:r>
      <w:r>
        <w:t xml:space="preserve"> </w:t>
      </w:r>
      <w:r>
        <w:t xml:space="preserve">and after material changes. Tests must have objectives, scenarios, participants, results, exceptions, and corrective actions. A successful tabletop does not prove technical recovery.</w:t>
      </w:r>
    </w:p>
    <w:bookmarkEnd w:id="29"/>
    <w:bookmarkStart w:id="30" w:name="activation-and-communication"/>
    <w:p>
      <w:pPr>
        <w:pStyle w:val="Heading2"/>
      </w:pPr>
      <w:r>
        <w:t xml:space="preserve">10. Activation and communication</w:t>
      </w:r>
    </w:p>
    <w:p>
      <w:pPr>
        <w:pStyle w:val="FirstParagraph"/>
      </w:pPr>
      <w:r>
        <w:t xml:space="preserve">Activation authority, incident command, employee communication, customer and regulator communication, and return-to-normal decisions must be defined in approved plans.</w:t>
      </w:r>
    </w:p>
    <w:bookmarkEnd w:id="30"/>
    <w:bookmarkStart w:id="31" w:name="records-and-improvement"/>
    <w:p>
      <w:pPr>
        <w:pStyle w:val="Heading2"/>
      </w:pPr>
      <w:r>
        <w:t xml:space="preserve">11. Records and improvement</w:t>
      </w:r>
    </w:p>
    <w:p>
      <w:pPr>
        <w:pStyle w:val="FirstParagraph"/>
      </w:pPr>
      <w:r>
        <w:t xml:space="preserve">Retain impact analyses, plans, approvals, tests, recovery evidence, incidents, communications, and corrective actions according to</w:t>
      </w:r>
      <w:r>
        <w:t xml:space="preserve"> </w:t>
      </w:r>
      <w:r>
        <w:rPr>
          <w:rStyle w:val="VerbatimChar"/>
        </w:rPr>
        <w:t xml:space="preserve">[RETENTION REQUIREMENT]</w:t>
      </w:r>
      <w:r>
        <w:t xml:space="preserve">.</w:t>
      </w:r>
    </w:p>
    <w:bookmarkEnd w:id="31"/>
    <w:bookmarkStart w:id="32" w:name="exceptions"/>
    <w:p>
      <w:pPr>
        <w:pStyle w:val="Heading2"/>
      </w:pPr>
      <w:r>
        <w:t xml:space="preserve">12. Exceptions</w:t>
      </w:r>
    </w:p>
    <w:p>
      <w:pPr>
        <w:pStyle w:val="FirstParagraph"/>
      </w:pPr>
      <w:r>
        <w:t xml:space="preserve">Exceptions require documented risk, interim measures, owner, expiration, and approval by</w:t>
      </w:r>
      <w:r>
        <w:t xml:space="preserve"> </w:t>
      </w:r>
      <w:r>
        <w:rPr>
          <w:rStyle w:val="VerbatimChar"/>
        </w:rPr>
        <w:t xml:space="preserve">[AUTHORITY]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Alberto Al Leiva</dc:creator>
  <cp:keywords/>
  <dcterms:created xsi:type="dcterms:W3CDTF">2026-08-01T18:34:22Z</dcterms:created>
  <dcterms:modified xsi:type="dcterms:W3CDTF">2026-08-01T18:34:22Z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