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5" w:name="Xf09cdb04ff44dc54497f7254da66d93c466c17a"/>
    <w:p>
      <w:pPr>
        <w:pStyle w:val="Heading1"/>
      </w:pPr>
      <w:r>
        <w:t xml:space="preserve">Data Protection and Privacy Policy Template</w:t>
      </w:r>
    </w:p>
    <w:p>
      <w:pPr>
        <w:pStyle w:val="BlockText"/>
      </w:pPr>
      <w:r>
        <w:t xml:space="preserve">This template requires qualified jurisdiction-specific privacy and legal review. Do not assume one privacy law, legal basis, retention period, employee-monitoring rule, or cross-border mechanism applies universally.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[PRIVACY OR POLICY OWNER]</w:t>
      </w:r>
    </w:p>
    <w:p>
      <w:pPr>
        <w:numPr>
          <w:ilvl w:val="0"/>
          <w:numId w:val="1001"/>
        </w:numPr>
        <w:pStyle w:val="Compact"/>
      </w:pPr>
      <w:r>
        <w:t xml:space="preserve">Approver: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[DATE]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principles and governance for lawful, fair, transparent, secure, and accountable processing of personal information by</w:t>
      </w:r>
      <w:r>
        <w:t xml:space="preserve"> </w:t>
      </w:r>
      <w:r>
        <w:rPr>
          <w:rStyle w:val="VerbatimChar"/>
        </w:rPr>
        <w:t xml:space="preserve">[ORGANIZATION]</w:t>
      </w:r>
      <w:r>
        <w:t xml:space="preserve">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rStyle w:val="VerbatimChar"/>
        </w:rPr>
        <w:t xml:space="preserve">[LEGAL ENTITIES, WORKFORCE, CUSTOMERS, USERS, APPLICANTS, CHILDREN OR VULNERABLE PEOPLE IF APPLICABLE, THIRD PARTIES, SYSTEMS, LOCATIONS, AND PROCESSING ACTIVITIES]</w:t>
      </w:r>
      <w:r>
        <w:t xml:space="preserve">.</w:t>
      </w:r>
    </w:p>
    <w:bookmarkEnd w:id="22"/>
    <w:bookmarkStart w:id="23" w:name="principles"/>
    <w:p>
      <w:pPr>
        <w:pStyle w:val="Heading2"/>
      </w:pPr>
      <w:r>
        <w:t xml:space="preserve">3. Principles</w:t>
      </w:r>
    </w:p>
    <w:p>
      <w:pPr>
        <w:pStyle w:val="FirstParagraph"/>
      </w:pPr>
      <w:r>
        <w:t xml:space="preserve">Personal information must be:</w:t>
      </w:r>
    </w:p>
    <w:p>
      <w:pPr>
        <w:numPr>
          <w:ilvl w:val="0"/>
          <w:numId w:val="1002"/>
        </w:numPr>
        <w:pStyle w:val="Compact"/>
      </w:pPr>
      <w:r>
        <w:t xml:space="preserve">processed under an identified lawful authority or permitted purpose;</w:t>
      </w:r>
    </w:p>
    <w:p>
      <w:pPr>
        <w:numPr>
          <w:ilvl w:val="0"/>
          <w:numId w:val="1002"/>
        </w:numPr>
        <w:pStyle w:val="Compact"/>
      </w:pPr>
      <w:r>
        <w:t xml:space="preserve">collected for specified purposes and not incompatibly reused;</w:t>
      </w:r>
    </w:p>
    <w:p>
      <w:pPr>
        <w:numPr>
          <w:ilvl w:val="0"/>
          <w:numId w:val="1002"/>
        </w:numPr>
        <w:pStyle w:val="Compact"/>
      </w:pPr>
      <w:r>
        <w:t xml:space="preserve">limited to what is necessary;</w:t>
      </w:r>
    </w:p>
    <w:p>
      <w:pPr>
        <w:numPr>
          <w:ilvl w:val="0"/>
          <w:numId w:val="1002"/>
        </w:numPr>
        <w:pStyle w:val="Compact"/>
      </w:pPr>
      <w:r>
        <w:t xml:space="preserve">accurate and corrected when required;</w:t>
      </w:r>
    </w:p>
    <w:p>
      <w:pPr>
        <w:numPr>
          <w:ilvl w:val="0"/>
          <w:numId w:val="1002"/>
        </w:numPr>
        <w:pStyle w:val="Compact"/>
      </w:pPr>
      <w:r>
        <w:t xml:space="preserve">retained only as authorized;</w:t>
      </w:r>
    </w:p>
    <w:p>
      <w:pPr>
        <w:numPr>
          <w:ilvl w:val="0"/>
          <w:numId w:val="1002"/>
        </w:numPr>
        <w:pStyle w:val="Compact"/>
      </w:pPr>
      <w:r>
        <w:t xml:space="preserve">protected according to risk;</w:t>
      </w:r>
    </w:p>
    <w:p>
      <w:pPr>
        <w:numPr>
          <w:ilvl w:val="0"/>
          <w:numId w:val="1002"/>
        </w:numPr>
        <w:pStyle w:val="Compact"/>
      </w:pPr>
      <w:r>
        <w:t xml:space="preserve">processed transparently and with accountable governance;</w:t>
      </w:r>
    </w:p>
    <w:p>
      <w:pPr>
        <w:numPr>
          <w:ilvl w:val="0"/>
          <w:numId w:val="1002"/>
        </w:numPr>
        <w:pStyle w:val="Compact"/>
      </w:pPr>
      <w:r>
        <w:t xml:space="preserve">handled in a way that supports applicable rights and remedies.</w:t>
      </w:r>
    </w:p>
    <w:bookmarkEnd w:id="23"/>
    <w:bookmarkStart w:id="24" w:name="records-of-processing"/>
    <w:p>
      <w:pPr>
        <w:pStyle w:val="Heading2"/>
      </w:pPr>
      <w:r>
        <w:t xml:space="preserve">4. Records of processing</w:t>
      </w:r>
    </w:p>
    <w:p>
      <w:pPr>
        <w:pStyle w:val="FirstParagraph"/>
      </w:pPr>
      <w:r>
        <w:t xml:space="preserve">In-scope processing activities must be recorded in</w:t>
      </w:r>
      <w:r>
        <w:t xml:space="preserve"> </w:t>
      </w:r>
      <w:r>
        <w:rPr>
          <w:rStyle w:val="VerbatimChar"/>
        </w:rPr>
        <w:t xml:space="preserve">[PRIVACY INVENTORY OR RECORD]</w:t>
      </w:r>
      <w:r>
        <w:t xml:space="preserve">, including purpose, categories, individuals, systems, recipients, locations, legal basis, retention, security, transfers, and owner.</w:t>
      </w:r>
    </w:p>
    <w:bookmarkEnd w:id="24"/>
    <w:bookmarkStart w:id="25" w:name="privacy-by-design"/>
    <w:p>
      <w:pPr>
        <w:pStyle w:val="Heading2"/>
      </w:pPr>
      <w:r>
        <w:t xml:space="preserve">5. Privacy by design</w:t>
      </w:r>
    </w:p>
    <w:p>
      <w:pPr>
        <w:pStyle w:val="FirstParagraph"/>
      </w:pPr>
      <w:r>
        <w:t xml:space="preserve">Projects, products, procurement, analytics, AI, monitoring, and material changes must include privacy review early enough to influence decisions. High-risk processing requires</w:t>
      </w:r>
      <w:r>
        <w:t xml:space="preserve"> </w:t>
      </w:r>
      <w:r>
        <w:rPr>
          <w:rStyle w:val="VerbatimChar"/>
        </w:rPr>
        <w:t xml:space="preserve">[IMPACT ASSESSMENT PROCESS]</w:t>
      </w:r>
      <w:r>
        <w:t xml:space="preserve">.</w:t>
      </w:r>
    </w:p>
    <w:bookmarkEnd w:id="25"/>
    <w:bookmarkStart w:id="26" w:name="notices-choices-and-consent"/>
    <w:p>
      <w:pPr>
        <w:pStyle w:val="Heading2"/>
      </w:pPr>
      <w:r>
        <w:t xml:space="preserve">6. Notices, choices, and consent</w:t>
      </w:r>
    </w:p>
    <w:p>
      <w:pPr>
        <w:pStyle w:val="FirstParagraph"/>
      </w:pPr>
      <w:r>
        <w:t xml:space="preserve">Notices and choices must be clear, accessible, accurate, and provided when required. Consent must be used only where valid and managed according to applicable requirements; it must not be presented as the universal basis for processing.</w:t>
      </w:r>
    </w:p>
    <w:bookmarkEnd w:id="26"/>
    <w:bookmarkStart w:id="27" w:name="individual-rights"/>
    <w:p>
      <w:pPr>
        <w:pStyle w:val="Heading2"/>
      </w:pPr>
      <w:r>
        <w:t xml:space="preserve">7. Individual rights</w:t>
      </w:r>
    </w:p>
    <w:p>
      <w:pPr>
        <w:pStyle w:val="FirstParagraph"/>
      </w:pPr>
      <w:r>
        <w:t xml:space="preserve">Requests for access, correction, deletion, objection, restriction, portability, withdrawal, appeal, or other applicable rights must be authenticated, logged, evaluated, fulfilled, or lawfully denied within</w:t>
      </w:r>
      <w:r>
        <w:t xml:space="preserve"> </w:t>
      </w:r>
      <w:r>
        <w:rPr>
          <w:rStyle w:val="VerbatimChar"/>
        </w:rPr>
        <w:t xml:space="preserve">[TIMEFRAMES]</w:t>
      </w:r>
      <w:r>
        <w:t xml:space="preserve">.</w:t>
      </w:r>
    </w:p>
    <w:bookmarkEnd w:id="27"/>
    <w:bookmarkStart w:id="28" w:name="sharing-and-third-parties"/>
    <w:p>
      <w:pPr>
        <w:pStyle w:val="Heading2"/>
      </w:pPr>
      <w:r>
        <w:t xml:space="preserve">8. Sharing and third parties</w:t>
      </w:r>
    </w:p>
    <w:p>
      <w:pPr>
        <w:pStyle w:val="FirstParagraph"/>
      </w:pPr>
      <w:r>
        <w:t xml:space="preserve">Personal information may be shared only for authorized purposes with appropriate contracts, due diligence, access controls, transfer mechanisms, and ongoing oversight.</w:t>
      </w:r>
    </w:p>
    <w:bookmarkEnd w:id="28"/>
    <w:bookmarkStart w:id="29" w:name="X6c2f2918b5623e2f192d1d64b4797f12611dd0f"/>
    <w:p>
      <w:pPr>
        <w:pStyle w:val="Heading2"/>
      </w:pPr>
      <w:r>
        <w:t xml:space="preserve">9. International and cross-border processing</w:t>
      </w:r>
    </w:p>
    <w:p>
      <w:pPr>
        <w:pStyle w:val="FirstParagraph"/>
      </w:pPr>
      <w:r>
        <w:t xml:space="preserve">Cross-border processing must be assessed and supported by mechanisms valid for the applicable jurisdictions. Locations and onward transfers must be documented.</w:t>
      </w:r>
    </w:p>
    <w:bookmarkEnd w:id="29"/>
    <w:bookmarkStart w:id="30" w:name="retention-and-disposal"/>
    <w:p>
      <w:pPr>
        <w:pStyle w:val="Heading2"/>
      </w:pPr>
      <w:r>
        <w:t xml:space="preserve">10. Retention and disposal</w:t>
      </w:r>
    </w:p>
    <w:p>
      <w:pPr>
        <w:pStyle w:val="FirstParagraph"/>
      </w:pPr>
      <w:r>
        <w:t xml:space="preserve">Retention must follow approved schedules, legal holds, contractual duties, and documented business needs. Disposal must be secure and verifiable.</w:t>
      </w:r>
    </w:p>
    <w:bookmarkEnd w:id="30"/>
    <w:bookmarkStart w:id="31" w:name="security-and-incidents"/>
    <w:p>
      <w:pPr>
        <w:pStyle w:val="Heading2"/>
      </w:pPr>
      <w:r>
        <w:t xml:space="preserve">11. Security and incidents</w:t>
      </w:r>
    </w:p>
    <w:p>
      <w:pPr>
        <w:pStyle w:val="FirstParagraph"/>
      </w:pPr>
      <w:r>
        <w:t xml:space="preserve">Personal information must be protected by risk-based safeguards. Suspected privacy incidents must be reported through</w:t>
      </w:r>
      <w:r>
        <w:t xml:space="preserve"> </w:t>
      </w:r>
      <w:r>
        <w:rPr>
          <w:rStyle w:val="VerbatimChar"/>
        </w:rPr>
        <w:t xml:space="preserve">[CHANNEL]</w:t>
      </w:r>
      <w:r>
        <w:t xml:space="preserve"> </w:t>
      </w:r>
      <w:r>
        <w:t xml:space="preserve">and managed under the Incident Response Policy, including notification analysis.</w:t>
      </w:r>
    </w:p>
    <w:bookmarkEnd w:id="31"/>
    <w:bookmarkStart w:id="32" w:name="workforce-and-monitoring"/>
    <w:p>
      <w:pPr>
        <w:pStyle w:val="Heading2"/>
      </w:pPr>
      <w:r>
        <w:t xml:space="preserve">12. Workforce and monitoring</w:t>
      </w:r>
    </w:p>
    <w:p>
      <w:pPr>
        <w:pStyle w:val="FirstParagraph"/>
      </w:pPr>
      <w:r>
        <w:t xml:space="preserve">Employee, contractor, and workplace processing requires specific legal, labor, notice, proportionality, and access review. This section must be adapted locally.</w:t>
      </w:r>
    </w:p>
    <w:bookmarkEnd w:id="32"/>
    <w:bookmarkStart w:id="33" w:name="accountability"/>
    <w:p>
      <w:pPr>
        <w:pStyle w:val="Heading2"/>
      </w:pPr>
      <w:r>
        <w:t xml:space="preserve">13. Accountability</w:t>
      </w:r>
    </w:p>
    <w:p>
      <w:pPr>
        <w:pStyle w:val="FirstParagraph"/>
      </w:pPr>
      <w:r>
        <w:rPr>
          <w:rStyle w:val="VerbatimChar"/>
        </w:rPr>
        <w:t xml:space="preserve">[PRIVACY OFFICER OR RESPONSIBLE ROLE]</w:t>
      </w:r>
      <w:r>
        <w:t xml:space="preserve"> </w:t>
      </w:r>
      <w:r>
        <w:t xml:space="preserve">oversees the program. Business and system owners remain accountable for their processing activities, records, controls, and corrective actions.</w:t>
      </w:r>
    </w:p>
    <w:bookmarkEnd w:id="33"/>
    <w:bookmarkStart w:id="34" w:name="exceptions-and-enforcement"/>
    <w:p>
      <w:pPr>
        <w:pStyle w:val="Heading2"/>
      </w:pPr>
      <w:r>
        <w:t xml:space="preserve">14. Exceptions and enforcement</w:t>
      </w:r>
    </w:p>
    <w:p>
      <w:pPr>
        <w:pStyle w:val="FirstParagraph"/>
      </w:pPr>
      <w:r>
        <w:t xml:space="preserve">Exceptions require legal and privacy review, documented risk, duration, controls, and approval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. Violations are handled under applicable procedures and law.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2026-08-01T18:34:22Z</dcterms:created>
  <dcterms:modified xsi:type="dcterms:W3CDTF">2026-08-01T18:34:22Z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