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w:t>
      </w:r>
      <w:r>
        <w:t xml:space="preserve"> </w:t>
      </w:r>
      <w:r>
        <w:t xml:space="preserve">de</w:t>
      </w:r>
      <w:r>
        <w:t xml:space="preserve"> </w:t>
      </w:r>
      <w:r>
        <w:t xml:space="preserve">Cumplimiento</w:t>
      </w:r>
      <w:r>
        <w:t xml:space="preserve"> </w:t>
      </w:r>
      <w:r>
        <w:t xml:space="preserve">GRC</w:t>
      </w:r>
      <w:r>
        <w:t xml:space="preserve"> </w:t>
      </w:r>
      <w:r>
        <w:t xml:space="preserve">de</w:t>
      </w:r>
      <w:r>
        <w:t xml:space="preserve"> </w:t>
      </w:r>
      <w:r>
        <w:t xml:space="preserve">la</w:t>
      </w:r>
      <w:r>
        <w:t xml:space="preserve"> </w:t>
      </w:r>
      <w:r>
        <w:t xml:space="preserve">Ley</w:t>
      </w:r>
      <w:r>
        <w:t xml:space="preserve"> </w:t>
      </w:r>
      <w:r>
        <w:t xml:space="preserve">de</w:t>
      </w:r>
      <w:r>
        <w:t xml:space="preserve"> </w:t>
      </w:r>
      <w:r>
        <w:t xml:space="preserve">Inteligencia</w:t>
      </w:r>
      <w:r>
        <w:t xml:space="preserve"> </w:t>
      </w:r>
      <w:r>
        <w:t xml:space="preserve">Artificial</w:t>
      </w:r>
      <w:r>
        <w:t xml:space="preserve"> </w:t>
      </w:r>
      <w:r>
        <w:t xml:space="preserve">de</w:t>
      </w:r>
      <w:r>
        <w:t xml:space="preserve"> </w:t>
      </w:r>
      <w:r>
        <w:t xml:space="preserve">la</w:t>
      </w:r>
      <w:r>
        <w:t xml:space="preserve"> </w:t>
      </w:r>
      <w:r>
        <w:t xml:space="preserve">UE</w:t>
      </w:r>
    </w:p>
    <w:p>
      <w:pPr>
        <w:pStyle w:val="Subtitle"/>
      </w:pPr>
      <w:r>
        <w:t xml:space="preserve">Guía</w:t>
      </w:r>
      <w:r>
        <w:t xml:space="preserve"> </w:t>
      </w:r>
      <w:r>
        <w:t xml:space="preserve">práctica</w:t>
      </w:r>
      <w:r>
        <w:t xml:space="preserve"> </w:t>
      </w:r>
      <w:r>
        <w:t xml:space="preserve">de</w:t>
      </w:r>
      <w:r>
        <w:t xml:space="preserve"> </w:t>
      </w:r>
      <w:r>
        <w:t xml:space="preserve">gobernanza,</w:t>
      </w:r>
      <w:r>
        <w:t xml:space="preserve"> </w:t>
      </w:r>
      <w:r>
        <w:t xml:space="preserve">riesgos,</w:t>
      </w:r>
      <w:r>
        <w:t xml:space="preserve"> </w:t>
      </w:r>
      <w:r>
        <w:t xml:space="preserve">cumplimiento,</w:t>
      </w:r>
      <w:r>
        <w:t xml:space="preserve"> </w:t>
      </w:r>
      <w:r>
        <w:t xml:space="preserve">controles,</w:t>
      </w:r>
      <w:r>
        <w:t xml:space="preserve"> </w:t>
      </w:r>
      <w:r>
        <w:t xml:space="preserve">evidencia,</w:t>
      </w:r>
      <w:r>
        <w:t xml:space="preserve"> </w:t>
      </w:r>
      <w:r>
        <w:t xml:space="preserve">auditoría</w:t>
      </w:r>
      <w:r>
        <w:t xml:space="preserve"> </w:t>
      </w:r>
      <w:r>
        <w:t xml:space="preserve">e</w:t>
      </w:r>
      <w:r>
        <w:t xml:space="preserve"> </w:t>
      </w:r>
      <w:r>
        <w:t xml:space="preserve">implementación</w:t>
      </w:r>
    </w:p>
    <w:p>
      <w:pPr>
        <w:pStyle w:val="Author"/>
      </w:pPr>
      <w:r>
        <w:t xml:space="preserve">Al</w:t>
      </w:r>
      <w:r>
        <w:t xml:space="preserve"> </w:t>
      </w:r>
      <w:r>
        <w:t xml:space="preserve">Leiva,</w:t>
      </w:r>
      <w:r>
        <w:t xml:space="preserve"> </w:t>
      </w:r>
      <w:r>
        <w:t xml:space="preserve">con</w:t>
      </w:r>
      <w:r>
        <w:t xml:space="preserve"> </w:t>
      </w:r>
      <w:r>
        <w:t xml:space="preserve">apoyo</w:t>
      </w:r>
      <w:r>
        <w:t xml:space="preserve"> </w:t>
      </w:r>
      <w:r>
        <w:t xml:space="preserve">de</w:t>
      </w:r>
      <w:r>
        <w:t xml:space="preserve"> </w:t>
      </w:r>
      <w:r>
        <w:t xml:space="preserve">redacción</w:t>
      </w:r>
      <w:r>
        <w:t xml:space="preserve"> </w:t>
      </w:r>
      <w:r>
        <w:t xml:space="preserve">y</w:t>
      </w:r>
      <w:r>
        <w:t xml:space="preserve"> </w:t>
      </w:r>
      <w:r>
        <w:t xml:space="preserve">revisión</w:t>
      </w:r>
      <w:r>
        <w:t xml:space="preserve"> </w:t>
      </w:r>
      <w:r>
        <w:t xml:space="preserve">asistida</w:t>
      </w:r>
      <w:r>
        <w:t xml:space="preserve"> </w:t>
      </w:r>
      <w:r>
        <w:t xml:space="preserve">por</w:t>
      </w:r>
      <w:r>
        <w:t xml:space="preserve"> </w:t>
      </w:r>
      <w:r>
        <w:t xml:space="preserve">IA</w:t>
      </w:r>
    </w:p>
    <w:p>
      <w:pPr>
        <w:pStyle w:val="Date"/>
      </w:pPr>
      <w:r>
        <w:t xml:space="preserve">30</w:t>
      </w:r>
      <w:r>
        <w:t xml:space="preserve"> </w:t>
      </w:r>
      <w:r>
        <w:t xml:space="preserve">de</w:t>
      </w:r>
      <w:r>
        <w:t xml:space="preserve"> </w:t>
      </w:r>
      <w:r>
        <w:t xml:space="preserve">julio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Tabla de contenido</w:t>
          </w:r>
        </w:p>
        <w:p>
          <w:r>
            <w:fldChar w:fldCharType="begin" w:dirty="true"/>
            <w:instrText xml:space="preserve">TOC \o "1-3" \h \z \u</w:instrText>
            <w:fldChar w:fldCharType="separate"/>
            <w:fldChar w:fldCharType="end"/>
          </w:r>
        </w:p>
      </w:sdtContent>
    </w:sdt>
    <w:bookmarkStart w:id="1403" w:name="X23e8176996bbe523825f2d1273a43fb3bbe9af8"/>
    <w:p>
      <w:pPr>
        <w:pStyle w:val="Heading1"/>
      </w:pPr>
      <w:r>
        <w:rPr>
          <w:rStyle w:val="SectionNumber"/>
        </w:rPr>
        <w:t xml:space="preserve">1</w:t>
      </w:r>
      <w:r>
        <w:tab/>
      </w:r>
      <w:r>
        <w:t xml:space="preserve">Manual de Cumplimiento GRC de la Ley de Inteligencia Artificial de la UE</w:t>
      </w:r>
    </w:p>
    <w:p>
      <w:pPr>
        <w:pStyle w:val="BlockText"/>
      </w:pPr>
      <w:r>
        <w:rPr>
          <w:bCs/>
          <w:b/>
        </w:rPr>
        <w:t xml:space="preserve">Estado de publicación:</w:t>
      </w:r>
      <w:r>
        <w:t xml:space="preserve"> </w:t>
      </w:r>
      <w:r>
        <w:t xml:space="preserve">Edición controlada en español para revisión. La edición conserva la estructura y las referencias jurídicas de la fuente inglesa controlada.</w:t>
      </w:r>
    </w:p>
    <w:bookmarkStart w:id="20" w:name="aviso-jurídico-y-educativo"/>
    <w:p>
      <w:pPr>
        <w:pStyle w:val="Heading2"/>
      </w:pPr>
      <w:r>
        <w:rPr>
          <w:rStyle w:val="SectionNumber"/>
        </w:rPr>
        <w:t xml:space="preserve">1.1</w:t>
      </w:r>
      <w:r>
        <w:tab/>
      </w:r>
      <w:r>
        <w:t xml:space="preserve">Aviso jurídico y educativo</w:t>
      </w:r>
    </w:p>
    <w:p>
      <w:pPr>
        <w:pStyle w:val="FirstParagraph"/>
      </w:pPr>
      <w:r>
        <w:t xml:space="preserve">Este manual es un recurso educativo y operativo de gobernanza. No sustituye asesoría jurídica calificada, una evaluación de conformidad, la revisión de un organismo notificado, instrucciones de una autoridad competente, obligaciones sectoriales ni el texto consolidado vigente de la legislación aplicable.</w:t>
      </w:r>
    </w:p>
    <w:bookmarkEnd w:id="20"/>
    <w:bookmarkStart w:id="21" w:name="cómo-utilizar-este-manual"/>
    <w:p>
      <w:pPr>
        <w:pStyle w:val="Heading2"/>
      </w:pPr>
      <w:r>
        <w:rPr>
          <w:rStyle w:val="SectionNumber"/>
        </w:rPr>
        <w:t xml:space="preserve">1.2</w:t>
      </w:r>
      <w:r>
        <w:tab/>
      </w:r>
      <w:r>
        <w:t xml:space="preserve">Cómo utilizar este manual</w:t>
      </w:r>
    </w:p>
    <w:p>
      <w:pPr>
        <w:pStyle w:val="FirstParagraph"/>
      </w:pPr>
      <w:r>
        <w:t xml:space="preserve">Use cada capítulo para identificar el requisito aplicable, comprenderlo en lenguaje claro, aplicar el ejemplo de GlobalWay Travel Services, definir la actividad de control, conservar evidencia y realizar una prueba de auditoría.</w:t>
      </w:r>
    </w:p>
    <w:bookmarkEnd w:id="21"/>
    <w:bookmarkStart w:id="22" w:name="base-jurídica-controlada"/>
    <w:p>
      <w:pPr>
        <w:pStyle w:val="Heading2"/>
      </w:pPr>
      <w:r>
        <w:rPr>
          <w:rStyle w:val="SectionNumber"/>
        </w:rPr>
        <w:t xml:space="preserve">1.3</w:t>
      </w:r>
      <w:r>
        <w:tab/>
      </w:r>
      <w:r>
        <w:t xml:space="preserve">Base jurídica controlada</w:t>
      </w:r>
    </w:p>
    <w:p>
      <w:pPr>
        <w:numPr>
          <w:ilvl w:val="0"/>
          <w:numId w:val="1001"/>
        </w:numPr>
        <w:pStyle w:val="Compact"/>
      </w:pPr>
      <w:r>
        <w:t xml:space="preserve">Reglamento (UE) 2024/1689, con sus modificaciones.</w:t>
      </w:r>
    </w:p>
    <w:p>
      <w:pPr>
        <w:numPr>
          <w:ilvl w:val="0"/>
          <w:numId w:val="1001"/>
        </w:numPr>
        <w:pStyle w:val="Compact"/>
      </w:pPr>
      <w:r>
        <w:t xml:space="preserve">Reglamento (UE) 2026/1744.</w:t>
      </w:r>
    </w:p>
    <w:p>
      <w:pPr>
        <w:numPr>
          <w:ilvl w:val="0"/>
          <w:numId w:val="1001"/>
        </w:numPr>
        <w:pStyle w:val="Compact"/>
      </w:pPr>
      <w:r>
        <w:t xml:space="preserve">Texto consolidado vigente de EUR-Lex.</w:t>
      </w:r>
    </w:p>
    <w:p>
      <w:pPr>
        <w:numPr>
          <w:ilvl w:val="0"/>
          <w:numId w:val="1001"/>
        </w:numPr>
        <w:pStyle w:val="Compact"/>
      </w:pPr>
      <w:r>
        <w:t xml:space="preserve">Material oficial de la Comisión Europea y de la Oficina de IA de la UE, identificado como orientación no vinculante salvo que se incorpore mediante un instrumento vinculante.</w:t>
      </w:r>
    </w:p>
    <w:bookmarkEnd w:id="22"/>
    <w:bookmarkStart w:id="23" w:name="Xeb889367352f28738a3741205305648dd83a646"/>
    <w:p>
      <w:pPr>
        <w:pStyle w:val="Heading2"/>
      </w:pPr>
      <w:r>
        <w:rPr>
          <w:rStyle w:val="SectionNumber"/>
        </w:rPr>
        <w:t xml:space="preserve">1.4</w:t>
      </w:r>
      <w:r>
        <w:tab/>
      </w:r>
      <w:r>
        <w:t xml:space="preserve">Capítulo 1 — Comprensión de la Ley de IA de la UE</w:t>
      </w:r>
    </w:p>
    <w:p>
      <w:pPr>
        <w:pStyle w:val="BlockText"/>
      </w:pPr>
      <w:r>
        <w:rPr>
          <w:bCs/>
          <w:b/>
        </w:rPr>
        <w:t xml:space="preserve">Estatus legal:</w:t>
      </w:r>
      <w:r>
        <w:t xml:space="preserve"> </w:t>
      </w:r>
      <w:r>
        <w:t xml:space="preserve">Maestro inglés corregido. Este capítulo es una introducción educativa y operativa. Las conclusiones vinculantes deben ser verificadas con el texto consolidado actual del Reglamento (UE) 2024/1689, en su versión modificada, para el actor, sistema, uso, jurisdicción y fecha de aplicación correspondiente.</w:t>
      </w:r>
    </w:p>
    <w:bookmarkEnd w:id="23"/>
    <w:bookmarkStart w:id="24" w:name="requisito"/>
    <w:p>
      <w:pPr>
        <w:pStyle w:val="Heading2"/>
      </w:pPr>
      <w:r>
        <w:rPr>
          <w:rStyle w:val="SectionNumber"/>
        </w:rPr>
        <w:t xml:space="preserve">1.5</w:t>
      </w:r>
      <w:r>
        <w:tab/>
      </w:r>
      <w:r>
        <w:t xml:space="preserve">Requisito</w:t>
      </w:r>
    </w:p>
    <w:p>
      <w:pPr>
        <w:pStyle w:val="FirstParagraph"/>
      </w:pPr>
      <w:r>
        <w:t xml:space="preserve">Las organizaciones que desarrollen, proporcionen, importen, distribuyan, integren o desplieguen sistemas de inteligencia artificial o modelos de IA de uso general deben determinar si la Ley de IA de la UE se aplica, identificar su función jurídica, clasificar correctamente el sistema o modelo y aplicar las obligaciones que se aplican a esa función y clasificación.</w:t>
      </w:r>
    </w:p>
    <w:p>
      <w:pPr>
        <w:pStyle w:val="BodyText"/>
      </w:pPr>
      <w:r>
        <w:t xml:space="preserve">La ley utiliza una estructura basada en los riesgos y los actores, y no impone las mismas obligaciones a todos los sistemas de IA ni a todas las organizaciones. Los deberes aplicables dependen de hechos tales como la finalidad prevista, la colocación en el mercado, el contexto de despliegue, las personas afectadas, la integración de productos, el sistema o el tipo de modelo, la entidad jurídica, la jurisdicción y el calendario.</w:t>
      </w:r>
    </w:p>
    <w:bookmarkEnd w:id="24"/>
    <w:bookmarkStart w:id="25" w:name="explicación-en-lenguaje-sencillo"/>
    <w:p>
      <w:pPr>
        <w:pStyle w:val="Heading2"/>
      </w:pPr>
      <w:r>
        <w:rPr>
          <w:rStyle w:val="SectionNumber"/>
        </w:rPr>
        <w:t xml:space="preserve">1.6</w:t>
      </w:r>
      <w:r>
        <w:tab/>
      </w:r>
      <w:r>
        <w:t xml:space="preserve">Explicación en lenguaje sencillo</w:t>
      </w:r>
    </w:p>
    <w:p>
      <w:pPr>
        <w:pStyle w:val="FirstParagraph"/>
      </w:pPr>
      <w:r>
        <w:t xml:space="preserve">La Ley de IA de la UE no es una única lista de verificación para todas las IA. Crea diferentes vías jurídicas:</w:t>
      </w:r>
    </w:p>
    <w:p>
      <w:pPr>
        <w:numPr>
          <w:ilvl w:val="0"/>
          <w:numId w:val="1002"/>
        </w:numPr>
        <w:pStyle w:val="Compact"/>
      </w:pPr>
      <w:r>
        <w:t xml:space="preserve">ciertas prácticas de IA están prohibidas;</w:t>
      </w:r>
    </w:p>
    <w:p>
      <w:pPr>
        <w:numPr>
          <w:ilvl w:val="0"/>
          <w:numId w:val="1002"/>
        </w:numPr>
        <w:pStyle w:val="Compact"/>
      </w:pPr>
      <w:r>
        <w:t xml:space="preserve">algunos sistemas de IA están clasificados como de alto riesgo y están sujetos a amplios controles del ciclo de vida;</w:t>
      </w:r>
    </w:p>
    <w:p>
      <w:pPr>
        <w:numPr>
          <w:ilvl w:val="0"/>
          <w:numId w:val="1002"/>
        </w:numPr>
        <w:pStyle w:val="Compact"/>
      </w:pPr>
      <w:r>
        <w:t xml:space="preserve">algunos sistemas y productos generan obligaciones de transparencia;</w:t>
      </w:r>
    </w:p>
    <w:p>
      <w:pPr>
        <w:numPr>
          <w:ilvl w:val="0"/>
          <w:numId w:val="1002"/>
        </w:numPr>
        <w:pStyle w:val="Compact"/>
      </w:pPr>
      <w:r>
        <w:t xml:space="preserve">los proveedores de modelos de IA de uso general tienen obligaciones distintas, con obligaciones adicionales para los modelos que presentan riesgos sistémicos;</w:t>
      </w:r>
    </w:p>
    <w:p>
      <w:pPr>
        <w:numPr>
          <w:ilvl w:val="0"/>
          <w:numId w:val="1002"/>
        </w:numPr>
        <w:pStyle w:val="Compact"/>
      </w:pPr>
      <w:r>
        <w:t xml:space="preserve">muchos otros usos de la IA siguen sujetos a una gobernanza más amplia, privacidad, ciberseguridad, empleo, consumo, seguridad de los productos, accesibilidad y requisitos sectoriales.</w:t>
      </w:r>
    </w:p>
    <w:p>
      <w:pPr>
        <w:pStyle w:val="FirstParagraph"/>
      </w:pPr>
      <w:r>
        <w:t xml:space="preserve">Por lo tanto, una empresa debe responder a cuatro preguntas antes de decidir qué controles son necesarios:</w:t>
      </w:r>
    </w:p>
    <w:p>
      <w:pPr>
        <w:numPr>
          <w:ilvl w:val="0"/>
          <w:numId w:val="1003"/>
        </w:numPr>
        <w:pStyle w:val="Compact"/>
      </w:pPr>
      <w:r>
        <w:t xml:space="preserve">¿Cumple la capacidad con la definición legal actual de un sistema de IA o modelo de IA de uso general?</w:t>
      </w:r>
    </w:p>
    <w:p>
      <w:pPr>
        <w:numPr>
          <w:ilvl w:val="0"/>
          <w:numId w:val="1003"/>
        </w:numPr>
        <w:pStyle w:val="Compact"/>
      </w:pPr>
      <w:r>
        <w:t xml:space="preserve">¿Qué entidad jurídica desempeña qué función regulada?</w:t>
      </w:r>
    </w:p>
    <w:p>
      <w:pPr>
        <w:numPr>
          <w:ilvl w:val="0"/>
          <w:numId w:val="1003"/>
        </w:numPr>
        <w:pStyle w:val="Compact"/>
      </w:pPr>
      <w:r>
        <w:t xml:space="preserve">¿Qué práctica prohibida, alto riesgo, transparencia, GPAI, producto u otra categoría legal se aplica?</w:t>
      </w:r>
    </w:p>
    <w:p>
      <w:pPr>
        <w:numPr>
          <w:ilvl w:val="0"/>
          <w:numId w:val="1003"/>
        </w:numPr>
        <w:pStyle w:val="Compact"/>
      </w:pPr>
      <w:r>
        <w:t xml:space="preserve">¿Cuándo se aplica la disposición pertinente, incluidas las normas transitorias?</w:t>
      </w:r>
    </w:p>
    <w:p>
      <w:pPr>
        <w:pStyle w:val="FirstParagraph"/>
      </w:pPr>
      <w:r>
        <w:t xml:space="preserve">Las calificaciones internas de riesgo, las etiquetas de proveedores, las descripciones de marketing, los títulos de los contratos o los puntajes de madurez no sustituyen este análisis legal.</w:t>
      </w:r>
    </w:p>
    <w:bookmarkEnd w:id="25"/>
    <w:bookmarkStart w:id="26" w:name="X9b14012b53310823d90f95b3853202b42a83da0"/>
    <w:p>
      <w:pPr>
        <w:pStyle w:val="Heading2"/>
      </w:pPr>
      <w:r>
        <w:rPr>
          <w:rStyle w:val="SectionNumber"/>
        </w:rPr>
        <w:t xml:space="preserve">1.7</w:t>
      </w:r>
      <w:r>
        <w:tab/>
      </w:r>
      <w:r>
        <w:t xml:space="preserve">Ejemplo de servicios de viajes de GlobalWay</w:t>
      </w:r>
    </w:p>
    <w:p>
      <w:pPr>
        <w:pStyle w:val="FirstParagraph"/>
      </w:pPr>
      <w:r>
        <w:t xml:space="preserve">GlobalWay Travel Services utiliza IA para chatbots de apoyo al cliente, recomendaciones de itinerarios, alertas de riesgo de viaje, detección de fraudes, selección de reclutamiento, puntuación de proveedores y asistencia generativa para consultores de viajes.</w:t>
      </w:r>
    </w:p>
    <w:p>
      <w:pPr>
        <w:pStyle w:val="BodyText"/>
      </w:pPr>
      <w:r>
        <w:t xml:space="preserve">Estos usos no comparten una clasificación legal. El chatbot del cliente puede desencadenar tareas de interacción-transparencia. La selección de reclutamiento puede requerir análisis de alto riesgo bajo la categoría de empleo. La detección de fraudes puede plantear problemas de perfilamiento, discriminación, privacidad y supervisión humana. Un modelo de propósito general integrado en una herramienta consultora de viajes crea preguntas separadas del proveedor y del sistema descendente.</w:t>
      </w:r>
    </w:p>
    <w:p>
      <w:pPr>
        <w:pStyle w:val="BodyText"/>
      </w:pPr>
      <w:r>
        <w:t xml:space="preserve">GlobalWay, por lo tanto, mantiene un registro de inventario por sistema y versión, mapea cada una de las entidades jurídicas y actores involucrados, registra el propósito previsto, identifica a las personas y jurisdicciones afectadas y completa las pantallas legales aplicables antes de la adquisición, el piloto, el despliegue o el cambio de material.</w:t>
      </w:r>
    </w:p>
    <w:bookmarkEnd w:id="26"/>
    <w:bookmarkStart w:id="27" w:name="actividad-de-control"/>
    <w:p>
      <w:pPr>
        <w:pStyle w:val="Heading2"/>
      </w:pPr>
      <w:r>
        <w:rPr>
          <w:rStyle w:val="SectionNumber"/>
        </w:rPr>
        <w:t xml:space="preserve">1.8</w:t>
      </w:r>
      <w:r>
        <w:tab/>
      </w:r>
      <w:r>
        <w:t xml:space="preserve">Actividad de control</w:t>
      </w:r>
    </w:p>
    <w:p>
      <w:pPr>
        <w:pStyle w:val="FirstParagraph"/>
      </w:pPr>
      <w:r>
        <w:t xml:space="preserve">Establecer una puerta de clasificación y aplicabilidad de la IA que requiera una revisión documentada antes de que un sistema o modelo de IA sea comprado, desarrollado, piloto, modificado materialmente, puesto en el mercado, puesto en servicio o desplegado.</w:t>
      </w:r>
    </w:p>
    <w:p>
      <w:pPr>
        <w:pStyle w:val="BodyText"/>
      </w:pPr>
      <w:r>
        <w:t xml:space="preserve">La puerta debe requerir:</w:t>
      </w:r>
    </w:p>
    <w:p>
      <w:pPr>
        <w:numPr>
          <w:ilvl w:val="0"/>
          <w:numId w:val="1004"/>
        </w:numPr>
        <w:pStyle w:val="Compact"/>
      </w:pPr>
      <w:r>
        <w:t xml:space="preserve">un registro de inventario y responsables de los propietarios comerciales y técnicos;</w:t>
      </w:r>
    </w:p>
    <w:p>
      <w:pPr>
        <w:numPr>
          <w:ilvl w:val="0"/>
          <w:numId w:val="1004"/>
        </w:numPr>
        <w:pStyle w:val="Compact"/>
      </w:pPr>
      <w:r>
        <w:t xml:space="preserve">análisis jurídico-entidad y actor-función;</w:t>
      </w:r>
    </w:p>
    <w:p>
      <w:pPr>
        <w:numPr>
          <w:ilvl w:val="0"/>
          <w:numId w:val="1004"/>
        </w:numPr>
        <w:pStyle w:val="Compact"/>
      </w:pPr>
      <w:r>
        <w:t xml:space="preserve">documentación para fines previstos y para usos previsibles;</w:t>
      </w:r>
    </w:p>
    <w:p>
      <w:pPr>
        <w:numPr>
          <w:ilvl w:val="0"/>
          <w:numId w:val="1004"/>
        </w:numPr>
        <w:pStyle w:val="Compact"/>
      </w:pPr>
      <w:r>
        <w:t xml:space="preserve">la detección de prácticas prohibidas;</w:t>
      </w:r>
    </w:p>
    <w:p>
      <w:pPr>
        <w:numPr>
          <w:ilvl w:val="0"/>
          <w:numId w:val="1004"/>
        </w:numPr>
        <w:pStyle w:val="Compact"/>
      </w:pPr>
      <w:r>
        <w:t xml:space="preserve">análisis de clasificación de alto riesgo;</w:t>
      </w:r>
    </w:p>
    <w:p>
      <w:pPr>
        <w:numPr>
          <w:ilvl w:val="0"/>
          <w:numId w:val="1004"/>
        </w:numPr>
        <w:pStyle w:val="Compact"/>
      </w:pPr>
      <w:r>
        <w:t xml:space="preserve">transparencia y detección de GPAI;</w:t>
      </w:r>
    </w:p>
    <w:p>
      <w:pPr>
        <w:numPr>
          <w:ilvl w:val="0"/>
          <w:numId w:val="1004"/>
        </w:numPr>
        <w:pStyle w:val="Compact"/>
      </w:pPr>
      <w:r>
        <w:t xml:space="preserve">la fecha de aplicación y la verificación de las normas transitorias;</w:t>
      </w:r>
    </w:p>
    <w:p>
      <w:pPr>
        <w:numPr>
          <w:ilvl w:val="0"/>
          <w:numId w:val="1004"/>
        </w:numPr>
        <w:pStyle w:val="Compact"/>
      </w:pPr>
      <w:r>
        <w:t xml:space="preserve">identificación de la privacidad, la seguridad, el empleo, el consumidor, el producto, la accesibilidad y las obligaciones sectoriales;</w:t>
      </w:r>
    </w:p>
    <w:p>
      <w:pPr>
        <w:numPr>
          <w:ilvl w:val="0"/>
          <w:numId w:val="1004"/>
        </w:numPr>
        <w:pStyle w:val="Compact"/>
      </w:pPr>
      <w:r>
        <w:t xml:space="preserve">aprobación, restricción, escalada o rechazo basados en pruebas;</w:t>
      </w:r>
    </w:p>
    <w:p>
      <w:pPr>
        <w:numPr>
          <w:ilvl w:val="0"/>
          <w:numId w:val="1004"/>
        </w:numPr>
        <w:pStyle w:val="Compact"/>
      </w:pPr>
      <w:r>
        <w:t xml:space="preserve">reevaluación después del cambio material.</w:t>
      </w:r>
    </w:p>
    <w:bookmarkEnd w:id="27"/>
    <w:bookmarkStart w:id="28" w:name="pruebas"/>
    <w:p>
      <w:pPr>
        <w:pStyle w:val="Heading2"/>
      </w:pPr>
      <w:r>
        <w:rPr>
          <w:rStyle w:val="SectionNumber"/>
        </w:rPr>
        <w:t xml:space="preserve">1.9</w:t>
      </w:r>
      <w:r>
        <w:tab/>
      </w:r>
      <w:r>
        <w:t xml:space="preserve">Pruebas</w:t>
      </w:r>
    </w:p>
    <w:p>
      <w:pPr>
        <w:pStyle w:val="FirstParagraph"/>
      </w:pPr>
      <w:r>
        <w:t xml:space="preserve">Mantener, según proceda:</w:t>
      </w:r>
    </w:p>
    <w:p>
      <w:pPr>
        <w:numPr>
          <w:ilvl w:val="0"/>
          <w:numId w:val="1005"/>
        </w:numPr>
        <w:pStyle w:val="Compact"/>
      </w:pPr>
      <w:r>
        <w:t xml:space="preserve">Inventario de inteligencia artificial y registros de admisión;</w:t>
      </w:r>
    </w:p>
    <w:p>
      <w:pPr>
        <w:numPr>
          <w:ilvl w:val="0"/>
          <w:numId w:val="1005"/>
        </w:numPr>
        <w:pStyle w:val="Compact"/>
      </w:pPr>
      <w:r>
        <w:t xml:space="preserve">descripciones de sistemas y modelos;</w:t>
      </w:r>
    </w:p>
    <w:p>
      <w:pPr>
        <w:numPr>
          <w:ilvl w:val="0"/>
          <w:numId w:val="1005"/>
        </w:numPr>
        <w:pStyle w:val="Compact"/>
      </w:pPr>
      <w:r>
        <w:t xml:space="preserve">declaraciones de finalidad prevista;</w:t>
      </w:r>
    </w:p>
    <w:p>
      <w:pPr>
        <w:numPr>
          <w:ilvl w:val="0"/>
          <w:numId w:val="1005"/>
        </w:numPr>
        <w:pStyle w:val="Compact"/>
      </w:pPr>
      <w:r>
        <w:t xml:space="preserve">mapas de la entidad jurídica y de la cadena de valor;</w:t>
      </w:r>
    </w:p>
    <w:p>
      <w:pPr>
        <w:numPr>
          <w:ilvl w:val="0"/>
          <w:numId w:val="1005"/>
        </w:numPr>
        <w:pStyle w:val="Compact"/>
      </w:pPr>
      <w:r>
        <w:t xml:space="preserve">evaluación de la función del actor y de su aplicabilidad;</w:t>
      </w:r>
    </w:p>
    <w:p>
      <w:pPr>
        <w:numPr>
          <w:ilvl w:val="0"/>
          <w:numId w:val="1005"/>
        </w:numPr>
        <w:pStyle w:val="Compact"/>
      </w:pPr>
      <w:r>
        <w:t xml:space="preserve">prácticas prohibidas y hojas de trabajo de alto riesgo;</w:t>
      </w:r>
    </w:p>
    <w:p>
      <w:pPr>
        <w:numPr>
          <w:ilvl w:val="0"/>
          <w:numId w:val="1005"/>
        </w:numPr>
        <w:pStyle w:val="Compact"/>
      </w:pPr>
      <w:r>
        <w:t xml:space="preserve">transparencia y análisis GPAI;</w:t>
      </w:r>
    </w:p>
    <w:p>
      <w:pPr>
        <w:numPr>
          <w:ilvl w:val="0"/>
          <w:numId w:val="1005"/>
        </w:numPr>
        <w:pStyle w:val="Compact"/>
      </w:pPr>
      <w:r>
        <w:t xml:space="preserve">los registros de origen jurídico y de fecha de aplicación;</w:t>
      </w:r>
    </w:p>
    <w:p>
      <w:pPr>
        <w:numPr>
          <w:ilvl w:val="0"/>
          <w:numId w:val="1005"/>
        </w:numPr>
        <w:pStyle w:val="Compact"/>
      </w:pPr>
      <w:r>
        <w:t xml:space="preserve">aprobaciones, condiciones, excepciones y decisiones de escalada;</w:t>
      </w:r>
    </w:p>
    <w:p>
      <w:pPr>
        <w:numPr>
          <w:ilvl w:val="0"/>
          <w:numId w:val="1005"/>
        </w:numPr>
        <w:pStyle w:val="Compact"/>
      </w:pPr>
      <w:r>
        <w:t xml:space="preserve">versión, cambio y historial de reevaluación;</w:t>
      </w:r>
    </w:p>
    <w:p>
      <w:pPr>
        <w:numPr>
          <w:ilvl w:val="0"/>
          <w:numId w:val="1005"/>
        </w:numPr>
        <w:pStyle w:val="Compact"/>
      </w:pPr>
      <w:r>
        <w:t xml:space="preserve">documentación y contratos del proveedor.</w:t>
      </w:r>
    </w:p>
    <w:p>
      <w:pPr>
        <w:pStyle w:val="FirstParagraph"/>
      </w:pPr>
      <w:r>
        <w:t xml:space="preserve">Las pruebas deben ser atribuibles, actuales, vinculadas a versiones, coherentes internamente, protegidas contra alteraciones no autorizadas y recuperables para el propósito de la revisión pertinente.</w:t>
      </w:r>
    </w:p>
    <w:bookmarkEnd w:id="28"/>
    <w:bookmarkStart w:id="29" w:name="prueba-de-auditoría"/>
    <w:p>
      <w:pPr>
        <w:pStyle w:val="Heading2"/>
      </w:pPr>
      <w:r>
        <w:rPr>
          <w:rStyle w:val="SectionNumber"/>
        </w:rPr>
        <w:t xml:space="preserve">1.10</w:t>
      </w:r>
      <w:r>
        <w:tab/>
      </w:r>
      <w:r>
        <w:t xml:space="preserve">Prueba de auditoría</w:t>
      </w:r>
    </w:p>
    <w:p>
      <w:pPr>
        <w:numPr>
          <w:ilvl w:val="0"/>
          <w:numId w:val="1006"/>
        </w:numPr>
        <w:pStyle w:val="Compact"/>
      </w:pPr>
      <w:r>
        <w:t xml:space="preserve">Seleccione una muestra basada en el riesgo de los sistemas y modelos de IA de los registros de adquisiciones, tecnología, nube, datos, recursos humanos, servicio al cliente y proveedores.</w:t>
      </w:r>
    </w:p>
    <w:p>
      <w:pPr>
        <w:numPr>
          <w:ilvl w:val="0"/>
          <w:numId w:val="1006"/>
        </w:numPr>
        <w:pStyle w:val="Compact"/>
      </w:pPr>
      <w:r>
        <w:t xml:space="preserve">Verificar que cada elemento muestreado aparezca en el inventario de IA con la entidad jurídica, el propietario, la finalidad prevista, la versión y la jurisdicción correctas.</w:t>
      </w:r>
    </w:p>
    <w:p>
      <w:pPr>
        <w:numPr>
          <w:ilvl w:val="0"/>
          <w:numId w:val="1006"/>
        </w:numPr>
        <w:pStyle w:val="Compact"/>
      </w:pPr>
      <w:r>
        <w:t xml:space="preserve">Inspeccione el papel del actor, la práctica prohibida, el alto riesgo, la transparencia, el GPAI y las evaluaciones de la fecha de aplicación.</w:t>
      </w:r>
    </w:p>
    <w:p>
      <w:pPr>
        <w:numPr>
          <w:ilvl w:val="0"/>
          <w:numId w:val="1006"/>
        </w:numPr>
        <w:pStyle w:val="Compact"/>
      </w:pPr>
      <w:r>
        <w:t xml:space="preserve">Compare las conclusiones con la funcionalidad real del sistema, los contratos, la marca, el despliegue y el contexto de la persona afectada.</w:t>
      </w:r>
    </w:p>
    <w:p>
      <w:pPr>
        <w:numPr>
          <w:ilvl w:val="0"/>
          <w:numId w:val="1006"/>
        </w:numPr>
        <w:pStyle w:val="Compact"/>
      </w:pPr>
      <w:r>
        <w:t xml:space="preserve">Confirmar que los controles y aprobaciones requeridos se completaron antes del despliegue o cambio de material.</w:t>
      </w:r>
    </w:p>
    <w:p>
      <w:pPr>
        <w:numPr>
          <w:ilvl w:val="0"/>
          <w:numId w:val="1006"/>
        </w:numPr>
        <w:pStyle w:val="Compact"/>
      </w:pPr>
      <w:r>
        <w:t xml:space="preserve">Comprobar si la reevaluación ocurrió después del modelo, propósito, datos, proveedor, jurisdicción, población o cambios legales.</w:t>
      </w:r>
    </w:p>
    <w:p>
      <w:pPr>
        <w:numPr>
          <w:ilvl w:val="0"/>
          <w:numId w:val="1006"/>
        </w:numPr>
        <w:pStyle w:val="Compact"/>
      </w:pPr>
      <w:r>
        <w:t xml:space="preserve">Informar de las clasificaciones que faltan, no están justificadas, son incoherentes o están anticuadas como conclusiones y evaluar si la operación debe restringirse o suspenderse hasta que se resuelva.</w:t>
      </w:r>
    </w:p>
    <w:bookmarkEnd w:id="29"/>
    <w:bookmarkStart w:id="30" w:name="métricas"/>
    <w:p>
      <w:pPr>
        <w:pStyle w:val="Heading2"/>
      </w:pPr>
      <w:r>
        <w:rPr>
          <w:rStyle w:val="SectionNumber"/>
        </w:rPr>
        <w:t xml:space="preserve">1.11</w:t>
      </w:r>
      <w:r>
        <w:tab/>
      </w:r>
      <w:r>
        <w:t xml:space="preserve">Métricas</w:t>
      </w:r>
    </w:p>
    <w:p>
      <w:pPr>
        <w:pStyle w:val="FirstParagraph"/>
      </w:pPr>
      <w:r>
        <w:t xml:space="preserve">Entre los indicadores de gobernanza útiles figuran los siguientes:</w:t>
      </w:r>
    </w:p>
    <w:p>
      <w:pPr>
        <w:numPr>
          <w:ilvl w:val="0"/>
          <w:numId w:val="1007"/>
        </w:numPr>
        <w:pStyle w:val="Compact"/>
      </w:pPr>
      <w:r>
        <w:t xml:space="preserve">porcentaje de sistemas de IA identificados registrados en el inventario;</w:t>
      </w:r>
    </w:p>
    <w:p>
      <w:pPr>
        <w:numPr>
          <w:ilvl w:val="0"/>
          <w:numId w:val="1007"/>
        </w:numPr>
        <w:pStyle w:val="Compact"/>
      </w:pPr>
      <w:r>
        <w:t xml:space="preserve">porcentaje con exámenes de la función de los actores y la clasificación completados;</w:t>
      </w:r>
    </w:p>
    <w:p>
      <w:pPr>
        <w:numPr>
          <w:ilvl w:val="0"/>
          <w:numId w:val="1007"/>
        </w:numPr>
        <w:pStyle w:val="Compact"/>
      </w:pPr>
      <w:r>
        <w:t xml:space="preserve">prácticas prohibidas no resueltas o determinaciones de alto riesgo;</w:t>
      </w:r>
    </w:p>
    <w:p>
      <w:pPr>
        <w:numPr>
          <w:ilvl w:val="0"/>
          <w:numId w:val="1007"/>
        </w:numPr>
        <w:pStyle w:val="Compact"/>
      </w:pPr>
      <w:r>
        <w:t xml:space="preserve">los exámenes de la fecha legal o la reevaluación atrasados;</w:t>
      </w:r>
    </w:p>
    <w:p>
      <w:pPr>
        <w:numPr>
          <w:ilvl w:val="0"/>
          <w:numId w:val="1007"/>
        </w:numPr>
        <w:pStyle w:val="Compact"/>
      </w:pPr>
      <w:r>
        <w:t xml:space="preserve">sistemas que funcionen bajo restricciones temporales o pruebas incompletas;</w:t>
      </w:r>
    </w:p>
    <w:p>
      <w:pPr>
        <w:numPr>
          <w:ilvl w:val="0"/>
          <w:numId w:val="1007"/>
        </w:numPr>
        <w:pStyle w:val="Compact"/>
      </w:pPr>
      <w:r>
        <w:t xml:space="preserve">los resultados repetidos de clasificación o propiedad.</w:t>
      </w:r>
    </w:p>
    <w:p>
      <w:pPr>
        <w:pStyle w:val="FirstParagraph"/>
      </w:pPr>
      <w:r>
        <w:t xml:space="preserve">Se trata de indicadores de gestión interna, no de pruebas legales de cumplimiento.</w:t>
      </w:r>
    </w:p>
    <w:bookmarkEnd w:id="30"/>
    <w:bookmarkStart w:id="31" w:name="lista-de-verificación-de-la-aplicación"/>
    <w:p>
      <w:pPr>
        <w:pStyle w:val="Heading2"/>
      </w:pPr>
      <w:r>
        <w:rPr>
          <w:rStyle w:val="SectionNumber"/>
        </w:rPr>
        <w:t xml:space="preserve">1.12</w:t>
      </w:r>
      <w:r>
        <w:tab/>
      </w:r>
      <w:r>
        <w:t xml:space="preserve">Lista de verificación de la aplicación</w:t>
      </w:r>
    </w:p>
    <w:p>
      <w:pPr>
        <w:numPr>
          <w:ilvl w:val="0"/>
          <w:numId w:val="1008"/>
        </w:numPr>
        <w:pStyle w:val="Compact"/>
      </w:pPr>
      <w:r>
        <w:t xml:space="preserve">☐ Inventario completado</w:t>
      </w:r>
    </w:p>
    <w:p>
      <w:pPr>
        <w:numPr>
          <w:ilvl w:val="0"/>
          <w:numId w:val="1008"/>
        </w:numPr>
        <w:pStyle w:val="Compact"/>
      </w:pPr>
      <w:r>
        <w:t xml:space="preserve">☐ Entidades jurídicas y funciones de actor identificadas</w:t>
      </w:r>
    </w:p>
    <w:p>
      <w:pPr>
        <w:numPr>
          <w:ilvl w:val="0"/>
          <w:numId w:val="1008"/>
        </w:numPr>
        <w:pStyle w:val="Compact"/>
      </w:pPr>
      <w:r>
        <w:t xml:space="preserve">☐ Finalidad prevista y uso previsible documentado</w:t>
      </w:r>
    </w:p>
    <w:p>
      <w:pPr>
        <w:numPr>
          <w:ilvl w:val="0"/>
          <w:numId w:val="1008"/>
        </w:numPr>
        <w:pStyle w:val="Compact"/>
      </w:pPr>
      <w:r>
        <w:t xml:space="preserve">☐ Exámenes de prácticas prohibidas completados</w:t>
      </w:r>
    </w:p>
    <w:p>
      <w:pPr>
        <w:numPr>
          <w:ilvl w:val="0"/>
          <w:numId w:val="1008"/>
        </w:numPr>
        <w:pStyle w:val="Compact"/>
      </w:pPr>
      <w:r>
        <w:t xml:space="preserve">☐ Clasificación de alto riesgo completada</w:t>
      </w:r>
    </w:p>
    <w:p>
      <w:pPr>
        <w:numPr>
          <w:ilvl w:val="0"/>
          <w:numId w:val="1008"/>
        </w:numPr>
        <w:pStyle w:val="Compact"/>
      </w:pPr>
      <w:r>
        <w:t xml:space="preserve">☐ Transparencia y selección de GPAI completada</w:t>
      </w:r>
    </w:p>
    <w:p>
      <w:pPr>
        <w:numPr>
          <w:ilvl w:val="0"/>
          <w:numId w:val="1008"/>
        </w:numPr>
        <w:pStyle w:val="Compact"/>
      </w:pPr>
      <w:r>
        <w:t xml:space="preserve">☐ Fechas de aplicación y normas transitorias verificadas</w:t>
      </w:r>
    </w:p>
    <w:p>
      <w:pPr>
        <w:numPr>
          <w:ilvl w:val="0"/>
          <w:numId w:val="1008"/>
        </w:numPr>
        <w:pStyle w:val="Compact"/>
      </w:pPr>
      <w:r>
        <w:t xml:space="preserve">☐ Derechos relacionados con la privacidad, la seguridad, el empleo, el consumidor, el producto, la accesibilidad y el sector identificados</w:t>
      </w:r>
    </w:p>
    <w:p>
      <w:pPr>
        <w:numPr>
          <w:ilvl w:val="0"/>
          <w:numId w:val="1008"/>
        </w:numPr>
        <w:pStyle w:val="Compact"/>
      </w:pPr>
      <w:r>
        <w:t xml:space="preserve">☐ Homologación y condiciones registradas</w:t>
      </w:r>
    </w:p>
    <w:p>
      <w:pPr>
        <w:numPr>
          <w:ilvl w:val="0"/>
          <w:numId w:val="1008"/>
        </w:numPr>
        <w:pStyle w:val="Compact"/>
      </w:pPr>
      <w:r>
        <w:t xml:space="preserve">☐ Depósito de pruebas vinculado</w:t>
      </w:r>
    </w:p>
    <w:p>
      <w:pPr>
        <w:numPr>
          <w:ilvl w:val="0"/>
          <w:numId w:val="1008"/>
        </w:numPr>
        <w:pStyle w:val="Compact"/>
      </w:pPr>
      <w:r>
        <w:t xml:space="preserve">☐ Detonadores de reevaluación establecidos</w:t>
      </w:r>
    </w:p>
    <w:bookmarkEnd w:id="31"/>
    <w:bookmarkStart w:id="32" w:name="X279676f850685ebe23dc4f8632f85481eb96f91"/>
    <w:p>
      <w:pPr>
        <w:pStyle w:val="Heading2"/>
      </w:pPr>
      <w:r>
        <w:rPr>
          <w:rStyle w:val="SectionNumber"/>
        </w:rPr>
        <w:t xml:space="preserve">1.13</w:t>
      </w:r>
      <w:r>
        <w:tab/>
      </w:r>
      <w:r>
        <w:t xml:space="preserve">Gráfico 1.1 — Vía de decisión del Acta de IA de la UE</w:t>
      </w:r>
    </w:p>
    <w:p>
      <w:pPr>
        <w:pStyle w:val="FirstParagraph"/>
      </w:pPr>
      <w:r>
        <w:t xml:space="preserve">** Descripción de la figura:** Una vía de decisión lineal que comienza con el inventario y la aplicabilidad, seguida de la identificación del actor-papel, el cribado de prácticas prohibidas, la clasificación de alto riesgo, la transparencia y el cribado de GPAI, la verificación de la fecha de aplicación, la implementación del control, la retención de pruebas, el monitoreo y la reevaluación.</w:t>
      </w:r>
    </w:p>
    <w:p>
      <w:pPr>
        <w:pStyle w:val="BodyText"/>
      </w:pPr>
      <w:r>
        <w:rPr>
          <w:bCs/>
          <w:b/>
        </w:rPr>
        <w:t xml:space="preserve">Texto Alt:</w:t>
      </w:r>
      <w:r>
        <w:t xml:space="preserve"> </w:t>
      </w:r>
      <w:r>
        <w:t xml:space="preserve">Vía de decisión que muestra que las organizaciones primero inventarian el sistema o modelo de IA, determinan la aplicabilidad y los roles de actor, la pantalla para usos prohibidos y de alto riesgo, identifican la transparencia y los deberes de GPAI, verifican las fechas de aplicación, implementan controles, retienen evidencia, monitorean el funcionamiento y reevaluan después del cambio.</w:t>
      </w:r>
    </w:p>
    <w:bookmarkEnd w:id="32"/>
    <w:bookmarkStart w:id="33" w:name="Xb6248c3e1edcad8accd22d46d21275fca90e6b7"/>
    <w:p>
      <w:pPr>
        <w:pStyle w:val="Heading2"/>
      </w:pPr>
      <w:r>
        <w:rPr>
          <w:rStyle w:val="SectionNumber"/>
        </w:rPr>
        <w:t xml:space="preserve">1.14</w:t>
      </w:r>
      <w:r>
        <w:tab/>
      </w:r>
      <w:r>
        <w:t xml:space="preserve">Capítulo 2 — Ámbito de aplicación, finalidad y enfoque regulador</w:t>
      </w:r>
    </w:p>
    <w:p>
      <w:pPr>
        <w:pStyle w:val="BlockText"/>
      </w:pPr>
      <w:r>
        <w:rPr>
          <w:bCs/>
          <w:b/>
        </w:rPr>
        <w:t xml:space="preserve">Estatus legal:</w:t>
      </w:r>
      <w:r>
        <w:t xml:space="preserve"> </w:t>
      </w:r>
      <w:r>
        <w:t xml:space="preserve">Corregido Maestro Inglés para la consolidación. Este archivo controla el lenguaje de borrador anterior del Capítulo 2.</w:t>
      </w:r>
    </w:p>
    <w:bookmarkEnd w:id="33"/>
    <w:bookmarkStart w:id="34" w:name="requisito-1"/>
    <w:p>
      <w:pPr>
        <w:pStyle w:val="Heading2"/>
      </w:pPr>
      <w:r>
        <w:rPr>
          <w:rStyle w:val="SectionNumber"/>
        </w:rPr>
        <w:t xml:space="preserve">1.15</w:t>
      </w:r>
      <w:r>
        <w:tab/>
      </w:r>
      <w:r>
        <w:t xml:space="preserve">Requisito</w:t>
      </w:r>
    </w:p>
    <w:p>
      <w:pPr>
        <w:pStyle w:val="FirstParagraph"/>
      </w:pPr>
      <w:r>
        <w:t xml:space="preserve">Las organizaciones deben determinar si el Reglamento (UE) 2024/1689, en su versión modificada, se aplica a un sistema, modelo, actor, actividad o salida de IA antes de asignar controles. La evaluación debe tener en cuenta el actor regulado, la actividad realizada, la conexión geográfica con la Unión, las exclusiones, las interacciones entre el sector de productos y el uso previsto y razonablemente previsible.</w:t>
      </w:r>
    </w:p>
    <w:bookmarkEnd w:id="34"/>
    <w:bookmarkStart w:id="35" w:name="explicación-en-lenguaje-sencillo-1"/>
    <w:p>
      <w:pPr>
        <w:pStyle w:val="Heading2"/>
      </w:pPr>
      <w:r>
        <w:rPr>
          <w:rStyle w:val="SectionNumber"/>
        </w:rPr>
        <w:t xml:space="preserve">1.16</w:t>
      </w:r>
      <w:r>
        <w:tab/>
      </w:r>
      <w:r>
        <w:t xml:space="preserve">Explicación en lenguaje sencillo</w:t>
      </w:r>
    </w:p>
    <w:p>
      <w:pPr>
        <w:pStyle w:val="FirstParagraph"/>
      </w:pPr>
      <w:r>
        <w:t xml:space="preserve">La Ley de IA de la UE no se limita a las empresas de software establecidas en la Unión Europea, regula a los agentes definidos en toda la cadena de valor de la IA y puede aplicarse cuando un sistema o modelo se introduce en el mercado de la Unión, se pone en servicio en la Unión, es utilizado por un operador en la Unión o cuando una producción producida fuera de la Unión se utiliza en la Unión.</w:t>
      </w:r>
    </w:p>
    <w:p>
      <w:pPr>
        <w:pStyle w:val="BodyText"/>
      </w:pPr>
      <w:r>
        <w:t xml:space="preserve">La ley utiliza una estructura basada en el riesgo, prohíbe prácticas específicas, impone amplios requisitos a los sistemas de IA de alto riesgo, aplica obligaciones de transparencia a sistemas y usos específicos, establece obligaciones para los proveedores de modelos de IA de propósito general y deja a otras IA sujetas a una gobernanza más amplia, contratos, privacidad, seguridad, empleo, protección de los consumidores y leyes sectoriales específicas.</w:t>
      </w:r>
    </w:p>
    <w:bookmarkEnd w:id="35"/>
    <w:bookmarkStart w:id="36" w:name="evaluación-del-alcance"/>
    <w:p>
      <w:pPr>
        <w:pStyle w:val="Heading2"/>
      </w:pPr>
      <w:r>
        <w:rPr>
          <w:rStyle w:val="SectionNumber"/>
        </w:rPr>
        <w:t xml:space="preserve">1.17</w:t>
      </w:r>
      <w:r>
        <w:tab/>
      </w:r>
      <w:r>
        <w:t xml:space="preserve">Evaluación del alcance</w:t>
      </w:r>
    </w:p>
    <w:p>
      <w:pPr>
        <w:pStyle w:val="FirstParagraph"/>
      </w:pPr>
      <w:r>
        <w:t xml:space="preserve">Documento como mínimo:</w:t>
      </w:r>
    </w:p>
    <w:p>
      <w:pPr>
        <w:numPr>
          <w:ilvl w:val="0"/>
          <w:numId w:val="1009"/>
        </w:numPr>
        <w:pStyle w:val="Compact"/>
      </w:pPr>
      <w:r>
        <w:t xml:space="preserve">el sistema o modelo de IA y su finalidad prevista;</w:t>
      </w:r>
    </w:p>
    <w:p>
      <w:pPr>
        <w:numPr>
          <w:ilvl w:val="0"/>
          <w:numId w:val="1009"/>
        </w:numPr>
        <w:pStyle w:val="Compact"/>
      </w:pPr>
      <w:r>
        <w:t xml:space="preserve">las personas jurídicas implicadas;</w:t>
      </w:r>
    </w:p>
    <w:p>
      <w:pPr>
        <w:numPr>
          <w:ilvl w:val="0"/>
          <w:numId w:val="1009"/>
        </w:numPr>
        <w:pStyle w:val="Compact"/>
      </w:pPr>
      <w:r>
        <w:t xml:space="preserve">cada uno de los actores en virtud de la ley;</w:t>
      </w:r>
    </w:p>
    <w:p>
      <w:pPr>
        <w:numPr>
          <w:ilvl w:val="0"/>
          <w:numId w:val="1009"/>
        </w:numPr>
        <w:pStyle w:val="Compact"/>
      </w:pPr>
      <w:r>
        <w:t xml:space="preserve">cuando el sistema o modelo se comercialice, ponga en servicio o se utilice;</w:t>
      </w:r>
    </w:p>
    <w:p>
      <w:pPr>
        <w:numPr>
          <w:ilvl w:val="0"/>
          <w:numId w:val="1009"/>
        </w:numPr>
        <w:pStyle w:val="Compact"/>
      </w:pPr>
      <w:r>
        <w:t xml:space="preserve">cuando se localicen o utilicen las personas afectadas y los productos pertinentes;</w:t>
      </w:r>
    </w:p>
    <w:p>
      <w:pPr>
        <w:numPr>
          <w:ilvl w:val="0"/>
          <w:numId w:val="1009"/>
        </w:numPr>
        <w:pStyle w:val="Compact"/>
      </w:pPr>
      <w:r>
        <w:t xml:space="preserve">si se aplica una norma especial o de exclusión;</w:t>
      </w:r>
    </w:p>
    <w:p>
      <w:pPr>
        <w:numPr>
          <w:ilvl w:val="0"/>
          <w:numId w:val="1009"/>
        </w:numPr>
        <w:pStyle w:val="Compact"/>
      </w:pPr>
      <w:r>
        <w:t xml:space="preserve">si la IA es un componente de seguridad de un producto regulado, o sí mismo;</w:t>
      </w:r>
    </w:p>
    <w:p>
      <w:pPr>
        <w:numPr>
          <w:ilvl w:val="0"/>
          <w:numId w:val="1009"/>
        </w:numPr>
        <w:pStyle w:val="Compact"/>
      </w:pPr>
      <w:r>
        <w:t xml:space="preserve">si el uso podría estar prohibido, de alto riesgo, regulado por la transparencia o relacionado con la GPAI;</w:t>
      </w:r>
    </w:p>
    <w:p>
      <w:pPr>
        <w:numPr>
          <w:ilvl w:val="0"/>
          <w:numId w:val="1009"/>
        </w:numPr>
        <w:pStyle w:val="Compact"/>
      </w:pPr>
      <w:r>
        <w:t xml:space="preserve">si un cambio en la marca, propósito, modificación, distribución o integración cambia el papel o el tratamiento legal.</w:t>
      </w:r>
    </w:p>
    <w:bookmarkEnd w:id="36"/>
    <w:bookmarkStart w:id="37" w:name="exclusiones-y-límites"/>
    <w:p>
      <w:pPr>
        <w:pStyle w:val="Heading2"/>
      </w:pPr>
      <w:r>
        <w:rPr>
          <w:rStyle w:val="SectionNumber"/>
        </w:rPr>
        <w:t xml:space="preserve">1.18</w:t>
      </w:r>
      <w:r>
        <w:tab/>
      </w:r>
      <w:r>
        <w:t xml:space="preserve">Exclusiones y límites</w:t>
      </w:r>
    </w:p>
    <w:p>
      <w:pPr>
        <w:pStyle w:val="FirstParagraph"/>
      </w:pPr>
      <w:r>
        <w:t xml:space="preserve">Las reclamaciones relativas a actividades militares, de defensa, de seguridad nacional, de investigación científica, de actividades personales no profesionales o de tratamiento de código abierto deben documentarse con arreglo a las actuales condiciones legales. Una exclusión de una obligación de la Ley de IA no elimina las obligaciones contraídas en virtud de otra ley.</w:t>
      </w:r>
    </w:p>
    <w:bookmarkEnd w:id="37"/>
    <w:bookmarkStart w:id="38" w:name="ejemplo-de-globalway"/>
    <w:p>
      <w:pPr>
        <w:pStyle w:val="Heading2"/>
      </w:pPr>
      <w:r>
        <w:rPr>
          <w:rStyle w:val="SectionNumber"/>
        </w:rPr>
        <w:t xml:space="preserve">1.19</w:t>
      </w:r>
      <w:r>
        <w:tab/>
      </w:r>
      <w:r>
        <w:t xml:space="preserve">Ejemplo de GlobalWay</w:t>
      </w:r>
    </w:p>
    <w:p>
      <w:pPr>
        <w:pStyle w:val="FirstParagraph"/>
      </w:pPr>
      <w:r>
        <w:t xml:space="preserve">GlobalWay Travel Services adquiere un sistema de asistencia para viajes basado en la nube de un proveedor fuera de la Unión y lo despliega para viajeros corporativos de la UE. Aunque el proveedor no está establecido en la Unión, GlobalWay debe evaluar la actividad de mercado del proveedor, el papel de despliegue de GlobalWay, el uso de los resultados en la Unión, las obligaciones de transparencia, los requisitos de protección de datos, y si la personalización posterior o la colocación de marca propia cambia el papel de GlobalWay.</w:t>
      </w:r>
    </w:p>
    <w:bookmarkEnd w:id="38"/>
    <w:bookmarkStart w:id="39" w:name="actividad-de-control-1"/>
    <w:p>
      <w:pPr>
        <w:pStyle w:val="Heading2"/>
      </w:pPr>
      <w:r>
        <w:rPr>
          <w:rStyle w:val="SectionNumber"/>
        </w:rPr>
        <w:t xml:space="preserve">1.20</w:t>
      </w:r>
      <w:r>
        <w:tab/>
      </w:r>
      <w:r>
        <w:t xml:space="preserve">Actividad de control</w:t>
      </w:r>
    </w:p>
    <w:p>
      <w:pPr>
        <w:pStyle w:val="FirstParagraph"/>
      </w:pPr>
      <w:r>
        <w:t xml:space="preserve">Las funciones Legal y AI Governance deben aprobar una evaluación de aplicabilidad documentada antes de la adquisición, el desarrollo, el despliegue de producción o la modificación material. La evaluación debe estar vinculada al inventario de IA y ser revisada después de cambios en el propósito, la geografía, el actor, la marca, la integración, los datos, la funcionalidad o la ley aplicable.</w:t>
      </w:r>
    </w:p>
    <w:bookmarkEnd w:id="39"/>
    <w:bookmarkStart w:id="40" w:name="pruebas-1"/>
    <w:p>
      <w:pPr>
        <w:pStyle w:val="Heading2"/>
      </w:pPr>
      <w:r>
        <w:rPr>
          <w:rStyle w:val="SectionNumber"/>
        </w:rPr>
        <w:t xml:space="preserve">1.21</w:t>
      </w:r>
      <w:r>
        <w:tab/>
      </w:r>
      <w:r>
        <w:t xml:space="preserve">Pruebas</w:t>
      </w:r>
    </w:p>
    <w:p>
      <w:pPr>
        <w:numPr>
          <w:ilvl w:val="0"/>
          <w:numId w:val="1010"/>
        </w:numPr>
        <w:pStyle w:val="Compact"/>
      </w:pPr>
      <w:r>
        <w:t xml:space="preserve">evaluación de la aplicabilidad;</w:t>
      </w:r>
    </w:p>
    <w:p>
      <w:pPr>
        <w:numPr>
          <w:ilvl w:val="0"/>
          <w:numId w:val="1010"/>
        </w:numPr>
        <w:pStyle w:val="Compact"/>
      </w:pPr>
      <w:r>
        <w:t xml:space="preserve">mapa de entidad y jurisdicción;</w:t>
      </w:r>
    </w:p>
    <w:p>
      <w:pPr>
        <w:numPr>
          <w:ilvl w:val="0"/>
          <w:numId w:val="1010"/>
        </w:numPr>
        <w:pStyle w:val="Compact"/>
      </w:pPr>
      <w:r>
        <w:t xml:space="preserve">evaluación de las funciones;</w:t>
      </w:r>
    </w:p>
    <w:p>
      <w:pPr>
        <w:numPr>
          <w:ilvl w:val="0"/>
          <w:numId w:val="1010"/>
        </w:numPr>
        <w:pStyle w:val="Compact"/>
      </w:pPr>
      <w:r>
        <w:t xml:space="preserve">declaración de finalidad prevista;</w:t>
      </w:r>
    </w:p>
    <w:p>
      <w:pPr>
        <w:numPr>
          <w:ilvl w:val="0"/>
          <w:numId w:val="1010"/>
        </w:numPr>
        <w:pStyle w:val="Compact"/>
      </w:pPr>
      <w:r>
        <w:t xml:space="preserve">arquitectura y diagrama de la cadena de suministro;</w:t>
      </w:r>
    </w:p>
    <w:p>
      <w:pPr>
        <w:numPr>
          <w:ilvl w:val="0"/>
          <w:numId w:val="1010"/>
        </w:numPr>
        <w:pStyle w:val="Compact"/>
      </w:pPr>
      <w:r>
        <w:t xml:space="preserve">análisis de la exclusión, cuando se solicite;</w:t>
      </w:r>
    </w:p>
    <w:p>
      <w:pPr>
        <w:numPr>
          <w:ilvl w:val="0"/>
          <w:numId w:val="1010"/>
        </w:numPr>
        <w:pStyle w:val="Compact"/>
      </w:pPr>
      <w:r>
        <w:t xml:space="preserve">la fecha de aprobación y revisión legales;</w:t>
      </w:r>
    </w:p>
    <w:p>
      <w:pPr>
        <w:numPr>
          <w:ilvl w:val="0"/>
          <w:numId w:val="1010"/>
        </w:numPr>
        <w:pStyle w:val="Compact"/>
      </w:pPr>
      <w:r>
        <w:t xml:space="preserve">Historial de reevaluación.</w:t>
      </w:r>
    </w:p>
    <w:bookmarkEnd w:id="40"/>
    <w:bookmarkStart w:id="41" w:name="prueba-de-auditoría-1"/>
    <w:p>
      <w:pPr>
        <w:pStyle w:val="Heading2"/>
      </w:pPr>
      <w:r>
        <w:rPr>
          <w:rStyle w:val="SectionNumber"/>
        </w:rPr>
        <w:t xml:space="preserve">1.22</w:t>
      </w:r>
      <w:r>
        <w:tab/>
      </w:r>
      <w:r>
        <w:t xml:space="preserve">Prueba de auditoría</w:t>
      </w:r>
    </w:p>
    <w:p>
      <w:pPr>
        <w:pStyle w:val="FirstParagraph"/>
      </w:pPr>
      <w:r>
        <w:t xml:space="preserve">Seleccione una muestra de sistemas y modelos de IA. Confirme que la aplicabilidad se evaluó utilizando el texto legal enmendado actual, que se consideró a cada actor relevante y la conexión geográfica, que las exclusiones están respaldadas por análisis escritos, y que los cambios materiales desencadenaron una reevaluación.</w:t>
      </w:r>
    </w:p>
    <w:bookmarkEnd w:id="41"/>
    <w:bookmarkStart w:id="42" w:name="referencias-jurídicas-primarias"/>
    <w:p>
      <w:pPr>
        <w:pStyle w:val="Heading2"/>
      </w:pPr>
      <w:r>
        <w:rPr>
          <w:rStyle w:val="SectionNumber"/>
        </w:rPr>
        <w:t xml:space="preserve">1.23</w:t>
      </w:r>
      <w:r>
        <w:tab/>
      </w:r>
      <w:r>
        <w:t xml:space="preserve">Referencias jurídicas primarias</w:t>
      </w:r>
    </w:p>
    <w:p>
      <w:pPr>
        <w:numPr>
          <w:ilvl w:val="0"/>
          <w:numId w:val="1011"/>
        </w:numPr>
        <w:pStyle w:val="Compact"/>
      </w:pPr>
      <w:r>
        <w:t xml:space="preserve">Reglamento (UE) 2024/1689, modificado: artículos 1 a 2 y definiciones pertinentes del artículo 3.</w:t>
      </w:r>
    </w:p>
    <w:p>
      <w:pPr>
        <w:numPr>
          <w:ilvl w:val="0"/>
          <w:numId w:val="1011"/>
        </w:numPr>
        <w:pStyle w:val="Compact"/>
      </w:pPr>
      <w:r>
        <w:t xml:space="preserve">Reglamento (UE) 2026/1744 cuando el ámbito de aplicación modificado o el tratamiento del sector de productos sean importantes.</w:t>
      </w:r>
    </w:p>
    <w:p>
      <w:pPr>
        <w:numPr>
          <w:ilvl w:val="0"/>
          <w:numId w:val="1011"/>
        </w:numPr>
        <w:pStyle w:val="Compact"/>
      </w:pPr>
      <w:r>
        <w:t xml:space="preserve">Los actuales controles consolidados de texto EUR-Lex sobre los resúmenes antiguos.</w:t>
      </w:r>
    </w:p>
    <w:bookmarkEnd w:id="42"/>
    <w:bookmarkStart w:id="43" w:name="Xd691f0791d0484c0fa0e5431d1866dc07781632"/>
    <w:p>
      <w:pPr>
        <w:pStyle w:val="Heading2"/>
      </w:pPr>
      <w:r>
        <w:rPr>
          <w:rStyle w:val="SectionNumber"/>
        </w:rPr>
        <w:t xml:space="preserve">1.24</w:t>
      </w:r>
      <w:r>
        <w:tab/>
      </w:r>
      <w:r>
        <w:t xml:space="preserve">Capítulo 3 — Aplicabilidad territorial y extraterritorial</w:t>
      </w:r>
    </w:p>
    <w:p>
      <w:pPr>
        <w:pStyle w:val="BlockText"/>
      </w:pPr>
      <w:r>
        <w:rPr>
          <w:bCs/>
          <w:b/>
        </w:rPr>
        <w:t xml:space="preserve">Situación jurídica:</w:t>
      </w:r>
      <w:r>
        <w:t xml:space="preserve"> </w:t>
      </w:r>
      <w:r>
        <w:t xml:space="preserve">master inglés corregido para consolidación.</w:t>
      </w:r>
    </w:p>
    <w:bookmarkEnd w:id="43"/>
    <w:bookmarkStart w:id="44" w:name="requisito-2"/>
    <w:p>
      <w:pPr>
        <w:pStyle w:val="Heading2"/>
      </w:pPr>
      <w:r>
        <w:rPr>
          <w:rStyle w:val="SectionNumber"/>
        </w:rPr>
        <w:t xml:space="preserve">1.25</w:t>
      </w:r>
      <w:r>
        <w:tab/>
      </w:r>
      <w:r>
        <w:t xml:space="preserve">Requisito</w:t>
      </w:r>
    </w:p>
    <w:p>
      <w:pPr>
        <w:pStyle w:val="FirstParagraph"/>
      </w:pPr>
      <w:r>
        <w:t xml:space="preserve">La aplicabilidad debe ser evaluada por el actor, la actividad, la conexión al mercado, la ubicación del despliegue y el uso de los productos, no solo por la sede.</w:t>
      </w:r>
    </w:p>
    <w:bookmarkEnd w:id="44"/>
    <w:bookmarkStart w:id="45" w:name="secuencia-de-evaluación-jurídica"/>
    <w:p>
      <w:pPr>
        <w:pStyle w:val="Heading2"/>
      </w:pPr>
      <w:r>
        <w:rPr>
          <w:rStyle w:val="SectionNumber"/>
        </w:rPr>
        <w:t xml:space="preserve">1.26</w:t>
      </w:r>
      <w:r>
        <w:tab/>
      </w:r>
      <w:r>
        <w:t xml:space="preserve">Secuencia de evaluación jurídica</w:t>
      </w:r>
    </w:p>
    <w:p>
      <w:pPr>
        <w:pStyle w:val="FirstParagraph"/>
      </w:pPr>
      <w:r>
        <w:t xml:space="preserve">Determinar si el asunto implica:</w:t>
      </w:r>
    </w:p>
    <w:p>
      <w:pPr>
        <w:numPr>
          <w:ilvl w:val="0"/>
          <w:numId w:val="1012"/>
        </w:numPr>
        <w:pStyle w:val="Compact"/>
      </w:pPr>
      <w:r>
        <w:t xml:space="preserve">un proveedor que introduzca un sistema de IA o un modelo GPAI en el mercado de la Unión;</w:t>
      </w:r>
    </w:p>
    <w:p>
      <w:pPr>
        <w:numPr>
          <w:ilvl w:val="0"/>
          <w:numId w:val="1012"/>
        </w:numPr>
        <w:pStyle w:val="Compact"/>
      </w:pPr>
      <w:r>
        <w:t xml:space="preserve">un proveedor que ponga en servicio un sistema de IA en la Unión;</w:t>
      </w:r>
    </w:p>
    <w:p>
      <w:pPr>
        <w:numPr>
          <w:ilvl w:val="0"/>
          <w:numId w:val="1012"/>
        </w:numPr>
        <w:pStyle w:val="Compact"/>
      </w:pPr>
      <w:r>
        <w:t xml:space="preserve">un despliegue establecido o situado en la Unión;</w:t>
      </w:r>
    </w:p>
    <w:p>
      <w:pPr>
        <w:numPr>
          <w:ilvl w:val="0"/>
          <w:numId w:val="1012"/>
        </w:numPr>
        <w:pStyle w:val="Compact"/>
      </w:pPr>
      <w:r>
        <w:t xml:space="preserve">un proveedor o un despliegue fuera de la Unión en el que la producción producida por el sistema se utilice en la Unión;</w:t>
      </w:r>
    </w:p>
    <w:p>
      <w:pPr>
        <w:numPr>
          <w:ilvl w:val="0"/>
          <w:numId w:val="1012"/>
        </w:numPr>
        <w:pStyle w:val="Compact"/>
      </w:pPr>
      <w:r>
        <w:t xml:space="preserve">un importador, distribuidor, representante autorizado o fabricante del producto con una función de mercado de la Unión;</w:t>
      </w:r>
    </w:p>
    <w:p>
      <w:pPr>
        <w:numPr>
          <w:ilvl w:val="0"/>
          <w:numId w:val="1012"/>
        </w:numPr>
        <w:pStyle w:val="Compact"/>
      </w:pPr>
      <w:r>
        <w:t xml:space="preserve">un producto regulado o un componente de seguridad que entre en el mercado de la Unión.</w:t>
      </w:r>
    </w:p>
    <w:p>
      <w:pPr>
        <w:pStyle w:val="FirstParagraph"/>
      </w:pPr>
      <w:r>
        <w:t xml:space="preserve">Para cada conexión, registre la entidad jurídica, rol, sistema o modelo, actividad, jurisdicción, flujo de salida y población afectada.</w:t>
      </w:r>
    </w:p>
    <w:bookmarkEnd w:id="45"/>
    <w:bookmarkStart w:id="46" w:name="explicación-en-lenguaje-sencillo-2"/>
    <w:p>
      <w:pPr>
        <w:pStyle w:val="Heading2"/>
      </w:pPr>
      <w:r>
        <w:rPr>
          <w:rStyle w:val="SectionNumber"/>
        </w:rPr>
        <w:t xml:space="preserve">1.27</w:t>
      </w:r>
      <w:r>
        <w:tab/>
      </w:r>
      <w:r>
        <w:t xml:space="preserve">Explicación en lenguaje sencillo</w:t>
      </w:r>
    </w:p>
    <w:p>
      <w:pPr>
        <w:pStyle w:val="FirstParagraph"/>
      </w:pPr>
      <w:r>
        <w:t xml:space="preserve">Una organización de fuera de la UE puede entrar en el ámbito de la ley cuando vende, suministra, despliega o apoya IA cubierta en la Unión, o cuando la producción producida fuera de la Unión se utiliza allí. Por el contrario, una empresa matriz de la UE no somete automáticamente a cada afiliado global y cada uso global a la misma disposición.</w:t>
      </w:r>
    </w:p>
    <w:bookmarkEnd w:id="46"/>
    <w:bookmarkStart w:id="47" w:name="ejemplo-de-globalway-1"/>
    <w:p>
      <w:pPr>
        <w:pStyle w:val="Heading2"/>
      </w:pPr>
      <w:r>
        <w:rPr>
          <w:rStyle w:val="SectionNumber"/>
        </w:rPr>
        <w:t xml:space="preserve">1.28</w:t>
      </w:r>
      <w:r>
        <w:tab/>
      </w:r>
      <w:r>
        <w:t xml:space="preserve">Ejemplo de GlobalWay</w:t>
      </w:r>
    </w:p>
    <w:p>
      <w:pPr>
        <w:pStyle w:val="FirstParagraph"/>
      </w:pPr>
      <w:r>
        <w:t xml:space="preserve">Un proveedor con sede en EE.UU. suministra una herramienta de itinerario de IA al afiliado de la UE de GlobalWay. El proveedor puede tener obligaciones del mercado de la Unión; el afiliado de la UE puede ser un implementador; otra entidad de GlobalWay puede convertirse en proveedor si comercializa una versión modificada materialmente bajo su propio nombre. La organización documenta cada papel por separado.</w:t>
      </w:r>
    </w:p>
    <w:bookmarkEnd w:id="47"/>
    <w:bookmarkStart w:id="48" w:name="actividad-de-control-2"/>
    <w:p>
      <w:pPr>
        <w:pStyle w:val="Heading2"/>
      </w:pPr>
      <w:r>
        <w:rPr>
          <w:rStyle w:val="SectionNumber"/>
        </w:rPr>
        <w:t xml:space="preserve">1.29</w:t>
      </w:r>
      <w:r>
        <w:tab/>
      </w:r>
      <w:r>
        <w:t xml:space="preserve">Actividad de control</w:t>
      </w:r>
    </w:p>
    <w:p>
      <w:pPr>
        <w:pStyle w:val="FirstParagraph"/>
      </w:pPr>
      <w:r>
        <w:t xml:space="preserve">Mantener un mapa de flujo de entidades y datos para cada sistema de IA de material. Legal debe aprobar conclusiones extraterritoriales y reevaluarlas cuando la geografía de despliegue, entidad contratante, uso de productos, branding, o arquitectura del sistema cambia.</w:t>
      </w:r>
    </w:p>
    <w:bookmarkEnd w:id="48"/>
    <w:bookmarkStart w:id="49" w:name="pruebas-2"/>
    <w:p>
      <w:pPr>
        <w:pStyle w:val="Heading2"/>
      </w:pPr>
      <w:r>
        <w:rPr>
          <w:rStyle w:val="SectionNumber"/>
        </w:rPr>
        <w:t xml:space="preserve">1.30</w:t>
      </w:r>
      <w:r>
        <w:tab/>
      </w:r>
      <w:r>
        <w:t xml:space="preserve">Pruebas</w:t>
      </w:r>
    </w:p>
    <w:p>
      <w:pPr>
        <w:numPr>
          <w:ilvl w:val="0"/>
          <w:numId w:val="1013"/>
        </w:numPr>
        <w:pStyle w:val="Compact"/>
      </w:pPr>
      <w:r>
        <w:t xml:space="preserve">mapa de la entidad;</w:t>
      </w:r>
    </w:p>
    <w:p>
      <w:pPr>
        <w:numPr>
          <w:ilvl w:val="0"/>
          <w:numId w:val="1013"/>
        </w:numPr>
        <w:pStyle w:val="Compact"/>
      </w:pPr>
      <w:r>
        <w:t xml:space="preserve">contratos y formularios de pedidos;</w:t>
      </w:r>
    </w:p>
    <w:p>
      <w:pPr>
        <w:numPr>
          <w:ilvl w:val="0"/>
          <w:numId w:val="1013"/>
        </w:numPr>
        <w:pStyle w:val="Compact"/>
      </w:pPr>
      <w:r>
        <w:t xml:space="preserve">los registros de distribución y despliegue;</w:t>
      </w:r>
    </w:p>
    <w:p>
      <w:pPr>
        <w:numPr>
          <w:ilvl w:val="0"/>
          <w:numId w:val="1013"/>
        </w:numPr>
        <w:pStyle w:val="Compact"/>
      </w:pPr>
      <w:r>
        <w:t xml:space="preserve">análisis del uso de la producción;</w:t>
      </w:r>
    </w:p>
    <w:p>
      <w:pPr>
        <w:numPr>
          <w:ilvl w:val="0"/>
          <w:numId w:val="1013"/>
        </w:numPr>
        <w:pStyle w:val="Compact"/>
      </w:pPr>
      <w:r>
        <w:t xml:space="preserve">diagramas de flujo de datos y arquitectura;</w:t>
      </w:r>
    </w:p>
    <w:p>
      <w:pPr>
        <w:numPr>
          <w:ilvl w:val="0"/>
          <w:numId w:val="1013"/>
        </w:numPr>
        <w:pStyle w:val="Compact"/>
      </w:pPr>
      <w:r>
        <w:t xml:space="preserve">memorando jurídico;</w:t>
      </w:r>
    </w:p>
    <w:p>
      <w:pPr>
        <w:numPr>
          <w:ilvl w:val="0"/>
          <w:numId w:val="1013"/>
        </w:numPr>
        <w:pStyle w:val="Compact"/>
      </w:pPr>
      <w:r>
        <w:t xml:space="preserve">Registro de reevaluación.</w:t>
      </w:r>
    </w:p>
    <w:bookmarkEnd w:id="49"/>
    <w:bookmarkStart w:id="50" w:name="prueba-de-auditoría-2"/>
    <w:p>
      <w:pPr>
        <w:pStyle w:val="Heading2"/>
      </w:pPr>
      <w:r>
        <w:rPr>
          <w:rStyle w:val="SectionNumber"/>
        </w:rPr>
        <w:t xml:space="preserve">1.31</w:t>
      </w:r>
      <w:r>
        <w:tab/>
      </w:r>
      <w:r>
        <w:t xml:space="preserve">Prueba de auditoría</w:t>
      </w:r>
    </w:p>
    <w:p>
      <w:pPr>
        <w:pStyle w:val="FirstParagraph"/>
      </w:pPr>
      <w:r>
        <w:t xml:space="preserve">Verificar que las evaluaciones de muestreo identifiquen a todos los proveedores, implementadores, intermediarios, actividades de mercado y usos de los productos de la Unión. Confirmar conclusiones no se basan únicamente en la sede de proveedores o clientes.</w:t>
      </w:r>
    </w:p>
    <w:bookmarkEnd w:id="50"/>
    <w:bookmarkStart w:id="51" w:name="referencias-jurídicas-primarias-1"/>
    <w:p>
      <w:pPr>
        <w:pStyle w:val="Heading2"/>
      </w:pPr>
      <w:r>
        <w:rPr>
          <w:rStyle w:val="SectionNumber"/>
        </w:rPr>
        <w:t xml:space="preserve">1.32</w:t>
      </w:r>
      <w:r>
        <w:tab/>
      </w:r>
      <w:r>
        <w:t xml:space="preserve">Referencias jurídicas primarias</w:t>
      </w:r>
    </w:p>
    <w:p>
      <w:pPr>
        <w:numPr>
          <w:ilvl w:val="0"/>
          <w:numId w:val="1014"/>
        </w:numPr>
        <w:pStyle w:val="Compact"/>
      </w:pPr>
      <w:r>
        <w:t xml:space="preserve">Reglamento (UE) 2024/1689, modificado: artículo 2 y definiciones pertinentes del artículo 3.</w:t>
      </w:r>
    </w:p>
    <w:p>
      <w:pPr>
        <w:numPr>
          <w:ilvl w:val="0"/>
          <w:numId w:val="1014"/>
        </w:numPr>
        <w:pStyle w:val="Compact"/>
      </w:pPr>
      <w:r>
        <w:t xml:space="preserve">Texto consolidado actual EUR-Lex.</w:t>
      </w:r>
    </w:p>
    <w:bookmarkEnd w:id="51"/>
    <w:bookmarkStart w:id="52" w:name="capítulo-4-definiciones-clave-en-inglés"/>
    <w:p>
      <w:pPr>
        <w:pStyle w:val="Heading2"/>
      </w:pPr>
      <w:r>
        <w:rPr>
          <w:rStyle w:val="SectionNumber"/>
        </w:rPr>
        <w:t xml:space="preserve">1.33</w:t>
      </w:r>
      <w:r>
        <w:tab/>
      </w:r>
      <w:r>
        <w:t xml:space="preserve">Capítulo 4 — Definiciones clave en inglés</w:t>
      </w:r>
    </w:p>
    <w:p>
      <w:pPr>
        <w:pStyle w:val="BlockText"/>
      </w:pPr>
      <w:r>
        <w:rPr>
          <w:bCs/>
          <w:b/>
        </w:rPr>
        <w:t xml:space="preserve">Situación jurídica:</w:t>
      </w:r>
      <w:r>
        <w:t xml:space="preserve"> </w:t>
      </w:r>
      <w:r>
        <w:t xml:space="preserve">master inglés corregido para consolidación.</w:t>
      </w:r>
    </w:p>
    <w:bookmarkEnd w:id="52"/>
    <w:bookmarkStart w:id="53" w:name="requisito-3"/>
    <w:p>
      <w:pPr>
        <w:pStyle w:val="Heading2"/>
      </w:pPr>
      <w:r>
        <w:rPr>
          <w:rStyle w:val="SectionNumber"/>
        </w:rPr>
        <w:t xml:space="preserve">1.34</w:t>
      </w:r>
      <w:r>
        <w:tab/>
      </w:r>
      <w:r>
        <w:t xml:space="preserve">Requisito</w:t>
      </w:r>
    </w:p>
    <w:p>
      <w:pPr>
        <w:pStyle w:val="FirstParagraph"/>
      </w:pPr>
      <w:r>
        <w:t xml:space="preserve">Las decisiones de clasificación y cumplimiento deben utilizar las definiciones legales actuales. Las explicaciones en inglés simple pueden apoyar la comprensión, pero no deben reemplazar o ampliar el texto legal.</w:t>
      </w:r>
    </w:p>
    <w:bookmarkEnd w:id="53"/>
    <w:bookmarkStart w:id="64" w:name="definiciones-básicas-del-documento"/>
    <w:p>
      <w:pPr>
        <w:pStyle w:val="Heading2"/>
      </w:pPr>
      <w:r>
        <w:rPr>
          <w:rStyle w:val="SectionNumber"/>
        </w:rPr>
        <w:t xml:space="preserve">1.35</w:t>
      </w:r>
      <w:r>
        <w:tab/>
      </w:r>
      <w:r>
        <w:t xml:space="preserve">Definiciones básicas del documento</w:t>
      </w:r>
    </w:p>
    <w:bookmarkStart w:id="54" w:name="sistema-de-ia"/>
    <w:p>
      <w:pPr>
        <w:pStyle w:val="Heading3"/>
      </w:pPr>
      <w:r>
        <w:rPr>
          <w:rStyle w:val="SectionNumber"/>
        </w:rPr>
        <w:t xml:space="preserve">1.35.1</w:t>
      </w:r>
      <w:r>
        <w:tab/>
      </w:r>
      <w:r>
        <w:t xml:space="preserve">Sistema de IA</w:t>
      </w:r>
    </w:p>
    <w:p>
      <w:pPr>
        <w:pStyle w:val="FirstParagraph"/>
      </w:pPr>
      <w:r>
        <w:t xml:space="preserve">Evaluar las características estatutarias del sistema en su conjunto, incluyendo el funcionamiento basado en la máquina, el grado de autonomía, la posible adaptabilidad después del despliegue, los objetivos, la inferencia de entradas y salidas como predicciones, contenido, recomendaciones o decisiones que pueden influir en entornos físicos o virtuales.</w:t>
      </w:r>
    </w:p>
    <w:bookmarkEnd w:id="54"/>
    <w:bookmarkStart w:id="55" w:name="modelo-de-ia-de-uso-general"/>
    <w:p>
      <w:pPr>
        <w:pStyle w:val="Heading3"/>
      </w:pPr>
      <w:r>
        <w:rPr>
          <w:rStyle w:val="SectionNumber"/>
        </w:rPr>
        <w:t xml:space="preserve">1.35.2</w:t>
      </w:r>
      <w:r>
        <w:tab/>
      </w:r>
      <w:r>
        <w:t xml:space="preserve">Modelo de IA de uso general</w:t>
      </w:r>
    </w:p>
    <w:p>
      <w:pPr>
        <w:pStyle w:val="FirstParagraph"/>
      </w:pPr>
      <w:r>
        <w:t xml:space="preserve">Un modelo GPAI es jurídicamente distinto de un sistema de IA. Evalúe si el modelo muestra una generalidad significativa, puede realizar competentemente una amplia gama de tareas distintas, y puede integrarse en una variedad de sistemas o aplicaciones posteriores, con sujeción a las exclusiones y condiciones legales.</w:t>
      </w:r>
    </w:p>
    <w:bookmarkEnd w:id="55"/>
    <w:bookmarkStart w:id="56" w:name="proveedor"/>
    <w:p>
      <w:pPr>
        <w:pStyle w:val="Heading3"/>
      </w:pPr>
      <w:r>
        <w:rPr>
          <w:rStyle w:val="SectionNumber"/>
        </w:rPr>
        <w:t xml:space="preserve">1.35.3</w:t>
      </w:r>
      <w:r>
        <w:tab/>
      </w:r>
      <w:r>
        <w:t xml:space="preserve">Proveedor</w:t>
      </w:r>
    </w:p>
    <w:p>
      <w:pPr>
        <w:pStyle w:val="FirstParagraph"/>
      </w:pPr>
      <w:r>
        <w:t xml:space="preserve">El actor que desarrolla, o ha desarrollado, un sistema de IA o modelo GPAI y lo pone en el mercado o pone un sistema de IA en servicio bajo su propio nombre o marca comercial, ya sea para el pago o de forma gratuita.</w:t>
      </w:r>
    </w:p>
    <w:bookmarkEnd w:id="56"/>
    <w:bookmarkStart w:id="57" w:name="deployer"/>
    <w:p>
      <w:pPr>
        <w:pStyle w:val="Heading3"/>
      </w:pPr>
      <w:r>
        <w:rPr>
          <w:rStyle w:val="SectionNumber"/>
        </w:rPr>
        <w:t xml:space="preserve">1.35.4</w:t>
      </w:r>
      <w:r>
        <w:tab/>
      </w:r>
      <w:r>
        <w:t xml:space="preserve">Deployer</w:t>
      </w:r>
    </w:p>
    <w:p>
      <w:pPr>
        <w:pStyle w:val="FirstParagraph"/>
      </w:pPr>
      <w:r>
        <w:t xml:space="preserve">El actor que utiliza un sistema de IA bajo su autoridad, excepto cuando el sistema se utiliza en una actividad personal no profesional.</w:t>
      </w:r>
    </w:p>
    <w:bookmarkEnd w:id="57"/>
    <w:bookmarkStart w:id="58" w:name="importador-y-distribuidor"/>
    <w:p>
      <w:pPr>
        <w:pStyle w:val="Heading3"/>
      </w:pPr>
      <w:r>
        <w:rPr>
          <w:rStyle w:val="SectionNumber"/>
        </w:rPr>
        <w:t xml:space="preserve">1.35.5</w:t>
      </w:r>
      <w:r>
        <w:tab/>
      </w:r>
      <w:r>
        <w:t xml:space="preserve">Importador y distribuidor</w:t>
      </w:r>
    </w:p>
    <w:p>
      <w:pPr>
        <w:pStyle w:val="FirstParagraph"/>
      </w:pPr>
      <w:r>
        <w:t xml:space="preserve">Un importador comercializa en la Unión un sistema que lleva el nombre o la marca comercial de una persona establecida fuera de la Unión. Un distribuidor comercializa un sistema de IA en el mercado de la Unión sin ser el proveedor o importador.</w:t>
      </w:r>
    </w:p>
    <w:bookmarkEnd w:id="58"/>
    <w:bookmarkStart w:id="59" w:name="representante-autorizado"/>
    <w:p>
      <w:pPr>
        <w:pStyle w:val="Heading3"/>
      </w:pPr>
      <w:r>
        <w:rPr>
          <w:rStyle w:val="SectionNumber"/>
        </w:rPr>
        <w:t xml:space="preserve">1.35.6</w:t>
      </w:r>
      <w:r>
        <w:tab/>
      </w:r>
      <w:r>
        <w:t xml:space="preserve">Representante autorizado</w:t>
      </w:r>
    </w:p>
    <w:p>
      <w:pPr>
        <w:pStyle w:val="FirstParagraph"/>
      </w:pPr>
      <w:r>
        <w:t xml:space="preserve">Una persona establecida en la Unión que haya recibido y aceptado un mandato escrito de un proveedor para cumplir obligaciones y procedimientos específicos en nombre del proveedor.</w:t>
      </w:r>
    </w:p>
    <w:bookmarkEnd w:id="59"/>
    <w:bookmarkStart w:id="60" w:name="fabricante-del-producto"/>
    <w:p>
      <w:pPr>
        <w:pStyle w:val="Heading3"/>
      </w:pPr>
      <w:r>
        <w:rPr>
          <w:rStyle w:val="SectionNumber"/>
        </w:rPr>
        <w:t xml:space="preserve">1.35.7</w:t>
      </w:r>
      <w:r>
        <w:tab/>
      </w:r>
      <w:r>
        <w:t xml:space="preserve">Fabricante del producto</w:t>
      </w:r>
    </w:p>
    <w:p>
      <w:pPr>
        <w:pStyle w:val="FirstParagraph"/>
      </w:pPr>
      <w:r>
        <w:t xml:space="preserve">El fabricante del producto podrá adquirir obligaciones de proveedor cuando un sistema de IA se comercialice o se ponga en servicio con el producto del fabricante bajo el nombre o marca comercial del fabricante, con sujeción a las condiciones legales aplicables.</w:t>
      </w:r>
    </w:p>
    <w:bookmarkEnd w:id="60"/>
    <w:bookmarkStart w:id="61" w:name="finalidad-prevista"/>
    <w:p>
      <w:pPr>
        <w:pStyle w:val="Heading3"/>
      </w:pPr>
      <w:r>
        <w:rPr>
          <w:rStyle w:val="SectionNumber"/>
        </w:rPr>
        <w:t xml:space="preserve">1.35.8</w:t>
      </w:r>
      <w:r>
        <w:tab/>
      </w:r>
      <w:r>
        <w:t xml:space="preserve">Finalidad prevista</w:t>
      </w:r>
    </w:p>
    <w:p>
      <w:pPr>
        <w:pStyle w:val="FirstParagraph"/>
      </w:pPr>
      <w:r>
        <w:t xml:space="preserve">El uso previsto por el proveedor, incluyendo el contexto y las condiciones especificadas en instrucciones, materiales promocionales o de venta, declaraciones y documentación técnica.</w:t>
      </w:r>
    </w:p>
    <w:bookmarkEnd w:id="61"/>
    <w:bookmarkStart w:id="62" w:name="uso-indebido-razonablemente-previsible"/>
    <w:p>
      <w:pPr>
        <w:pStyle w:val="Heading3"/>
      </w:pPr>
      <w:r>
        <w:rPr>
          <w:rStyle w:val="SectionNumber"/>
        </w:rPr>
        <w:t xml:space="preserve">1.35.9</w:t>
      </w:r>
      <w:r>
        <w:tab/>
      </w:r>
      <w:r>
        <w:t xml:space="preserve">Uso indebido razonablemente previsible</w:t>
      </w:r>
    </w:p>
    <w:p>
      <w:pPr>
        <w:pStyle w:val="FirstParagraph"/>
      </w:pPr>
      <w:r>
        <w:t xml:space="preserve">Uso no previsto por el proveedor, pero resultante de un comportamiento humano razonablemente previsible o de la interacción con otros sistemas.</w:t>
      </w:r>
    </w:p>
    <w:bookmarkEnd w:id="62"/>
    <w:bookmarkStart w:id="63" w:name="modificación-sustancial"/>
    <w:p>
      <w:pPr>
        <w:pStyle w:val="Heading3"/>
      </w:pPr>
      <w:r>
        <w:rPr>
          <w:rStyle w:val="SectionNumber"/>
        </w:rPr>
        <w:t xml:space="preserve">1.35.10</w:t>
      </w:r>
      <w:r>
        <w:tab/>
      </w:r>
      <w:r>
        <w:t xml:space="preserve">Modificación sustancial</w:t>
      </w:r>
    </w:p>
    <w:p>
      <w:pPr>
        <w:pStyle w:val="FirstParagraph"/>
      </w:pPr>
      <w:r>
        <w:t xml:space="preserve">Un cambio posterior a la comercialización no previsto o previsto en la evaluación inicial de la conformidad que afecte al cumplimiento o modifique el propósito previsto, con sujeción a la definición legal y a las orientaciones aplicables.</w:t>
      </w:r>
    </w:p>
    <w:bookmarkEnd w:id="63"/>
    <w:bookmarkEnd w:id="64"/>
    <w:bookmarkStart w:id="65" w:name="controles-de-interpretación"/>
    <w:p>
      <w:pPr>
        <w:pStyle w:val="Heading2"/>
      </w:pPr>
      <w:r>
        <w:rPr>
          <w:rStyle w:val="SectionNumber"/>
        </w:rPr>
        <w:t xml:space="preserve">1.36</w:t>
      </w:r>
      <w:r>
        <w:tab/>
      </w:r>
      <w:r>
        <w:t xml:space="preserve">Controles de interpretación</w:t>
      </w:r>
    </w:p>
    <w:p>
      <w:pPr>
        <w:numPr>
          <w:ilvl w:val="0"/>
          <w:numId w:val="1015"/>
        </w:numPr>
        <w:pStyle w:val="Compact"/>
      </w:pPr>
      <w:r>
        <w:t xml:space="preserve">Las definiciones de cita o parafrase conservadoramente.</w:t>
      </w:r>
    </w:p>
    <w:p>
      <w:pPr>
        <w:numPr>
          <w:ilvl w:val="0"/>
          <w:numId w:val="1015"/>
        </w:numPr>
        <w:pStyle w:val="Compact"/>
      </w:pPr>
      <w:r>
        <w:t xml:space="preserve">Citar el punto exacto del artículo 3 cuando una decisión depende de una definición.</w:t>
      </w:r>
    </w:p>
    <w:p>
      <w:pPr>
        <w:numPr>
          <w:ilvl w:val="0"/>
          <w:numId w:val="1015"/>
        </w:numPr>
        <w:pStyle w:val="Compact"/>
      </w:pPr>
      <w:r>
        <w:t xml:space="preserve">No trate las etiquetas comerciales como</w:t>
      </w:r>
      <w:r>
        <w:t xml:space="preserve"> </w:t>
      </w:r>
      <w:r>
        <w:t xml:space="preserve">“</w:t>
      </w:r>
      <w:r>
        <w:t xml:space="preserve">plataforma</w:t>
      </w:r>
      <w:r>
        <w:t xml:space="preserve">”</w:t>
      </w:r>
      <w:r>
        <w:t xml:space="preserve">,</w:t>
      </w:r>
      <w:r>
        <w:t xml:space="preserve"> </w:t>
      </w:r>
      <w:r>
        <w:t xml:space="preserve">“</w:t>
      </w:r>
      <w:r>
        <w:t xml:space="preserve">asistente</w:t>
      </w:r>
      <w:r>
        <w:t xml:space="preserve">”</w:t>
      </w:r>
      <w:r>
        <w:t xml:space="preserve">,</w:t>
      </w:r>
      <w:r>
        <w:t xml:space="preserve"> </w:t>
      </w:r>
      <w:r>
        <w:t xml:space="preserve">“</w:t>
      </w:r>
      <w:r>
        <w:t xml:space="preserve">copiloto</w:t>
      </w:r>
      <w:r>
        <w:t xml:space="preserve">”</w:t>
      </w:r>
      <w:r>
        <w:t xml:space="preserve"> </w:t>
      </w:r>
      <w:r>
        <w:t xml:space="preserve">o</w:t>
      </w:r>
      <w:r>
        <w:t xml:space="preserve"> </w:t>
      </w:r>
      <w:r>
        <w:t xml:space="preserve">“</w:t>
      </w:r>
      <w:r>
        <w:t xml:space="preserve">modelo de fundación</w:t>
      </w:r>
      <w:r>
        <w:t xml:space="preserve">”</w:t>
      </w:r>
      <w:r>
        <w:t xml:space="preserve"> </w:t>
      </w:r>
      <w:r>
        <w:t xml:space="preserve">como clasificaciones legales.</w:t>
      </w:r>
    </w:p>
    <w:p>
      <w:pPr>
        <w:numPr>
          <w:ilvl w:val="0"/>
          <w:numId w:val="1015"/>
        </w:numPr>
        <w:pStyle w:val="Compact"/>
      </w:pPr>
      <w:r>
        <w:t xml:space="preserve">Evaluar varios roles por separado; una entidad puede tener más de un rol.</w:t>
      </w:r>
    </w:p>
    <w:p>
      <w:pPr>
        <w:numPr>
          <w:ilvl w:val="0"/>
          <w:numId w:val="1015"/>
        </w:numPr>
        <w:pStyle w:val="Compact"/>
      </w:pPr>
      <w:r>
        <w:t xml:space="preserve">Reevaluar las definiciones después de cambios en el branding, propósito previsto, modificación, integración, distribución o estructura de contratación.</w:t>
      </w:r>
    </w:p>
    <w:bookmarkEnd w:id="65"/>
    <w:bookmarkStart w:id="66" w:name="ejemplo-de-globalway-2"/>
    <w:p>
      <w:pPr>
        <w:pStyle w:val="Heading2"/>
      </w:pPr>
      <w:r>
        <w:rPr>
          <w:rStyle w:val="SectionNumber"/>
        </w:rPr>
        <w:t xml:space="preserve">1.37</w:t>
      </w:r>
      <w:r>
        <w:tab/>
      </w:r>
      <w:r>
        <w:t xml:space="preserve">Ejemplo de GlobalWay</w:t>
      </w:r>
    </w:p>
    <w:p>
      <w:pPr>
        <w:pStyle w:val="FirstParagraph"/>
      </w:pPr>
      <w:r>
        <w:t xml:space="preserve">GlobalWay compra un asistente de viajes impulsado por GPAI a un proveedor y lo utiliza internamente y para clientes. El proveedor de modelos, proveedor de sistemas, intermediario en la nube y GlobalWay puede tener diferentes roles. Si GlobalWay modifica materialmente el sistema y lo comercializa bajo su propia marca, debe reevaluar si se ha convertido en un proveedor.</w:t>
      </w:r>
    </w:p>
    <w:bookmarkEnd w:id="66"/>
    <w:bookmarkStart w:id="67" w:name="actividad-de-control-3"/>
    <w:p>
      <w:pPr>
        <w:pStyle w:val="Heading2"/>
      </w:pPr>
      <w:r>
        <w:rPr>
          <w:rStyle w:val="SectionNumber"/>
        </w:rPr>
        <w:t xml:space="preserve">1.38</w:t>
      </w:r>
      <w:r>
        <w:tab/>
      </w:r>
      <w:r>
        <w:t xml:space="preserve">Actividad de control</w:t>
      </w:r>
    </w:p>
    <w:p>
      <w:pPr>
        <w:pStyle w:val="FirstParagraph"/>
      </w:pPr>
      <w:r>
        <w:t xml:space="preserve">La gobernanza jurídica y de la IA mantiene un glosario controlado que vincula cada término operacional con la definición legal actual, la referencia al artículo, el propietario y la fecha de revisión.</w:t>
      </w:r>
    </w:p>
    <w:bookmarkEnd w:id="67"/>
    <w:bookmarkStart w:id="68" w:name="pruebas-3"/>
    <w:p>
      <w:pPr>
        <w:pStyle w:val="Heading2"/>
      </w:pPr>
      <w:r>
        <w:rPr>
          <w:rStyle w:val="SectionNumber"/>
        </w:rPr>
        <w:t xml:space="preserve">1.39</w:t>
      </w:r>
      <w:r>
        <w:tab/>
      </w:r>
      <w:r>
        <w:t xml:space="preserve">Pruebas</w:t>
      </w:r>
    </w:p>
    <w:p>
      <w:pPr>
        <w:numPr>
          <w:ilvl w:val="0"/>
          <w:numId w:val="1016"/>
        </w:numPr>
        <w:pStyle w:val="Compact"/>
      </w:pPr>
      <w:r>
        <w:t xml:space="preserve">glosario controlado;</w:t>
      </w:r>
    </w:p>
    <w:p>
      <w:pPr>
        <w:numPr>
          <w:ilvl w:val="0"/>
          <w:numId w:val="1016"/>
        </w:numPr>
        <w:pStyle w:val="Compact"/>
      </w:pPr>
      <w:r>
        <w:t xml:space="preserve">hojas de trabajo sobre funciones y clasificación;</w:t>
      </w:r>
    </w:p>
    <w:p>
      <w:pPr>
        <w:numPr>
          <w:ilvl w:val="0"/>
          <w:numId w:val="1016"/>
        </w:numPr>
        <w:pStyle w:val="Compact"/>
      </w:pPr>
      <w:r>
        <w:t xml:space="preserve">los registros de contratos y marcas;</w:t>
      </w:r>
    </w:p>
    <w:p>
      <w:pPr>
        <w:numPr>
          <w:ilvl w:val="0"/>
          <w:numId w:val="1016"/>
        </w:numPr>
        <w:pStyle w:val="Compact"/>
      </w:pPr>
      <w:r>
        <w:t xml:space="preserve">declaración de finalidad prevista;</w:t>
      </w:r>
    </w:p>
    <w:p>
      <w:pPr>
        <w:numPr>
          <w:ilvl w:val="0"/>
          <w:numId w:val="1016"/>
        </w:numPr>
        <w:pStyle w:val="Compact"/>
      </w:pPr>
      <w:r>
        <w:t xml:space="preserve">evaluación de la modificación;</w:t>
      </w:r>
    </w:p>
    <w:p>
      <w:pPr>
        <w:numPr>
          <w:ilvl w:val="0"/>
          <w:numId w:val="1016"/>
        </w:numPr>
        <w:pStyle w:val="Compact"/>
      </w:pPr>
      <w:r>
        <w:t xml:space="preserve">historia de la aprobación legal.</w:t>
      </w:r>
    </w:p>
    <w:bookmarkEnd w:id="68"/>
    <w:bookmarkStart w:id="69" w:name="prueba-de-auditoría-3"/>
    <w:p>
      <w:pPr>
        <w:pStyle w:val="Heading2"/>
      </w:pPr>
      <w:r>
        <w:rPr>
          <w:rStyle w:val="SectionNumber"/>
        </w:rPr>
        <w:t xml:space="preserve">1.40</w:t>
      </w:r>
      <w:r>
        <w:tab/>
      </w:r>
      <w:r>
        <w:t xml:space="preserve">Prueba de auditoría</w:t>
      </w:r>
    </w:p>
    <w:p>
      <w:pPr>
        <w:pStyle w:val="FirstParagraph"/>
      </w:pPr>
      <w:r>
        <w:t xml:space="preserve">Confirme que las decisiones de la muestra utilizan la definición legal actual, identifique la referencia jurídica exacta y distinga los términos jurídicos de la terminología comercial.</w:t>
      </w:r>
    </w:p>
    <w:bookmarkEnd w:id="69"/>
    <w:bookmarkStart w:id="70" w:name="referencia-jurídica-primaria"/>
    <w:p>
      <w:pPr>
        <w:pStyle w:val="Heading2"/>
      </w:pPr>
      <w:r>
        <w:rPr>
          <w:rStyle w:val="SectionNumber"/>
        </w:rPr>
        <w:t xml:space="preserve">1.41</w:t>
      </w:r>
      <w:r>
        <w:tab/>
      </w:r>
      <w:r>
        <w:t xml:space="preserve">Referencia jurídica primaria</w:t>
      </w:r>
    </w:p>
    <w:p>
      <w:pPr>
        <w:numPr>
          <w:ilvl w:val="0"/>
          <w:numId w:val="1017"/>
        </w:numPr>
        <w:pStyle w:val="Compact"/>
      </w:pPr>
      <w:r>
        <w:t xml:space="preserve">Reglamento (UE) 2024/1689, modificado: artículo 3 y disposiciones conexas.</w:t>
      </w:r>
    </w:p>
    <w:p>
      <w:pPr>
        <w:numPr>
          <w:ilvl w:val="0"/>
          <w:numId w:val="1017"/>
        </w:numPr>
        <w:pStyle w:val="Compact"/>
      </w:pPr>
      <w:r>
        <w:t xml:space="preserve">Texto consolidado actual EUR-Lex.</w:t>
      </w:r>
    </w:p>
    <w:bookmarkEnd w:id="70"/>
    <w:bookmarkStart w:id="71" w:name="Xaa0751dada4daf4dcdaf599ff1c2707e89b839a"/>
    <w:p>
      <w:pPr>
        <w:pStyle w:val="Heading2"/>
      </w:pPr>
      <w:r>
        <w:rPr>
          <w:rStyle w:val="SectionNumber"/>
        </w:rPr>
        <w:t xml:space="preserve">1.42</w:t>
      </w:r>
      <w:r>
        <w:tab/>
      </w:r>
      <w:r>
        <w:t xml:space="preserve">Capítulo 5 — Funciones reguladoras y rendición de cuentas</w:t>
      </w:r>
    </w:p>
    <w:p>
      <w:pPr>
        <w:pStyle w:val="BlockText"/>
      </w:pPr>
      <w:r>
        <w:rPr>
          <w:bCs/>
          <w:b/>
        </w:rPr>
        <w:t xml:space="preserve">Situación jurídica:</w:t>
      </w:r>
      <w:r>
        <w:t xml:space="preserve"> </w:t>
      </w:r>
      <w:r>
        <w:t xml:space="preserve">master inglés corregido para consolidación.</w:t>
      </w:r>
    </w:p>
    <w:bookmarkEnd w:id="71"/>
    <w:bookmarkStart w:id="72" w:name="requisito-4"/>
    <w:p>
      <w:pPr>
        <w:pStyle w:val="Heading2"/>
      </w:pPr>
      <w:r>
        <w:rPr>
          <w:rStyle w:val="SectionNumber"/>
        </w:rPr>
        <w:t xml:space="preserve">1.43</w:t>
      </w:r>
      <w:r>
        <w:tab/>
      </w:r>
      <w:r>
        <w:t xml:space="preserve">Requisito</w:t>
      </w:r>
    </w:p>
    <w:p>
      <w:pPr>
        <w:pStyle w:val="FirstParagraph"/>
      </w:pPr>
      <w:r>
        <w:t xml:space="preserve">Cada sistema de IA material y modelo GPAI debe tener una determinación documentada de la función del actor. Obligaciones asociadas al papel realmente desempeñado, no sólo a la etiqueta utilizada en un contrato.</w:t>
      </w:r>
    </w:p>
    <w:bookmarkEnd w:id="72"/>
    <w:bookmarkStart w:id="73" w:name="análisis-de-funciones"/>
    <w:p>
      <w:pPr>
        <w:pStyle w:val="Heading2"/>
      </w:pPr>
      <w:r>
        <w:rPr>
          <w:rStyle w:val="SectionNumber"/>
        </w:rPr>
        <w:t xml:space="preserve">1.44</w:t>
      </w:r>
      <w:r>
        <w:tab/>
      </w:r>
      <w:r>
        <w:t xml:space="preserve">Análisis de funciones</w:t>
      </w:r>
    </w:p>
    <w:p>
      <w:pPr>
        <w:pStyle w:val="FirstParagraph"/>
      </w:pPr>
      <w:r>
        <w:t xml:space="preserve">Evaluar por separado si cada entidad jurídica actúa como:</w:t>
      </w:r>
    </w:p>
    <w:p>
      <w:pPr>
        <w:numPr>
          <w:ilvl w:val="0"/>
          <w:numId w:val="1018"/>
        </w:numPr>
        <w:pStyle w:val="Compact"/>
      </w:pPr>
      <w:r>
        <w:t xml:space="preserve">el proveedor de un sistema de IA;</w:t>
      </w:r>
    </w:p>
    <w:p>
      <w:pPr>
        <w:numPr>
          <w:ilvl w:val="0"/>
          <w:numId w:val="1018"/>
        </w:numPr>
        <w:pStyle w:val="Compact"/>
      </w:pPr>
      <w:r>
        <w:t xml:space="preserve">el proveedor de un modelo GPAI;</w:t>
      </w:r>
    </w:p>
    <w:p>
      <w:pPr>
        <w:numPr>
          <w:ilvl w:val="0"/>
          <w:numId w:val="1018"/>
        </w:numPr>
        <w:pStyle w:val="Compact"/>
      </w:pPr>
      <w:r>
        <w:t xml:space="preserve">el despliegue;</w:t>
      </w:r>
    </w:p>
    <w:p>
      <w:pPr>
        <w:numPr>
          <w:ilvl w:val="0"/>
          <w:numId w:val="1018"/>
        </w:numPr>
        <w:pStyle w:val="Compact"/>
      </w:pPr>
      <w:r>
        <w:t xml:space="preserve">importador;</w:t>
      </w:r>
    </w:p>
    <w:p>
      <w:pPr>
        <w:numPr>
          <w:ilvl w:val="0"/>
          <w:numId w:val="1018"/>
        </w:numPr>
        <w:pStyle w:val="Compact"/>
      </w:pPr>
      <w:r>
        <w:t xml:space="preserve">distribuidor;</w:t>
      </w:r>
    </w:p>
    <w:p>
      <w:pPr>
        <w:numPr>
          <w:ilvl w:val="0"/>
          <w:numId w:val="1018"/>
        </w:numPr>
        <w:pStyle w:val="Compact"/>
      </w:pPr>
      <w:r>
        <w:t xml:space="preserve">el representante autorizado;</w:t>
      </w:r>
    </w:p>
    <w:p>
      <w:pPr>
        <w:numPr>
          <w:ilvl w:val="0"/>
          <w:numId w:val="1018"/>
        </w:numPr>
        <w:pStyle w:val="Compact"/>
      </w:pPr>
      <w:r>
        <w:t xml:space="preserve">fabricante del producto;</w:t>
      </w:r>
    </w:p>
    <w:p>
      <w:pPr>
        <w:numPr>
          <w:ilvl w:val="0"/>
          <w:numId w:val="1018"/>
        </w:numPr>
        <w:pStyle w:val="Compact"/>
      </w:pPr>
      <w:r>
        <w:t xml:space="preserve">el proveedor intermedio que integre un modelo GPAI;</w:t>
      </w:r>
    </w:p>
    <w:p>
      <w:pPr>
        <w:numPr>
          <w:ilvl w:val="0"/>
          <w:numId w:val="1018"/>
        </w:numPr>
        <w:pStyle w:val="Compact"/>
      </w:pPr>
      <w:r>
        <w:t xml:space="preserve">otro agente que adquiera obligaciones de proveedor mediante la colocación en una marca propia, la modificación sustancial o el cambio del propósito previsto.</w:t>
      </w:r>
    </w:p>
    <w:p>
      <w:pPr>
        <w:pStyle w:val="FirstParagraph"/>
      </w:pPr>
      <w:r>
        <w:t xml:space="preserve">Una entidad puede tener varios roles para un producto o diferentes roles entre jurisdicciones y etapas del ciclo de vida.</w:t>
      </w:r>
    </w:p>
    <w:bookmarkEnd w:id="73"/>
    <w:bookmarkStart w:id="74" w:name="principios-de-rendición-de-cuentas"/>
    <w:p>
      <w:pPr>
        <w:pStyle w:val="Heading2"/>
      </w:pPr>
      <w:r>
        <w:rPr>
          <w:rStyle w:val="SectionNumber"/>
        </w:rPr>
        <w:t xml:space="preserve">1.45</w:t>
      </w:r>
      <w:r>
        <w:tab/>
      </w:r>
      <w:r>
        <w:t xml:space="preserve">Principios de rendición de cuentas</w:t>
      </w:r>
    </w:p>
    <w:p>
      <w:pPr>
        <w:numPr>
          <w:ilvl w:val="0"/>
          <w:numId w:val="1019"/>
        </w:numPr>
        <w:pStyle w:val="Compact"/>
      </w:pPr>
      <w:r>
        <w:rPr>
          <w:bCs/>
          <w:b/>
        </w:rPr>
        <w:t xml:space="preserve">Role sigue la conducta.</w:t>
      </w:r>
      <w:r>
        <w:t xml:space="preserve"> </w:t>
      </w:r>
      <w:r>
        <w:t xml:space="preserve">Los contratos apoyan el análisis, pero no pueden borrar la responsabilidad legal.</w:t>
      </w:r>
    </w:p>
    <w:p>
      <w:pPr>
        <w:numPr>
          <w:ilvl w:val="0"/>
          <w:numId w:val="1019"/>
        </w:numPr>
        <w:pStyle w:val="Compact"/>
      </w:pPr>
      <w:r>
        <w:rPr>
          <w:bCs/>
          <w:b/>
        </w:rPr>
        <w:t xml:space="preserve">Las entidades jurídicas importan.</w:t>
      </w:r>
      <w:r>
        <w:t xml:space="preserve"> </w:t>
      </w:r>
      <w:r>
        <w:t xml:space="preserve">Registra qué afiliado realiza cada actividad.</w:t>
      </w:r>
    </w:p>
    <w:p>
      <w:pPr>
        <w:numPr>
          <w:ilvl w:val="0"/>
          <w:numId w:val="1019"/>
        </w:numPr>
        <w:pStyle w:val="Compact"/>
      </w:pPr>
      <w:r>
        <w:rPr>
          <w:bCs/>
          <w:b/>
        </w:rPr>
        <w:t xml:space="preserve">El ciclo vital cambia la materia.</w:t>
      </w:r>
      <w:r>
        <w:t xml:space="preserve"> </w:t>
      </w:r>
      <w:r>
        <w:t xml:space="preserve">Marca, modificación, repurposición, integración y distribución pueden cambiar roles.</w:t>
      </w:r>
    </w:p>
    <w:p>
      <w:pPr>
        <w:numPr>
          <w:ilvl w:val="0"/>
          <w:numId w:val="1019"/>
        </w:numPr>
        <w:pStyle w:val="Compact"/>
      </w:pPr>
      <w:r>
        <w:rPr>
          <w:bCs/>
          <w:b/>
        </w:rPr>
        <w:t xml:space="preserve">Los roles del modelo y del sistema difieren.</w:t>
      </w:r>
      <w:r>
        <w:t xml:space="preserve"> </w:t>
      </w:r>
      <w:r>
        <w:t xml:space="preserve">Un proveedor de modelos GPAI y un proveedor de sistemas IA no son automáticamente el mismo actor.</w:t>
      </w:r>
    </w:p>
    <w:p>
      <w:pPr>
        <w:numPr>
          <w:ilvl w:val="0"/>
          <w:numId w:val="1019"/>
        </w:numPr>
        <w:pStyle w:val="Compact"/>
      </w:pPr>
      <w:r>
        <w:t xml:space="preserve">** Las responsabilidades deben ser operativas.** Asignar a los propietarios responsables de la documentación, monitoreo, respuesta a incidentes, supervisión humana, gestión de proveedores y cooperación regulatoria.</w:t>
      </w:r>
    </w:p>
    <w:bookmarkEnd w:id="74"/>
    <w:bookmarkStart w:id="75" w:name="ejemplo-de-globalway-3"/>
    <w:p>
      <w:pPr>
        <w:pStyle w:val="Heading2"/>
      </w:pPr>
      <w:r>
        <w:rPr>
          <w:rStyle w:val="SectionNumber"/>
        </w:rPr>
        <w:t xml:space="preserve">1.46</w:t>
      </w:r>
      <w:r>
        <w:tab/>
      </w:r>
      <w:r>
        <w:t xml:space="preserve">Ejemplo de GlobalWay</w:t>
      </w:r>
    </w:p>
    <w:p>
      <w:pPr>
        <w:pStyle w:val="FirstParagraph"/>
      </w:pPr>
      <w:r>
        <w:t xml:space="preserve">GlobalWay despliega el asistente de viajes de un proveedor para el servicio al cliente. El proveedor sigue siendo el proveedor del sistema, mientras que GlobalWay es normalmente el implementador. Si GlobalWay modifica el sistema más allá de los cambios planeados por el proveedor, cambia su propósito previsto, o lo comercializa bajo la marca GlobalWay, Legal debe reevaluar si GlobalWay ha adquirido obligaciones con el proveedor.</w:t>
      </w:r>
    </w:p>
    <w:bookmarkEnd w:id="75"/>
    <w:bookmarkStart w:id="76" w:name="actividad-de-control-4"/>
    <w:p>
      <w:pPr>
        <w:pStyle w:val="Heading2"/>
      </w:pPr>
      <w:r>
        <w:rPr>
          <w:rStyle w:val="SectionNumber"/>
        </w:rPr>
        <w:t xml:space="preserve">1.47</w:t>
      </w:r>
      <w:r>
        <w:tab/>
      </w:r>
      <w:r>
        <w:t xml:space="preserve">Actividad de control</w:t>
      </w:r>
    </w:p>
    <w:p>
      <w:pPr>
        <w:pStyle w:val="FirstParagraph"/>
      </w:pPr>
      <w:r>
        <w:t xml:space="preserve">Antes de la aprobación, Legal completa una matriz de funciones por entidad y jurisdicción. La contratación pública garantiza que los contratos reflejen la asignación operacional de responsabilidades, el intercambio de información requerido, los derechos de auditoría, la notificación de cambios, la cooperación en incidentes y el apoyo de salida.</w:t>
      </w:r>
    </w:p>
    <w:bookmarkEnd w:id="76"/>
    <w:bookmarkStart w:id="77" w:name="pruebas-4"/>
    <w:p>
      <w:pPr>
        <w:pStyle w:val="Heading2"/>
      </w:pPr>
      <w:r>
        <w:rPr>
          <w:rStyle w:val="SectionNumber"/>
        </w:rPr>
        <w:t xml:space="preserve">1.48</w:t>
      </w:r>
      <w:r>
        <w:tab/>
      </w:r>
      <w:r>
        <w:t xml:space="preserve">Pruebas</w:t>
      </w:r>
    </w:p>
    <w:p>
      <w:pPr>
        <w:numPr>
          <w:ilvl w:val="0"/>
          <w:numId w:val="1020"/>
        </w:numPr>
        <w:pStyle w:val="Compact"/>
      </w:pPr>
      <w:r>
        <w:t xml:space="preserve">matriz actor-papel;</w:t>
      </w:r>
    </w:p>
    <w:p>
      <w:pPr>
        <w:numPr>
          <w:ilvl w:val="0"/>
          <w:numId w:val="1020"/>
        </w:numPr>
        <w:pStyle w:val="Compact"/>
      </w:pPr>
      <w:r>
        <w:t xml:space="preserve">el mapa de organización y afiliación;</w:t>
      </w:r>
    </w:p>
    <w:p>
      <w:pPr>
        <w:numPr>
          <w:ilvl w:val="0"/>
          <w:numId w:val="1020"/>
        </w:numPr>
        <w:pStyle w:val="Compact"/>
      </w:pPr>
      <w:r>
        <w:t xml:space="preserve">contratos y mandatos escritos;</w:t>
      </w:r>
    </w:p>
    <w:p>
      <w:pPr>
        <w:numPr>
          <w:ilvl w:val="0"/>
          <w:numId w:val="1020"/>
        </w:numPr>
        <w:pStyle w:val="Compact"/>
      </w:pPr>
      <w:r>
        <w:t xml:space="preserve">los registros de marca y colocación en el mercado;</w:t>
      </w:r>
    </w:p>
    <w:p>
      <w:pPr>
        <w:numPr>
          <w:ilvl w:val="0"/>
          <w:numId w:val="1020"/>
        </w:numPr>
        <w:pStyle w:val="Compact"/>
      </w:pPr>
      <w:r>
        <w:t xml:space="preserve">las evaluaciones de la finalidad prevista y de las modificaciones;</w:t>
      </w:r>
    </w:p>
    <w:p>
      <w:pPr>
        <w:numPr>
          <w:ilvl w:val="0"/>
          <w:numId w:val="1020"/>
        </w:numPr>
        <w:pStyle w:val="Compact"/>
      </w:pPr>
      <w:r>
        <w:t xml:space="preserve">Aprobados por la RACI y los propietarios responsables;</w:t>
      </w:r>
    </w:p>
    <w:p>
      <w:pPr>
        <w:numPr>
          <w:ilvl w:val="0"/>
          <w:numId w:val="1020"/>
        </w:numPr>
        <w:pStyle w:val="Compact"/>
      </w:pPr>
      <w:r>
        <w:t xml:space="preserve">Registro de reevaluación.</w:t>
      </w:r>
    </w:p>
    <w:bookmarkEnd w:id="77"/>
    <w:bookmarkStart w:id="78" w:name="prueba-de-auditoría-4"/>
    <w:p>
      <w:pPr>
        <w:pStyle w:val="Heading2"/>
      </w:pPr>
      <w:r>
        <w:rPr>
          <w:rStyle w:val="SectionNumber"/>
        </w:rPr>
        <w:t xml:space="preserve">1.49</w:t>
      </w:r>
      <w:r>
        <w:tab/>
      </w:r>
      <w:r>
        <w:t xml:space="preserve">Prueba de auditoría</w:t>
      </w:r>
    </w:p>
    <w:p>
      <w:pPr>
        <w:pStyle w:val="FirstParagraph"/>
      </w:pPr>
      <w:r>
        <w:t xml:space="preserve">Para los sistemas muestreados, compare la determinación documentada del rol con el desarrollo real, la marca, la contratación, la colocación en el mercado, el despliegue, la modificación y las actividades de distribución. Confirme que los cambios de rol desencadenan obligaciones y controles actualizados.</w:t>
      </w:r>
    </w:p>
    <w:bookmarkEnd w:id="78"/>
    <w:bookmarkStart w:id="79" w:name="referencias-jurídicas-primarias-2"/>
    <w:p>
      <w:pPr>
        <w:pStyle w:val="Heading2"/>
      </w:pPr>
      <w:r>
        <w:rPr>
          <w:rStyle w:val="SectionNumber"/>
        </w:rPr>
        <w:t xml:space="preserve">1.50</w:t>
      </w:r>
      <w:r>
        <w:tab/>
      </w:r>
      <w:r>
        <w:t xml:space="preserve">Referencias jurídicas primarias</w:t>
      </w:r>
    </w:p>
    <w:p>
      <w:pPr>
        <w:numPr>
          <w:ilvl w:val="0"/>
          <w:numId w:val="1021"/>
        </w:numPr>
        <w:pStyle w:val="Compact"/>
      </w:pPr>
      <w:r>
        <w:t xml:space="preserve">Reglamento (UE) 2024/1689, modificado: definiciones del artículo 3 y obligaciones específicas de los agentes en todo el Reglamento.</w:t>
      </w:r>
    </w:p>
    <w:p>
      <w:pPr>
        <w:numPr>
          <w:ilvl w:val="0"/>
          <w:numId w:val="1021"/>
        </w:numPr>
        <w:pStyle w:val="Compact"/>
      </w:pPr>
      <w:r>
        <w:t xml:space="preserve">Texto consolidado actual EUR-Lex.</w:t>
      </w:r>
    </w:p>
    <w:bookmarkEnd w:id="79"/>
    <w:bookmarkStart w:id="80" w:name="X587597a423fa8d3b10ed7dfbb18aa482661c730"/>
    <w:p>
      <w:pPr>
        <w:pStyle w:val="Heading2"/>
      </w:pPr>
      <w:r>
        <w:rPr>
          <w:rStyle w:val="SectionNumber"/>
        </w:rPr>
        <w:t xml:space="preserve">1.51</w:t>
      </w:r>
      <w:r>
        <w:tab/>
      </w:r>
      <w:r>
        <w:t xml:space="preserve">Capítulo 6 — Calendario de aplicación y normas transitorias</w:t>
      </w:r>
    </w:p>
    <w:bookmarkEnd w:id="80"/>
    <w:bookmarkStart w:id="81" w:name="estado-de-la-publicación"/>
    <w:p>
      <w:pPr>
        <w:pStyle w:val="Heading2"/>
      </w:pPr>
      <w:r>
        <w:rPr>
          <w:rStyle w:val="SectionNumber"/>
        </w:rPr>
        <w:t xml:space="preserve">1.52</w:t>
      </w:r>
      <w:r>
        <w:tab/>
      </w:r>
      <w:r>
        <w:t xml:space="preserve">Estado de la publicación</w:t>
      </w:r>
    </w:p>
    <w:p>
      <w:pPr>
        <w:pStyle w:val="FirstParagraph"/>
      </w:pPr>
      <w:r>
        <w:t xml:space="preserve">** Texto original en inglés corregido legalmente.** Este capítulo reemplaza el lenguaje de línea de tiempo conflictivo en borradores anteriores, figuras, apéndices o archivos de trabajo de traducción hasta que esos materiales sean actualizados y verificados.</w:t>
      </w:r>
    </w:p>
    <w:bookmarkEnd w:id="81"/>
    <w:bookmarkStart w:id="82" w:name="finalidad"/>
    <w:p>
      <w:pPr>
        <w:pStyle w:val="Heading2"/>
      </w:pPr>
      <w:r>
        <w:rPr>
          <w:rStyle w:val="SectionNumber"/>
        </w:rPr>
        <w:t xml:space="preserve">1.53</w:t>
      </w:r>
      <w:r>
        <w:tab/>
      </w:r>
      <w:r>
        <w:t xml:space="preserve">Finalidad</w:t>
      </w:r>
    </w:p>
    <w:p>
      <w:pPr>
        <w:pStyle w:val="FirstParagraph"/>
      </w:pPr>
      <w:r>
        <w:t xml:space="preserve">Este capítulo explica cuándo se aplica la Ley de Inteligencia Artificial de la UE, cómo el Reglamento (UE) 2026/1744 modificó el calendario y por qué las organizaciones deben evaluar la fecha efectiva de cada obligación en lugar de basarse en una única fecha general de cumplimiento.</w:t>
      </w:r>
    </w:p>
    <w:bookmarkEnd w:id="82"/>
    <w:bookmarkStart w:id="83" w:name="requisito-5"/>
    <w:p>
      <w:pPr>
        <w:pStyle w:val="Heading2"/>
      </w:pPr>
      <w:r>
        <w:rPr>
          <w:rStyle w:val="SectionNumber"/>
        </w:rPr>
        <w:t xml:space="preserve">1.54</w:t>
      </w:r>
      <w:r>
        <w:tab/>
      </w:r>
      <w:r>
        <w:t xml:space="preserve">Requisito</w:t>
      </w:r>
    </w:p>
    <w:p>
      <w:pPr>
        <w:pStyle w:val="FirstParagraph"/>
      </w:pPr>
      <w:r>
        <w:t xml:space="preserve">Las organizaciones deben mantener un calendario de aplicación actualizado y controlado por las fuentes que mapee cada obligación de la Ley de IA aplicable al agente jurídico pertinente, la categoría del sistema, la norma de transición y la fecha de entrada en vigor.</w:t>
      </w:r>
    </w:p>
    <w:p>
      <w:pPr>
        <w:pStyle w:val="BodyText"/>
      </w:pPr>
      <w:r>
        <w:t xml:space="preserve">Las fuentes de control son:</w:t>
      </w:r>
    </w:p>
    <w:p>
      <w:pPr>
        <w:numPr>
          <w:ilvl w:val="0"/>
          <w:numId w:val="1022"/>
        </w:numPr>
        <w:pStyle w:val="Compact"/>
      </w:pPr>
      <w:r>
        <w:t xml:space="preserve">Reglamento (UE) 2024/1689, en su versión modificada;</w:t>
      </w:r>
    </w:p>
    <w:p>
      <w:pPr>
        <w:numPr>
          <w:ilvl w:val="0"/>
          <w:numId w:val="1022"/>
        </w:numPr>
        <w:pStyle w:val="Compact"/>
      </w:pPr>
      <w:r>
        <w:t xml:space="preserve">Reglamento (UE) 2026/1744;</w:t>
      </w:r>
    </w:p>
    <w:p>
      <w:pPr>
        <w:numPr>
          <w:ilvl w:val="0"/>
          <w:numId w:val="1022"/>
        </w:numPr>
        <w:pStyle w:val="Compact"/>
      </w:pPr>
      <w:r>
        <w:t xml:space="preserve">el texto consolidado actual de EUR-Lex;</w:t>
      </w:r>
    </w:p>
    <w:p>
      <w:pPr>
        <w:numPr>
          <w:ilvl w:val="0"/>
          <w:numId w:val="1022"/>
        </w:numPr>
        <w:pStyle w:val="Compact"/>
      </w:pPr>
      <w:r>
        <w:t xml:space="preserve">directrices oficiales de aplicación de la Comisión Europea, consideradas no vinculantes a menos que reflejen una legislación vinculante.</w:t>
      </w:r>
    </w:p>
    <w:bookmarkEnd w:id="83"/>
    <w:bookmarkStart w:id="84" w:name="explicación-en-lenguaje-sencillo-3"/>
    <w:p>
      <w:pPr>
        <w:pStyle w:val="Heading2"/>
      </w:pPr>
      <w:r>
        <w:rPr>
          <w:rStyle w:val="SectionNumber"/>
        </w:rPr>
        <w:t xml:space="preserve">1.55</w:t>
      </w:r>
      <w:r>
        <w:tab/>
      </w:r>
      <w:r>
        <w:t xml:space="preserve">Explicación en lenguaje sencillo</w:t>
      </w:r>
    </w:p>
    <w:p>
      <w:pPr>
        <w:pStyle w:val="FirstParagraph"/>
      </w:pPr>
      <w:r>
        <w:t xml:space="preserve">La Ley de IA no comienza a aplicarse de una sola vez. Algunas disposiciones ya se aplican, algunas se aplican a partir del 2 de agosto de 2026, y los requisitos específicos de alto riesgo tienen fechas posteriores. Una empresa puede llegar tarde a una obligación aunque otra no haya comenzado todavía.</w:t>
      </w:r>
    </w:p>
    <w:p>
      <w:pPr>
        <w:pStyle w:val="BodyText"/>
      </w:pPr>
      <w:r>
        <w:t xml:space="preserve">El análisis de la fecha debe responder a cuatro preguntas:</w:t>
      </w:r>
    </w:p>
    <w:p>
      <w:pPr>
        <w:numPr>
          <w:ilvl w:val="0"/>
          <w:numId w:val="1023"/>
        </w:numPr>
        <w:pStyle w:val="Compact"/>
      </w:pPr>
      <w:r>
        <w:t xml:space="preserve">¿Qué disposición legal está involucrada?</w:t>
      </w:r>
    </w:p>
    <w:p>
      <w:pPr>
        <w:numPr>
          <w:ilvl w:val="0"/>
          <w:numId w:val="1023"/>
        </w:numPr>
        <w:pStyle w:val="Compact"/>
      </w:pPr>
      <w:r>
        <w:t xml:space="preserve">¿Qué actor y categoría de sistema cubre?</w:t>
      </w:r>
    </w:p>
    <w:p>
      <w:pPr>
        <w:numPr>
          <w:ilvl w:val="0"/>
          <w:numId w:val="1023"/>
        </w:numPr>
        <w:pStyle w:val="Compact"/>
      </w:pPr>
      <w:r>
        <w:t xml:space="preserve">¿Existe una regla de transición específica?</w:t>
      </w:r>
    </w:p>
    <w:p>
      <w:pPr>
        <w:numPr>
          <w:ilvl w:val="0"/>
          <w:numId w:val="1023"/>
        </w:numPr>
        <w:pStyle w:val="Compact"/>
      </w:pPr>
      <w:r>
        <w:t xml:space="preserve">¿Ha modificado la legislación posterior el calendario original?</w:t>
      </w:r>
    </w:p>
    <w:bookmarkEnd w:id="84"/>
    <w:bookmarkStart w:id="85" w:name="X3598804bb3db05039217f6c8da0f319824692a0"/>
    <w:p>
      <w:pPr>
        <w:pStyle w:val="Heading2"/>
      </w:pPr>
      <w:r>
        <w:rPr>
          <w:rStyle w:val="SectionNumber"/>
        </w:rPr>
        <w:t xml:space="preserve">1.56</w:t>
      </w:r>
      <w:r>
        <w:tab/>
      </w:r>
      <w:r>
        <w:t xml:space="preserve">Base de referencia de la aplicación verificada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Fecha</w:t>
            </w:r>
          </w:p>
        </w:tc>
        <w:tc>
          <w:tcPr/>
          <w:p>
            <w:pPr>
              <w:pStyle w:val="Compact"/>
              <w:jc w:val="left"/>
            </w:pPr>
            <w:r>
              <w:t xml:space="preserve">Requisito o hito</w:t>
            </w:r>
          </w:p>
        </w:tc>
      </w:tr>
      <w:tr>
        <w:tc>
          <w:tcPr/>
          <w:p>
            <w:pPr>
              <w:pStyle w:val="Compact"/>
              <w:jc w:val="left"/>
            </w:pPr>
            <w:r>
              <w:t xml:space="preserve">1 de agosto de 2024</w:t>
            </w:r>
          </w:p>
        </w:tc>
        <w:tc>
          <w:tcPr/>
          <w:p>
            <w:pPr>
              <w:pStyle w:val="Compact"/>
              <w:jc w:val="left"/>
            </w:pPr>
            <w:r>
              <w:t xml:space="preserve">El Reglamento (UE) 2024/1689 entró en vigor.</w:t>
            </w:r>
          </w:p>
        </w:tc>
      </w:tr>
      <w:tr>
        <w:tc>
          <w:tcPr/>
          <w:p>
            <w:pPr>
              <w:pStyle w:val="Compact"/>
              <w:jc w:val="left"/>
            </w:pPr>
            <w:r>
              <w:t xml:space="preserve">2 de febrero de 2025</w:t>
            </w:r>
          </w:p>
        </w:tc>
        <w:tc>
          <w:tcPr/>
          <w:p>
            <w:pPr>
              <w:pStyle w:val="Compact"/>
              <w:jc w:val="left"/>
            </w:pPr>
            <w:r>
              <w:t xml:space="preserve">El artículo 5 original prohibía las prácticas y comenzaba a aplicarse el artículo 4.</w:t>
            </w:r>
          </w:p>
        </w:tc>
      </w:tr>
      <w:tr>
        <w:tc>
          <w:tcPr/>
          <w:p>
            <w:pPr>
              <w:pStyle w:val="Compact"/>
              <w:jc w:val="left"/>
            </w:pPr>
            <w:r>
              <w:t xml:space="preserve">2 de agosto de 2025</w:t>
            </w:r>
          </w:p>
        </w:tc>
        <w:tc>
          <w:tcPr/>
          <w:p>
            <w:pPr>
              <w:pStyle w:val="Compact"/>
              <w:jc w:val="left"/>
            </w:pPr>
            <w:r>
              <w:t xml:space="preserve">Las disposiciones y obligaciones de gobernanza para los proveedores de modelos de IA de uso general comenzaron a aplicarse, con sujeción a las normas de transición de la Ley.</w:t>
            </w:r>
          </w:p>
        </w:tc>
      </w:tr>
      <w:tr>
        <w:tc>
          <w:tcPr/>
          <w:p>
            <w:pPr>
              <w:pStyle w:val="Compact"/>
              <w:jc w:val="left"/>
            </w:pPr>
            <w:r>
              <w:t xml:space="preserve">27 de julio de 2026</w:t>
            </w:r>
          </w:p>
        </w:tc>
        <w:tc>
          <w:tcPr/>
          <w:p>
            <w:pPr>
              <w:pStyle w:val="Compact"/>
              <w:jc w:val="left"/>
            </w:pPr>
            <w:r>
              <w:t xml:space="preserve">El Reglamento (UE) 2026/1744 entró en vigor y sus modificaciones deben reflejarse en la base de referencia jurídica de la organización.</w:t>
            </w:r>
          </w:p>
        </w:tc>
      </w:tr>
      <w:tr>
        <w:tc>
          <w:tcPr/>
          <w:p>
            <w:pPr>
              <w:pStyle w:val="Compact"/>
              <w:jc w:val="left"/>
            </w:pPr>
            <w:r>
              <w:t xml:space="preserve">2 de agosto de 2026</w:t>
            </w:r>
          </w:p>
        </w:tc>
        <w:tc>
          <w:tcPr/>
          <w:p>
            <w:pPr>
              <w:pStyle w:val="Compact"/>
              <w:jc w:val="left"/>
            </w:pPr>
            <w:r>
              <w:t xml:space="preserve">La mayoría de las disposiciones restantes de la Ley de Amnistía Internacional se aplican, salvo cuando la Ley enmendada establece otra fecha o norma transitoria.</w:t>
            </w:r>
          </w:p>
        </w:tc>
      </w:tr>
      <w:tr>
        <w:tc>
          <w:tcPr/>
          <w:p>
            <w:pPr>
              <w:pStyle w:val="Compact"/>
              <w:jc w:val="left"/>
            </w:pPr>
            <w:r>
              <w:t xml:space="preserve">2 de diciembre de 2026</w:t>
            </w:r>
          </w:p>
        </w:tc>
        <w:tc>
          <w:tcPr/>
          <w:p>
            <w:pPr>
              <w:pStyle w:val="Compact"/>
              <w:jc w:val="left"/>
            </w:pPr>
            <w:r>
              <w:t xml:space="preserve">Se aplican las nuevas prohibiciones del artículo 5 relativas a los sistemas de IA que generan contenido sexual explícito o íntimo no consensuado o material de abuso sexual infantil.</w:t>
            </w:r>
          </w:p>
        </w:tc>
      </w:tr>
      <w:tr>
        <w:tc>
          <w:tcPr/>
          <w:p>
            <w:pPr>
              <w:pStyle w:val="Compact"/>
              <w:jc w:val="left"/>
            </w:pPr>
            <w:r>
              <w:t xml:space="preserve">2 de diciembre de 2026</w:t>
            </w:r>
          </w:p>
        </w:tc>
        <w:tc>
          <w:tcPr/>
          <w:p>
            <w:pPr>
              <w:pStyle w:val="Compact"/>
              <w:jc w:val="left"/>
            </w:pPr>
            <w:r>
              <w:t xml:space="preserve">La transición modificada para determinados proveedores de sistemas de IA, incluidos los sistemas GPAI, que generan contenido sintético de audio, imagen, vídeo o texto y se comercializaron antes del 2 de agosto de 2026, debe evaluarse en función del cumplimiento del artículo 50, apartado 2.</w:t>
            </w:r>
          </w:p>
        </w:tc>
      </w:tr>
      <w:tr>
        <w:tc>
          <w:tcPr/>
          <w:p>
            <w:pPr>
              <w:pStyle w:val="Compact"/>
              <w:jc w:val="left"/>
            </w:pPr>
            <w:r>
              <w:t xml:space="preserve">2 de agosto de 2027</w:t>
            </w:r>
          </w:p>
        </w:tc>
        <w:tc>
          <w:tcPr/>
          <w:p>
            <w:pPr>
              <w:pStyle w:val="Compact"/>
              <w:jc w:val="left"/>
            </w:pPr>
            <w:r>
              <w:t xml:space="preserve">Los proveedores de modelos GPAI comercializados antes del 2 de agosto de 2025 deben cumplir las normas de transición aplicables.</w:t>
            </w:r>
          </w:p>
        </w:tc>
      </w:tr>
      <w:tr>
        <w:tc>
          <w:tcPr/>
          <w:p>
            <w:pPr>
              <w:pStyle w:val="Compact"/>
              <w:jc w:val="left"/>
            </w:pPr>
            <w:r>
              <w:t xml:space="preserve">2 de diciembre de 2027</w:t>
            </w:r>
          </w:p>
        </w:tc>
        <w:tc>
          <w:tcPr/>
          <w:p>
            <w:pPr>
              <w:pStyle w:val="Compact"/>
              <w:jc w:val="left"/>
            </w:pPr>
            <w:r>
              <w:t xml:space="preserve">Los requisitos que rigen los sistemas de alto riesgo con arreglo al artículo 6, apartado 2, y al anexo III se aplicarán con arreglo al calendario modificado.</w:t>
            </w:r>
          </w:p>
        </w:tc>
      </w:tr>
      <w:tr>
        <w:tc>
          <w:tcPr/>
          <w:p>
            <w:pPr>
              <w:pStyle w:val="Compact"/>
              <w:jc w:val="left"/>
            </w:pPr>
            <w:r>
              <w:t xml:space="preserve">2 de agosto de 2028</w:t>
            </w:r>
          </w:p>
        </w:tc>
        <w:tc>
          <w:tcPr/>
          <w:p>
            <w:pPr>
              <w:pStyle w:val="Compact"/>
              <w:jc w:val="left"/>
            </w:pPr>
            <w:r>
              <w:t xml:space="preserve">Los requisitos que rigen los sistemas de alto riesgo con arreglo al artículo 6, apartado 1, y a la legislación sobre productos del anexo I se aplican con arreglo al calendario modificado.</w:t>
            </w:r>
          </w:p>
        </w:tc>
      </w:tr>
    </w:tbl>
    <w:bookmarkEnd w:id="85"/>
    <w:bookmarkStart w:id="86" w:name="regla-de-interpretación-crítica"/>
    <w:p>
      <w:pPr>
        <w:pStyle w:val="Heading2"/>
      </w:pPr>
      <w:r>
        <w:rPr>
          <w:rStyle w:val="SectionNumber"/>
        </w:rPr>
        <w:t xml:space="preserve">1.57</w:t>
      </w:r>
      <w:r>
        <w:tab/>
      </w:r>
      <w:r>
        <w:t xml:space="preserve">Regla de interpretación crítica</w:t>
      </w:r>
    </w:p>
    <w:p>
      <w:pPr>
        <w:pStyle w:val="FirstParagraph"/>
      </w:pPr>
      <w:r>
        <w:t xml:space="preserve">Las fechas posteriores para la IA de alto riesgo deben indicarse en forma restringida, lo que no significa que todas las disposiciones relativas a la IA de alto riesgo, todas las obligaciones de gobernanza, todas las facultades de ejecución o todas las obligaciones jurídicas conexas se aplacen a la misma fecha.</w:t>
      </w:r>
    </w:p>
    <w:p>
      <w:pPr>
        <w:pStyle w:val="BodyText"/>
      </w:pPr>
      <w:r>
        <w:t xml:space="preserve">Para cada sistema, documento por separado:</w:t>
      </w:r>
    </w:p>
    <w:p>
      <w:pPr>
        <w:numPr>
          <w:ilvl w:val="0"/>
          <w:numId w:val="1024"/>
        </w:numPr>
        <w:pStyle w:val="Compact"/>
      </w:pPr>
      <w:r>
        <w:t xml:space="preserve">disposiciones de clasificación y análisis;</w:t>
      </w:r>
    </w:p>
    <w:p>
      <w:pPr>
        <w:numPr>
          <w:ilvl w:val="0"/>
          <w:numId w:val="1024"/>
        </w:numPr>
        <w:pStyle w:val="Compact"/>
      </w:pPr>
      <w:r>
        <w:t xml:space="preserve">Capítulo III, secciones 1 a 3, requisitos;</w:t>
      </w:r>
    </w:p>
    <w:p>
      <w:pPr>
        <w:numPr>
          <w:ilvl w:val="0"/>
          <w:numId w:val="1024"/>
        </w:numPr>
        <w:pStyle w:val="Compact"/>
      </w:pPr>
      <w:r>
        <w:t xml:space="preserve">funciones de proveedor, de despliegue, de importador, de distribuidor y de representante;</w:t>
      </w:r>
    </w:p>
    <w:p>
      <w:pPr>
        <w:numPr>
          <w:ilvl w:val="0"/>
          <w:numId w:val="1024"/>
        </w:numPr>
        <w:pStyle w:val="Compact"/>
      </w:pPr>
      <w:r>
        <w:t xml:space="preserve">las obligaciones de transparencia;</w:t>
      </w:r>
    </w:p>
    <w:p>
      <w:pPr>
        <w:numPr>
          <w:ilvl w:val="0"/>
          <w:numId w:val="1024"/>
        </w:numPr>
        <w:pStyle w:val="Compact"/>
      </w:pPr>
      <w:r>
        <w:t xml:space="preserve">Obligaciones de la GPAI;</w:t>
      </w:r>
    </w:p>
    <w:p>
      <w:pPr>
        <w:numPr>
          <w:ilvl w:val="0"/>
          <w:numId w:val="1024"/>
        </w:numPr>
        <w:pStyle w:val="Compact"/>
      </w:pPr>
      <w:r>
        <w:t xml:space="preserve">las disposiciones de gobernanza y ejecución;</w:t>
      </w:r>
    </w:p>
    <w:p>
      <w:pPr>
        <w:numPr>
          <w:ilvl w:val="0"/>
          <w:numId w:val="1024"/>
        </w:numPr>
        <w:pStyle w:val="Compact"/>
      </w:pPr>
      <w:r>
        <w:t xml:space="preserve">normas de transición específicas del sistema;</w:t>
      </w:r>
    </w:p>
    <w:p>
      <w:pPr>
        <w:numPr>
          <w:ilvl w:val="0"/>
          <w:numId w:val="1024"/>
        </w:numPr>
        <w:pStyle w:val="Compact"/>
      </w:pPr>
      <w:r>
        <w:t xml:space="preserve">obligaciones derivadas del RGPD, el empleo, los consumidores, la seguridad, la seguridad cibernética y la legislación sectorial.</w:t>
      </w:r>
    </w:p>
    <w:bookmarkEnd w:id="86"/>
    <w:bookmarkStart w:id="87" w:name="Xd140ec1b7e0087245e09af56ade61f78e987e34"/>
    <w:p>
      <w:pPr>
        <w:pStyle w:val="Heading2"/>
      </w:pPr>
      <w:r>
        <w:rPr>
          <w:rStyle w:val="SectionNumber"/>
        </w:rPr>
        <w:t xml:space="preserve">1.58</w:t>
      </w:r>
      <w:r>
        <w:tab/>
      </w:r>
      <w:r>
        <w:t xml:space="preserve">Ejemplo de servicios de viajes de GlobalWay</w:t>
      </w:r>
    </w:p>
    <w:p>
      <w:pPr>
        <w:pStyle w:val="FirstParagraph"/>
      </w:pPr>
      <w:r>
        <w:t xml:space="preserve">GlobalWay opera un sistema de selección de reclutamiento, un chatbot de viajeros y un servicio de detección de fraudes. Su calendario de cumplimiento no asigna una fecha a los tres sistemas.</w:t>
      </w:r>
    </w:p>
    <w:p>
      <w:pPr>
        <w:pStyle w:val="BodyText"/>
      </w:pPr>
      <w:r>
        <w:t xml:space="preserve">El equipo de chatbot se prepara para las tareas de transparencia del artículo 50, el equipo de reclutamiento traza el calendario de alto riesgo del anexo III hasta el 2 de diciembre de 2027, y el asesor jurídico sigue por separado las tareas del RGPD, la legislación laboral, la alfabetización en materia de inteligencia artificial, los incidentes y la gobernanza que ya puedan aplicarse.</w:t>
      </w:r>
    </w:p>
    <w:bookmarkEnd w:id="87"/>
    <w:bookmarkStart w:id="88" w:name="actividades-de-control"/>
    <w:p>
      <w:pPr>
        <w:pStyle w:val="Heading2"/>
      </w:pPr>
      <w:r>
        <w:rPr>
          <w:rStyle w:val="SectionNumber"/>
        </w:rPr>
        <w:t xml:space="preserve">1.59</w:t>
      </w:r>
      <w:r>
        <w:tab/>
      </w:r>
      <w:r>
        <w:t xml:space="preserve">Actividades de control</w:t>
      </w:r>
    </w:p>
    <w:p>
      <w:pPr>
        <w:numPr>
          <w:ilvl w:val="0"/>
          <w:numId w:val="1025"/>
        </w:numPr>
        <w:pStyle w:val="Compact"/>
      </w:pPr>
      <w:r>
        <w:t xml:space="preserve">Mantener un calendario de implementación legal propiedad de Legal or Compliance.</w:t>
      </w:r>
    </w:p>
    <w:p>
      <w:pPr>
        <w:numPr>
          <w:ilvl w:val="0"/>
          <w:numId w:val="1025"/>
        </w:numPr>
        <w:pStyle w:val="Compact"/>
      </w:pPr>
      <w:r>
        <w:t xml:space="preserve">Vincular cada fecha a la categoría exacta del artículo, párrafo, anexo, actor y sistema.</w:t>
      </w:r>
    </w:p>
    <w:p>
      <w:pPr>
        <w:numPr>
          <w:ilvl w:val="0"/>
          <w:numId w:val="1025"/>
        </w:numPr>
        <w:pStyle w:val="Compact"/>
      </w:pPr>
      <w:r>
        <w:t xml:space="preserve">Anote las enmiendas y la fecha en que entraron en vigor.</w:t>
      </w:r>
    </w:p>
    <w:p>
      <w:pPr>
        <w:numPr>
          <w:ilvl w:val="0"/>
          <w:numId w:val="1025"/>
        </w:numPr>
        <w:pStyle w:val="Compact"/>
      </w:pPr>
      <w:r>
        <w:t xml:space="preserve">Exigir la revisión legal antes de depender de una fecha de implementación retrasada.</w:t>
      </w:r>
    </w:p>
    <w:p>
      <w:pPr>
        <w:numPr>
          <w:ilvl w:val="0"/>
          <w:numId w:val="1025"/>
        </w:numPr>
        <w:pStyle w:val="Compact"/>
      </w:pPr>
      <w:r>
        <w:t xml:space="preserve">Reconcile fechas en capítulos, políticas, controles, contratos, apéndices, gráficos, capacitación y traducciones.</w:t>
      </w:r>
    </w:p>
    <w:p>
      <w:pPr>
        <w:numPr>
          <w:ilvl w:val="0"/>
          <w:numId w:val="1025"/>
        </w:numPr>
        <w:pStyle w:val="Compact"/>
      </w:pPr>
      <w:r>
        <w:t xml:space="preserve">Configure los planes del proyecto y las puertas del sistema para evitar el despliegue basado en una fecha desactualizada.</w:t>
      </w:r>
    </w:p>
    <w:p>
      <w:pPr>
        <w:numPr>
          <w:ilvl w:val="0"/>
          <w:numId w:val="1025"/>
        </w:numPr>
        <w:pStyle w:val="Compact"/>
      </w:pPr>
      <w:r>
        <w:t xml:space="preserve">Reverificar el calendario inmediatamente antes de la publicación y antes de las decisiones de despliegue de material.</w:t>
      </w:r>
    </w:p>
    <w:bookmarkEnd w:id="88"/>
    <w:bookmarkStart w:id="89" w:name="pruebas-5"/>
    <w:p>
      <w:pPr>
        <w:pStyle w:val="Heading2"/>
      </w:pPr>
      <w:r>
        <w:rPr>
          <w:rStyle w:val="SectionNumber"/>
        </w:rPr>
        <w:t xml:space="preserve">1.60</w:t>
      </w:r>
      <w:r>
        <w:tab/>
      </w:r>
      <w:r>
        <w:t xml:space="preserve">Pruebas</w:t>
      </w:r>
    </w:p>
    <w:p>
      <w:pPr>
        <w:numPr>
          <w:ilvl w:val="0"/>
          <w:numId w:val="1026"/>
        </w:numPr>
        <w:pStyle w:val="Compact"/>
      </w:pPr>
      <w:r>
        <w:t xml:space="preserve">calendario de aplicación jurídica;</w:t>
      </w:r>
    </w:p>
    <w:p>
      <w:pPr>
        <w:numPr>
          <w:ilvl w:val="0"/>
          <w:numId w:val="1026"/>
        </w:numPr>
        <w:pStyle w:val="Compact"/>
      </w:pPr>
      <w:r>
        <w:t xml:space="preserve">la cartografía del artículo hasta la fecha;</w:t>
      </w:r>
    </w:p>
    <w:p>
      <w:pPr>
        <w:numPr>
          <w:ilvl w:val="0"/>
          <w:numId w:val="1026"/>
        </w:numPr>
        <w:pStyle w:val="Compact"/>
      </w:pPr>
      <w:r>
        <w:t xml:space="preserve">memorandos jurídicos y evaluaciones de enmiendas;</w:t>
      </w:r>
    </w:p>
    <w:p>
      <w:pPr>
        <w:numPr>
          <w:ilvl w:val="0"/>
          <w:numId w:val="1026"/>
        </w:numPr>
        <w:pStyle w:val="Compact"/>
      </w:pPr>
      <w:r>
        <w:t xml:space="preserve">clasificación del sistema y registros de funciones;</w:t>
      </w:r>
    </w:p>
    <w:p>
      <w:pPr>
        <w:numPr>
          <w:ilvl w:val="0"/>
          <w:numId w:val="1026"/>
        </w:numPr>
        <w:pStyle w:val="Compact"/>
      </w:pPr>
      <w:r>
        <w:t xml:space="preserve">los planes de proyectos y los hitos de preparación;</w:t>
      </w:r>
    </w:p>
    <w:p>
      <w:pPr>
        <w:numPr>
          <w:ilvl w:val="0"/>
          <w:numId w:val="1026"/>
        </w:numPr>
        <w:pStyle w:val="Compact"/>
      </w:pPr>
      <w:r>
        <w:t xml:space="preserve">actualización de las políticas y la formación;</w:t>
      </w:r>
    </w:p>
    <w:p>
      <w:pPr>
        <w:numPr>
          <w:ilvl w:val="0"/>
          <w:numId w:val="1026"/>
        </w:numPr>
        <w:pStyle w:val="Compact"/>
      </w:pPr>
      <w:r>
        <w:t xml:space="preserve">gráficos y apéndices corregidos;</w:t>
      </w:r>
    </w:p>
    <w:p>
      <w:pPr>
        <w:numPr>
          <w:ilvl w:val="0"/>
          <w:numId w:val="1026"/>
        </w:numPr>
        <w:pStyle w:val="Compact"/>
      </w:pPr>
      <w:r>
        <w:t xml:space="preserve">registro de verificación de la publicación.</w:t>
      </w:r>
    </w:p>
    <w:bookmarkEnd w:id="89"/>
    <w:bookmarkStart w:id="90" w:name="pruebas-de-auditoría"/>
    <w:p>
      <w:pPr>
        <w:pStyle w:val="Heading2"/>
      </w:pPr>
      <w:r>
        <w:rPr>
          <w:rStyle w:val="SectionNumber"/>
        </w:rPr>
        <w:t xml:space="preserve">1.61</w:t>
      </w:r>
      <w:r>
        <w:tab/>
      </w:r>
      <w:r>
        <w:t xml:space="preserve">Pruebas de auditoría</w:t>
      </w:r>
    </w:p>
    <w:p>
      <w:pPr>
        <w:numPr>
          <w:ilvl w:val="0"/>
          <w:numId w:val="1027"/>
        </w:numPr>
        <w:pStyle w:val="Compact"/>
      </w:pPr>
      <w:r>
        <w:t xml:space="preserve">Seleccione las obligaciones de IA material y trace cada fecha al texto legal modificado actual.</w:t>
      </w:r>
    </w:p>
    <w:p>
      <w:pPr>
        <w:numPr>
          <w:ilvl w:val="0"/>
          <w:numId w:val="1027"/>
        </w:numPr>
        <w:pStyle w:val="Compact"/>
      </w:pPr>
      <w:r>
        <w:t xml:space="preserve">Confirmar que las fechas retrasadas de alto riesgo se limitan a las disposiciones cubiertas por la enmienda.</w:t>
      </w:r>
    </w:p>
    <w:p>
      <w:pPr>
        <w:numPr>
          <w:ilvl w:val="0"/>
          <w:numId w:val="1027"/>
        </w:numPr>
        <w:pStyle w:val="Compact"/>
      </w:pPr>
      <w:r>
        <w:t xml:space="preserve">Verifique que los planes de proyectos legales, operativos y técnicos usen las mismas fechas.</w:t>
      </w:r>
    </w:p>
    <w:p>
      <w:pPr>
        <w:numPr>
          <w:ilvl w:val="0"/>
          <w:numId w:val="1027"/>
        </w:numPr>
        <w:pStyle w:val="Compact"/>
      </w:pPr>
      <w:r>
        <w:t xml:space="preserve">Inspeccione si los resúmenes o gráficos anteriores permanecen en circulación.</w:t>
      </w:r>
    </w:p>
    <w:p>
      <w:pPr>
        <w:numPr>
          <w:ilvl w:val="0"/>
          <w:numId w:val="1027"/>
        </w:numPr>
        <w:pStyle w:val="Compact"/>
      </w:pPr>
      <w:r>
        <w:t xml:space="preserve">Confirme que la organización reevalua las fechas después de enmiendas legislativas o correcciones oficiales.</w:t>
      </w:r>
    </w:p>
    <w:p>
      <w:pPr>
        <w:numPr>
          <w:ilvl w:val="0"/>
          <w:numId w:val="1027"/>
        </w:numPr>
        <w:pStyle w:val="Compact"/>
      </w:pPr>
      <w:r>
        <w:t xml:space="preserve">Verifique que los propietarios del sistema entiendan qué deberes ya se aplican.</w:t>
      </w:r>
    </w:p>
    <w:bookmarkEnd w:id="90"/>
    <w:bookmarkStart w:id="91" w:name="lista-de-verificación-de-gestión"/>
    <w:p>
      <w:pPr>
        <w:pStyle w:val="Heading2"/>
      </w:pPr>
      <w:r>
        <w:rPr>
          <w:rStyle w:val="SectionNumber"/>
        </w:rPr>
        <w:t xml:space="preserve">1.62</w:t>
      </w:r>
      <w:r>
        <w:tab/>
      </w:r>
      <w:r>
        <w:t xml:space="preserve">Lista de verificación de gestión</w:t>
      </w:r>
    </w:p>
    <w:p>
      <w:pPr>
        <w:numPr>
          <w:ilvl w:val="0"/>
          <w:numId w:val="1028"/>
        </w:numPr>
        <w:pStyle w:val="Compact"/>
      </w:pPr>
      <w:r>
        <w:t xml:space="preserve">¿Estamos utilizando el texto jurídico modificado actual?</w:t>
      </w:r>
    </w:p>
    <w:p>
      <w:pPr>
        <w:numPr>
          <w:ilvl w:val="0"/>
          <w:numId w:val="1028"/>
        </w:numPr>
        <w:pStyle w:val="Compact"/>
      </w:pPr>
      <w:r>
        <w:t xml:space="preserve">¿Distinguimos la entrada en vigor de la aplicación?</w:t>
      </w:r>
    </w:p>
    <w:p>
      <w:pPr>
        <w:numPr>
          <w:ilvl w:val="0"/>
          <w:numId w:val="1028"/>
        </w:numPr>
        <w:pStyle w:val="Compact"/>
      </w:pPr>
      <w:r>
        <w:t xml:space="preserve">¿Los retrasos de alto riesgo se indican de manera limitada?</w:t>
      </w:r>
    </w:p>
    <w:p>
      <w:pPr>
        <w:numPr>
          <w:ilvl w:val="0"/>
          <w:numId w:val="1028"/>
        </w:numPr>
        <w:pStyle w:val="Compact"/>
      </w:pPr>
      <w:r>
        <w:t xml:space="preserve">¿Se han reconciliado todos los gráficos, apéndices y traducciones?</w:t>
      </w:r>
    </w:p>
    <w:p>
      <w:pPr>
        <w:numPr>
          <w:ilvl w:val="0"/>
          <w:numId w:val="1028"/>
        </w:numPr>
        <w:pStyle w:val="Compact"/>
      </w:pPr>
      <w:r>
        <w:t xml:space="preserve">¿Se puede rastrear cada fecha de implementación a una fuente vinculante?</w:t>
      </w:r>
    </w:p>
    <w:bookmarkEnd w:id="91"/>
    <w:bookmarkStart w:id="92" w:name="X1a2ed1efab48038d318b702d9ccc86364977a1a"/>
    <w:p>
      <w:pPr>
        <w:pStyle w:val="Heading2"/>
      </w:pPr>
      <w:r>
        <w:rPr>
          <w:rStyle w:val="SectionNumber"/>
        </w:rPr>
        <w:t xml:space="preserve">1.63</w:t>
      </w:r>
      <w:r>
        <w:tab/>
      </w:r>
      <w:r>
        <w:t xml:space="preserve">Especificación de la figura — Calendario de aplicación de la Ley de IA de la UE</w:t>
      </w:r>
    </w:p>
    <w:p>
      <w:pPr>
        <w:pStyle w:val="FirstParagraph"/>
      </w:pPr>
      <w:r>
        <w:t xml:space="preserve">Crear un cronograma horizontal accesible que muestre los hitos del 1 de agosto de 2024 al 2 de agosto de 2028. Distinguir visualmente las fechas de aplicación general, las transiciones del GPAI, las nuevas prohibiciones del artículo 5, los requisitos de alto riesgo del anexo III y los requisitos de alto riesgo del anexo I. Incluir una nota destacada de que se requiere un análisis específico del sistema.</w:t>
      </w:r>
    </w:p>
    <w:p>
      <w:pPr>
        <w:pStyle w:val="BodyText"/>
      </w:pPr>
      <w:r>
        <w:rPr>
          <w:bCs/>
          <w:b/>
        </w:rPr>
        <w:t xml:space="preserve">Texto alt:</w:t>
      </w:r>
      <w:r>
        <w:t xml:space="preserve"> </w:t>
      </w:r>
      <w:r>
        <w:t xml:space="preserve">Calendario de aplicación de la Ley de IA de la UE que muestra la entrada en vigor en agosto de 2024, obligaciones de prácticas prohibidas y alfabetización de IA en febrero de 2025, gobernanza de la GPAI en agosto de 2025, la enmienda general de la AI Omnibus de 2026, aplicación general en agosto de 2026, nuevas prohibiciones en diciembre de 2026, transición de la GPAI en agosto de 2027, requisitos de alto riesgo del anexo III en diciembre de 2027 y requisitos de productos incluidos en el anexo I en agosto de 2028.</w:t>
      </w:r>
    </w:p>
    <w:bookmarkEnd w:id="92"/>
    <w:bookmarkStart w:id="93" w:name="X65bc02774461070d05dca8a1af970db242c1b90"/>
    <w:p>
      <w:pPr>
        <w:pStyle w:val="Heading2"/>
      </w:pPr>
      <w:r>
        <w:rPr>
          <w:rStyle w:val="SectionNumber"/>
        </w:rPr>
        <w:t xml:space="preserve">1.64</w:t>
      </w:r>
      <w:r>
        <w:tab/>
      </w:r>
      <w:r>
        <w:t xml:space="preserve">Capítulo 7 — Relación con otras leyes y marcos de la UE</w:t>
      </w:r>
    </w:p>
    <w:p>
      <w:pPr>
        <w:pStyle w:val="BlockText"/>
      </w:pPr>
      <w:r>
        <w:rPr>
          <w:bCs/>
          <w:b/>
        </w:rPr>
        <w:t xml:space="preserve">Situación jurídica:</w:t>
      </w:r>
      <w:r>
        <w:t xml:space="preserve"> </w:t>
      </w:r>
      <w:r>
        <w:t xml:space="preserve">Maestría en inglés corregida. La Ley de IA de la UE opera junto con otras leyes aplicables de la Unión y nacionales. El cumplimiento de la Ley de IA no sustituye las obligaciones bajo protección de datos, seguridad cibernética, seguridad de productos, empleo, consumidor, competencia, accesibilidad, propiedad intelectual o legislación sectorial específica.</w:t>
      </w:r>
    </w:p>
    <w:bookmarkEnd w:id="93"/>
    <w:bookmarkStart w:id="94" w:name="requisito-6"/>
    <w:p>
      <w:pPr>
        <w:pStyle w:val="Heading2"/>
      </w:pPr>
      <w:r>
        <w:rPr>
          <w:rStyle w:val="SectionNumber"/>
        </w:rPr>
        <w:t xml:space="preserve">1.65</w:t>
      </w:r>
      <w:r>
        <w:tab/>
      </w:r>
      <w:r>
        <w:t xml:space="preserve">Requisito</w:t>
      </w:r>
    </w:p>
    <w:p>
      <w:pPr>
        <w:pStyle w:val="FirstParagraph"/>
      </w:pPr>
      <w:r>
        <w:t xml:space="preserve">Identificar cada régimen legal que se aplica a la organización, actor, sistema de IA, caso de uso, personas afectadas, datos, contexto del producto, jurisdicción y etapa del ciclo de vida. Resolver solapamientos explícitamente en lugar de suponer que una evaluación satisface todos los deberes legales.</w:t>
      </w:r>
    </w:p>
    <w:bookmarkEnd w:id="94"/>
    <w:bookmarkStart w:id="95" w:name="explicación-en-lenguaje-sencillo-4"/>
    <w:p>
      <w:pPr>
        <w:pStyle w:val="Heading2"/>
      </w:pPr>
      <w:r>
        <w:rPr>
          <w:rStyle w:val="SectionNumber"/>
        </w:rPr>
        <w:t xml:space="preserve">1.66</w:t>
      </w:r>
      <w:r>
        <w:tab/>
      </w:r>
      <w:r>
        <w:t xml:space="preserve">Explicación en lenguaje sencillo</w:t>
      </w:r>
    </w:p>
    <w:p>
      <w:pPr>
        <w:pStyle w:val="FirstParagraph"/>
      </w:pPr>
      <w:r>
        <w:t xml:space="preserve">Un sistema de IA puede ser legal bajo un régimen y seguir fallando otro. Por ejemplo, un uso puede estar fuera de la categoría de alto riesgo de la Ley de IA, pero todavía requiere una evaluación de impacto de protección de datos, consulta a los trabajadores, controles de accesibilidad, divulgación de información al consumidor, medidas de ciberseguridad o aprobación sectorial.</w:t>
      </w:r>
    </w:p>
    <w:bookmarkEnd w:id="95"/>
    <w:bookmarkStart w:id="96" w:name="ejemplo-de-globalway-4"/>
    <w:p>
      <w:pPr>
        <w:pStyle w:val="Heading2"/>
      </w:pPr>
      <w:r>
        <w:rPr>
          <w:rStyle w:val="SectionNumber"/>
        </w:rPr>
        <w:t xml:space="preserve">1.67</w:t>
      </w:r>
      <w:r>
        <w:tab/>
      </w:r>
      <w:r>
        <w:t xml:space="preserve">Ejemplo de GlobalWay</w:t>
      </w:r>
    </w:p>
    <w:p>
      <w:pPr>
        <w:pStyle w:val="FirstParagraph"/>
      </w:pPr>
      <w:r>
        <w:t xml:space="preserve">GlobalWay Travel Services despliega una herramienta de contratación apoyada por IA en varios Estados miembros de la UE. El equipo evalúa la clasificación de AI Act, la base legal del RGPD y las normas de decisión automatizada, las funciones de consulta sobre legislación laboral, la accesibilidad, el riesgo de discriminación, las obligaciones de los proveedores, la seguridad y los requisitos laborales locales por separado y registra cómo interactúan los controles.</w:t>
      </w:r>
    </w:p>
    <w:bookmarkEnd w:id="96"/>
    <w:bookmarkStart w:id="97" w:name="actividad-de-control-5"/>
    <w:p>
      <w:pPr>
        <w:pStyle w:val="Heading2"/>
      </w:pPr>
      <w:r>
        <w:rPr>
          <w:rStyle w:val="SectionNumber"/>
        </w:rPr>
        <w:t xml:space="preserve">1.68</w:t>
      </w:r>
      <w:r>
        <w:tab/>
      </w:r>
      <w:r>
        <w:t xml:space="preserve">Actividad de control</w:t>
      </w:r>
    </w:p>
    <w:p>
      <w:pPr>
        <w:pStyle w:val="FirstParagraph"/>
      </w:pPr>
      <w:r>
        <w:t xml:space="preserve">Mantener un registro jurídico-interfaz que cubra:</w:t>
      </w:r>
    </w:p>
    <w:p>
      <w:pPr>
        <w:numPr>
          <w:ilvl w:val="0"/>
          <w:numId w:val="1029"/>
        </w:numPr>
        <w:pStyle w:val="Compact"/>
      </w:pPr>
      <w:r>
        <w:t xml:space="preserve">la legislación y las disposiciones aplicables;</w:t>
      </w:r>
    </w:p>
    <w:p>
      <w:pPr>
        <w:numPr>
          <w:ilvl w:val="0"/>
          <w:numId w:val="1029"/>
        </w:numPr>
        <w:pStyle w:val="Compact"/>
      </w:pPr>
      <w:r>
        <w:t xml:space="preserve">el agente y el disparador regulados;</w:t>
      </w:r>
    </w:p>
    <w:p>
      <w:pPr>
        <w:numPr>
          <w:ilvl w:val="0"/>
          <w:numId w:val="1029"/>
        </w:numPr>
        <w:pStyle w:val="Compact"/>
      </w:pPr>
      <w:r>
        <w:t xml:space="preserve">sistema, versión, uso, jurisdicción y población;</w:t>
      </w:r>
    </w:p>
    <w:p>
      <w:pPr>
        <w:numPr>
          <w:ilvl w:val="0"/>
          <w:numId w:val="1029"/>
        </w:numPr>
        <w:pStyle w:val="Compact"/>
      </w:pPr>
      <w:r>
        <w:t xml:space="preserve">el propietario legal o responsable del cumplimiento;</w:t>
      </w:r>
    </w:p>
    <w:p>
      <w:pPr>
        <w:numPr>
          <w:ilvl w:val="0"/>
          <w:numId w:val="1029"/>
        </w:numPr>
        <w:pStyle w:val="Compact"/>
      </w:pPr>
      <w:r>
        <w:t xml:space="preserve">la evaluación, notificación, control, aprobación o notificación requeridos;</w:t>
      </w:r>
    </w:p>
    <w:p>
      <w:pPr>
        <w:numPr>
          <w:ilvl w:val="0"/>
          <w:numId w:val="1029"/>
        </w:numPr>
        <w:pStyle w:val="Compact"/>
      </w:pPr>
      <w:r>
        <w:t xml:space="preserve">la ubicación de la prueba y la base de retención;</w:t>
      </w:r>
    </w:p>
    <w:p>
      <w:pPr>
        <w:numPr>
          <w:ilvl w:val="0"/>
          <w:numId w:val="1029"/>
        </w:numPr>
        <w:pStyle w:val="Compact"/>
      </w:pPr>
      <w:r>
        <w:t xml:space="preserve">conflictos, dependencias e interpretación sin resolver.</w:t>
      </w:r>
    </w:p>
    <w:bookmarkEnd w:id="97"/>
    <w:bookmarkStart w:id="98" w:name="pruebas-6"/>
    <w:p>
      <w:pPr>
        <w:pStyle w:val="Heading2"/>
      </w:pPr>
      <w:r>
        <w:rPr>
          <w:rStyle w:val="SectionNumber"/>
        </w:rPr>
        <w:t xml:space="preserve">1.69</w:t>
      </w:r>
      <w:r>
        <w:tab/>
      </w:r>
      <w:r>
        <w:t xml:space="preserve">Pruebas</w:t>
      </w:r>
    </w:p>
    <w:p>
      <w:pPr>
        <w:pStyle w:val="FirstParagraph"/>
      </w:pPr>
      <w:r>
        <w:t xml:space="preserve">Mantener los análisis de aplicabilidad, los memorandos jurídicos, las APD, las AIF, las evaluaciones de seguridad, los registros de consultas a los trabajadores, los exámenes de accesibilidad, las aprobaciones de productos o sectores, los avisos, los contratos y los registros de decisiones.</w:t>
      </w:r>
    </w:p>
    <w:bookmarkEnd w:id="98"/>
    <w:bookmarkStart w:id="99" w:name="prueba-de-auditoría-5"/>
    <w:p>
      <w:pPr>
        <w:pStyle w:val="Heading2"/>
      </w:pPr>
      <w:r>
        <w:rPr>
          <w:rStyle w:val="SectionNumber"/>
        </w:rPr>
        <w:t xml:space="preserve">1.70</w:t>
      </w:r>
      <w:r>
        <w:tab/>
      </w:r>
      <w:r>
        <w:t xml:space="preserve">Prueba de auditoría</w:t>
      </w:r>
    </w:p>
    <w:p>
      <w:pPr>
        <w:pStyle w:val="FirstParagraph"/>
      </w:pPr>
      <w:r>
        <w:t xml:space="preserve">Seleccione una muestra de sistemas de IA y verifique que el análisis jurídico-interfaz es actual, específico de actor y jurisdicción, vinculado a la versión desplegada y respaldado por pruebas. Confirme que ningún equipo trató la preparación de AI Act como un sustituto de otra obligación legal aplicable.</w:t>
      </w:r>
    </w:p>
    <w:bookmarkEnd w:id="99"/>
    <w:bookmarkStart w:id="100" w:name="aviso-de-control-de-claves"/>
    <w:p>
      <w:pPr>
        <w:pStyle w:val="Heading2"/>
      </w:pPr>
      <w:r>
        <w:rPr>
          <w:rStyle w:val="SectionNumber"/>
        </w:rPr>
        <w:t xml:space="preserve">1.71</w:t>
      </w:r>
      <w:r>
        <w:tab/>
      </w:r>
      <w:r>
        <w:t xml:space="preserve">Aviso de control de claves</w:t>
      </w:r>
    </w:p>
    <w:p>
      <w:pPr>
        <w:pStyle w:val="FirstParagraph"/>
      </w:pPr>
      <w:r>
        <w:t xml:space="preserve">Cuando los regímenes jurídicos se superpongan o entren en conflicto, obtener un examen jurídico calificado y documentar la resolución. No presente la política de organización ni las normas voluntarias como ley vinculante.</w:t>
      </w:r>
    </w:p>
    <w:bookmarkEnd w:id="100"/>
    <w:bookmarkStart w:id="101" w:name="X6025de98cbc0d1439a03ff6255ecf96e8c38090"/>
    <w:p>
      <w:pPr>
        <w:pStyle w:val="Heading2"/>
      </w:pPr>
      <w:r>
        <w:rPr>
          <w:rStyle w:val="SectionNumber"/>
        </w:rPr>
        <w:t xml:space="preserve">1.72</w:t>
      </w:r>
      <w:r>
        <w:tab/>
      </w:r>
      <w:r>
        <w:t xml:space="preserve">Capítulo 8 — Modelo operativo de gobernanza de la IA</w:t>
      </w:r>
    </w:p>
    <w:p>
      <w:pPr>
        <w:pStyle w:val="BlockText"/>
      </w:pPr>
      <w:r>
        <w:rPr>
          <w:bCs/>
          <w:b/>
        </w:rPr>
        <w:t xml:space="preserve">Estatus legal:</w:t>
      </w:r>
      <w:r>
        <w:t xml:space="preserve"> </w:t>
      </w:r>
      <w:r>
        <w:t xml:space="preserve">Maestro inglés corregido. Un modelo operativo de gobernanza de IA empresarial es generalmente un marco de control impuesto por la organización. Soporta el cumplimiento pero no reemplaza las obligaciones estatutarias específicas del actor.</w:t>
      </w:r>
    </w:p>
    <w:bookmarkEnd w:id="101"/>
    <w:bookmarkStart w:id="102" w:name="requisito-7"/>
    <w:p>
      <w:pPr>
        <w:pStyle w:val="Heading2"/>
      </w:pPr>
      <w:r>
        <w:rPr>
          <w:rStyle w:val="SectionNumber"/>
        </w:rPr>
        <w:t xml:space="preserve">1.73</w:t>
      </w:r>
      <w:r>
        <w:tab/>
      </w:r>
      <w:r>
        <w:t xml:space="preserve">Requisito</w:t>
      </w:r>
    </w:p>
    <w:p>
      <w:pPr>
        <w:pStyle w:val="FirstParagraph"/>
      </w:pPr>
      <w:r>
        <w:t xml:space="preserve">Establecer un modelo operativo documentado que asigne responsabilidad, derechos de decisión, puertas del ciclo de vida, escalada y responsabilidades de evidencia para los sistemas y modelos de IA.</w:t>
      </w:r>
    </w:p>
    <w:bookmarkEnd w:id="102"/>
    <w:bookmarkStart w:id="103" w:name="explicación-en-lenguaje-sencillo-5"/>
    <w:p>
      <w:pPr>
        <w:pStyle w:val="Heading2"/>
      </w:pPr>
      <w:r>
        <w:rPr>
          <w:rStyle w:val="SectionNumber"/>
        </w:rPr>
        <w:t xml:space="preserve">1.74</w:t>
      </w:r>
      <w:r>
        <w:tab/>
      </w:r>
      <w:r>
        <w:t xml:space="preserve">Explicación en lenguaje sencillo</w:t>
      </w:r>
    </w:p>
    <w:p>
      <w:pPr>
        <w:pStyle w:val="FirstParagraph"/>
      </w:pPr>
      <w:r>
        <w:t xml:space="preserve">La gobernanza debe mostrar quién decide, quién realiza los controles, quién desafía las decisiones y quién puede detener el despliegue. Un nombre de comité por sí solo no es un modelo operativo.</w:t>
      </w:r>
    </w:p>
    <w:bookmarkEnd w:id="103"/>
    <w:bookmarkStart w:id="104" w:name="ejemplo-de-globalway-5"/>
    <w:p>
      <w:pPr>
        <w:pStyle w:val="Heading2"/>
      </w:pPr>
      <w:r>
        <w:rPr>
          <w:rStyle w:val="SectionNumber"/>
        </w:rPr>
        <w:t xml:space="preserve">1.75</w:t>
      </w:r>
      <w:r>
        <w:tab/>
      </w:r>
      <w:r>
        <w:t xml:space="preserve">Ejemplo de GlobalWay</w:t>
      </w:r>
    </w:p>
    <w:p>
      <w:pPr>
        <w:pStyle w:val="FirstParagraph"/>
      </w:pPr>
      <w:r>
        <w:t xml:space="preserve">GlobalWay crea un Consejo de Gobernanza de AI apoyado por Legal, Compliance, Privacy, Security, Data, Procurement, HR, Accessibility, Internal Audit, y propietarios de negocios. Cada sistema de IA tiene un propietario nombrado, propietario técnico, propietario de riesgo y propietario de la supervisión humana.</w:t>
      </w:r>
    </w:p>
    <w:bookmarkEnd w:id="104"/>
    <w:bookmarkStart w:id="105" w:name="actividad-de-control-6"/>
    <w:p>
      <w:pPr>
        <w:pStyle w:val="Heading2"/>
      </w:pPr>
      <w:r>
        <w:rPr>
          <w:rStyle w:val="SectionNumber"/>
        </w:rPr>
        <w:t xml:space="preserve">1.76</w:t>
      </w:r>
      <w:r>
        <w:tab/>
      </w:r>
      <w:r>
        <w:t xml:space="preserve">Actividad de control</w:t>
      </w:r>
    </w:p>
    <w:p>
      <w:pPr>
        <w:pStyle w:val="FirstParagraph"/>
      </w:pPr>
      <w:r>
        <w:t xml:space="preserve">Documento:</w:t>
      </w:r>
    </w:p>
    <w:p>
      <w:pPr>
        <w:numPr>
          <w:ilvl w:val="0"/>
          <w:numId w:val="1030"/>
        </w:numPr>
        <w:pStyle w:val="Compact"/>
      </w:pPr>
      <w:r>
        <w:t xml:space="preserve">foros y mandatos de gobernanza;</w:t>
      </w:r>
    </w:p>
    <w:p>
      <w:pPr>
        <w:numPr>
          <w:ilvl w:val="0"/>
          <w:numId w:val="1030"/>
        </w:numPr>
        <w:pStyle w:val="Compact"/>
      </w:pPr>
      <w:r>
        <w:t xml:space="preserve">mapeo de la función del actor y de la responsabilidad jurídica;</w:t>
      </w:r>
    </w:p>
    <w:p>
      <w:pPr>
        <w:numPr>
          <w:ilvl w:val="0"/>
          <w:numId w:val="1030"/>
        </w:numPr>
        <w:pStyle w:val="Compact"/>
      </w:pPr>
      <w:r>
        <w:t xml:space="preserve">admisión, clasificación, aprobación, liberación, supervisión, cambio, incidentes y puertas de jubilación;</w:t>
      </w:r>
    </w:p>
    <w:p>
      <w:pPr>
        <w:numPr>
          <w:ilvl w:val="0"/>
          <w:numId w:val="1030"/>
        </w:numPr>
        <w:pStyle w:val="Compact"/>
      </w:pPr>
      <w:r>
        <w:t xml:space="preserve">aumento y cese de la autoridad;</w:t>
      </w:r>
    </w:p>
    <w:p>
      <w:pPr>
        <w:numPr>
          <w:ilvl w:val="0"/>
          <w:numId w:val="1030"/>
        </w:numPr>
        <w:pStyle w:val="Compact"/>
      </w:pPr>
      <w:r>
        <w:t xml:space="preserve">separación de funciones y conflictos;</w:t>
      </w:r>
    </w:p>
    <w:p>
      <w:pPr>
        <w:numPr>
          <w:ilvl w:val="0"/>
          <w:numId w:val="1030"/>
        </w:numPr>
        <w:pStyle w:val="Compact"/>
      </w:pPr>
      <w:r>
        <w:t xml:space="preserve">los registros requeridos y los repositorios de pruebas;</w:t>
      </w:r>
    </w:p>
    <w:p>
      <w:pPr>
        <w:numPr>
          <w:ilvl w:val="0"/>
          <w:numId w:val="1030"/>
        </w:numPr>
        <w:pStyle w:val="Compact"/>
      </w:pPr>
      <w:r>
        <w:t xml:space="preserve">notificación de cadencia y gestión de excepciones.</w:t>
      </w:r>
    </w:p>
    <w:bookmarkEnd w:id="105"/>
    <w:bookmarkStart w:id="106" w:name="pruebas-7"/>
    <w:p>
      <w:pPr>
        <w:pStyle w:val="Heading2"/>
      </w:pPr>
      <w:r>
        <w:rPr>
          <w:rStyle w:val="SectionNumber"/>
        </w:rPr>
        <w:t xml:space="preserve">1.77</w:t>
      </w:r>
      <w:r>
        <w:tab/>
      </w:r>
      <w:r>
        <w:t xml:space="preserve">Pruebas</w:t>
      </w:r>
    </w:p>
    <w:p>
      <w:pPr>
        <w:pStyle w:val="FirstParagraph"/>
      </w:pPr>
      <w:r>
        <w:t xml:space="preserve">Cartas, matrices RACI, actas de reuniones, aprobaciones, procedimientos del ciclo de vida, registros de decisiones, registros de excepciones, registros de escalada, e informes de juntas o ejecutivos.</w:t>
      </w:r>
    </w:p>
    <w:bookmarkEnd w:id="106"/>
    <w:bookmarkStart w:id="107" w:name="prueba-de-auditoría-6"/>
    <w:p>
      <w:pPr>
        <w:pStyle w:val="Heading2"/>
      </w:pPr>
      <w:r>
        <w:rPr>
          <w:rStyle w:val="SectionNumber"/>
        </w:rPr>
        <w:t xml:space="preserve">1.78</w:t>
      </w:r>
      <w:r>
        <w:tab/>
      </w:r>
      <w:r>
        <w:t xml:space="preserve">Prueba de auditoría</w:t>
      </w:r>
    </w:p>
    <w:p>
      <w:pPr>
        <w:pStyle w:val="FirstParagraph"/>
      </w:pPr>
      <w:r>
        <w:t xml:space="preserve">Ejemplo de decisiones de gobernanza y verificación de la participación en las funciones necesarias, el respeto de los derechos de decisión, el mantenimiento de pruebas, la solución de conflictos y la intensificación de las cuestiones jurídicas o técnicas sin resolver antes del despliegue.</w:t>
      </w:r>
    </w:p>
    <w:bookmarkEnd w:id="107"/>
    <w:bookmarkStart w:id="108" w:name="X8cc2249aef19e4216ca76078531c807d8f9817d"/>
    <w:p>
      <w:pPr>
        <w:pStyle w:val="Heading2"/>
      </w:pPr>
      <w:r>
        <w:rPr>
          <w:rStyle w:val="SectionNumber"/>
        </w:rPr>
        <w:t xml:space="preserve">1.79</w:t>
      </w:r>
      <w:r>
        <w:tab/>
      </w:r>
      <w:r>
        <w:t xml:space="preserve">Capítulo 9 — Supervisión del Consejo de Administración y del Ejecutivo</w:t>
      </w:r>
    </w:p>
    <w:p>
      <w:pPr>
        <w:pStyle w:val="BlockText"/>
      </w:pPr>
      <w:r>
        <w:rPr>
          <w:bCs/>
          <w:b/>
        </w:rPr>
        <w:t xml:space="preserve">Situación jurídica:</w:t>
      </w:r>
      <w:r>
        <w:t xml:space="preserve"> </w:t>
      </w:r>
      <w:r>
        <w:t xml:space="preserve">master inglés corregido. Los requisitos de supervisión directiva y ejecutiva dependen de las obligaciones corporativas, sectoriales, fiduciarias, de gestión de riesgos y organizativas. La Ley de IA de la UE no impone una plantilla universal de presentación de informes de la junta.</w:t>
      </w:r>
    </w:p>
    <w:bookmarkEnd w:id="108"/>
    <w:bookmarkStart w:id="109" w:name="requisito-8"/>
    <w:p>
      <w:pPr>
        <w:pStyle w:val="Heading2"/>
      </w:pPr>
      <w:r>
        <w:rPr>
          <w:rStyle w:val="SectionNumber"/>
        </w:rPr>
        <w:t xml:space="preserve">1.80</w:t>
      </w:r>
      <w:r>
        <w:tab/>
      </w:r>
      <w:r>
        <w:t xml:space="preserve">Requisito</w:t>
      </w:r>
    </w:p>
    <w:p>
      <w:pPr>
        <w:pStyle w:val="FirstParagraph"/>
      </w:pPr>
      <w:r>
        <w:t xml:space="preserve">Proporcionar a los órganos rectores y ejecutivos información precisa, oportuna y útil para la adopción de decisiones sobre el riesgo material de IA, las obligaciones jurídicas, los incidentes, los fallos de control, las dependencias y la rehabilitación.</w:t>
      </w:r>
    </w:p>
    <w:bookmarkEnd w:id="109"/>
    <w:bookmarkStart w:id="110" w:name="explicación-en-lenguaje-sencillo-6"/>
    <w:p>
      <w:pPr>
        <w:pStyle w:val="Heading2"/>
      </w:pPr>
      <w:r>
        <w:rPr>
          <w:rStyle w:val="SectionNumber"/>
        </w:rPr>
        <w:t xml:space="preserve">1.81</w:t>
      </w:r>
      <w:r>
        <w:tab/>
      </w:r>
      <w:r>
        <w:t xml:space="preserve">Explicación en lenguaje sencillo</w:t>
      </w:r>
    </w:p>
    <w:p>
      <w:pPr>
        <w:pStyle w:val="FirstParagraph"/>
      </w:pPr>
      <w:r>
        <w:t xml:space="preserve">Los líderes de alto nivel necesitan suficiente información para desafiar la gestión, controlar los fondos, establecer la tolerancia al riesgo y detener los usos inaceptables.</w:t>
      </w:r>
    </w:p>
    <w:bookmarkEnd w:id="110"/>
    <w:bookmarkStart w:id="111" w:name="ejemplo-de-globalway-6"/>
    <w:p>
      <w:pPr>
        <w:pStyle w:val="Heading2"/>
      </w:pPr>
      <w:r>
        <w:rPr>
          <w:rStyle w:val="SectionNumber"/>
        </w:rPr>
        <w:t xml:space="preserve">1.82</w:t>
      </w:r>
      <w:r>
        <w:tab/>
      </w:r>
      <w:r>
        <w:t xml:space="preserve">Ejemplo de GlobalWay</w:t>
      </w:r>
    </w:p>
    <w:p>
      <w:pPr>
        <w:pStyle w:val="FirstParagraph"/>
      </w:pPr>
      <w:r>
        <w:t xml:space="preserve">El comité ejecutivo de GlobalWay recibe informes trimestrales sobre exámenes de uso prohibido, clasificaciones no resueltas, exposición de alto riesgo y GPAI, incidentes graves, quejas, concentración de proveedores, remediación atrasada y finalización de la alfabetización de IA. Los eventos críticos se intensifican inmediatamente.</w:t>
      </w:r>
    </w:p>
    <w:bookmarkEnd w:id="111"/>
    <w:bookmarkStart w:id="112" w:name="actividad-de-control-7"/>
    <w:p>
      <w:pPr>
        <w:pStyle w:val="Heading2"/>
      </w:pPr>
      <w:r>
        <w:rPr>
          <w:rStyle w:val="SectionNumber"/>
        </w:rPr>
        <w:t xml:space="preserve">1.83</w:t>
      </w:r>
      <w:r>
        <w:tab/>
      </w:r>
      <w:r>
        <w:t xml:space="preserve">Actividad de control</w:t>
      </w:r>
    </w:p>
    <w:p>
      <w:pPr>
        <w:pStyle w:val="FirstParagraph"/>
      </w:pPr>
      <w:r>
        <w:t xml:space="preserve">Definir:</w:t>
      </w:r>
    </w:p>
    <w:p>
      <w:pPr>
        <w:numPr>
          <w:ilvl w:val="0"/>
          <w:numId w:val="1031"/>
        </w:numPr>
        <w:pStyle w:val="Compact"/>
      </w:pPr>
      <w:r>
        <w:t xml:space="preserve">los umbrales de notificación y la cadencia;</w:t>
      </w:r>
    </w:p>
    <w:p>
      <w:pPr>
        <w:numPr>
          <w:ilvl w:val="0"/>
          <w:numId w:val="1031"/>
        </w:numPr>
        <w:pStyle w:val="Compact"/>
      </w:pPr>
      <w:r>
        <w:t xml:space="preserve">los propietarios responsables de los informes;</w:t>
      </w:r>
    </w:p>
    <w:p>
      <w:pPr>
        <w:numPr>
          <w:ilvl w:val="0"/>
          <w:numId w:val="1031"/>
        </w:numPr>
        <w:pStyle w:val="Compact"/>
      </w:pPr>
      <w:r>
        <w:t xml:space="preserve">métricas, sistemas de origen, validación y limitaciones;</w:t>
      </w:r>
    </w:p>
    <w:p>
      <w:pPr>
        <w:numPr>
          <w:ilvl w:val="0"/>
          <w:numId w:val="1031"/>
        </w:numPr>
        <w:pStyle w:val="Compact"/>
      </w:pPr>
      <w:r>
        <w:t xml:space="preserve">las decisiones reservadas a los ejecutivos o al consejo de administración;</w:t>
      </w:r>
    </w:p>
    <w:p>
      <w:pPr>
        <w:numPr>
          <w:ilvl w:val="0"/>
          <w:numId w:val="1031"/>
        </w:numPr>
        <w:pStyle w:val="Compact"/>
      </w:pPr>
      <w:r>
        <w:t xml:space="preserve">desencadenantes inmediatos de escalada;</w:t>
      </w:r>
    </w:p>
    <w:p>
      <w:pPr>
        <w:numPr>
          <w:ilvl w:val="0"/>
          <w:numId w:val="1031"/>
        </w:numPr>
        <w:pStyle w:val="Compact"/>
      </w:pPr>
      <w:r>
        <w:t xml:space="preserve">tratamiento del privilegio, la confidencialidad y la información sensible a los reguladores;</w:t>
      </w:r>
    </w:p>
    <w:p>
      <w:pPr>
        <w:numPr>
          <w:ilvl w:val="0"/>
          <w:numId w:val="1031"/>
        </w:numPr>
        <w:pStyle w:val="Compact"/>
      </w:pPr>
      <w:r>
        <w:t xml:space="preserve">pruebas de impugnación y seguimiento de las decisiones.</w:t>
      </w:r>
    </w:p>
    <w:bookmarkEnd w:id="112"/>
    <w:bookmarkStart w:id="113" w:name="pruebas-8"/>
    <w:p>
      <w:pPr>
        <w:pStyle w:val="Heading2"/>
      </w:pPr>
      <w:r>
        <w:rPr>
          <w:rStyle w:val="SectionNumber"/>
        </w:rPr>
        <w:t xml:space="preserve">1.84</w:t>
      </w:r>
      <w:r>
        <w:tab/>
      </w:r>
      <w:r>
        <w:t xml:space="preserve">Pruebas</w:t>
      </w:r>
    </w:p>
    <w:p>
      <w:pPr>
        <w:pStyle w:val="FirstParagraph"/>
      </w:pPr>
      <w:r>
        <w:t xml:space="preserve">Paquetes de juntas y comités, actas, decisiones, certificaciones de gestión, definiciones métricas, conciliaciones de fuentes, registros de escalada y aprobaciones de fondos de rehabilitación.</w:t>
      </w:r>
    </w:p>
    <w:bookmarkEnd w:id="113"/>
    <w:bookmarkStart w:id="114" w:name="prueba-de-auditoría-7"/>
    <w:p>
      <w:pPr>
        <w:pStyle w:val="Heading2"/>
      </w:pPr>
      <w:r>
        <w:rPr>
          <w:rStyle w:val="SectionNumber"/>
        </w:rPr>
        <w:t xml:space="preserve">1.85</w:t>
      </w:r>
      <w:r>
        <w:tab/>
      </w:r>
      <w:r>
        <w:t xml:space="preserve">Prueba de auditoría</w:t>
      </w:r>
    </w:p>
    <w:p>
      <w:pPr>
        <w:pStyle w:val="FirstParagraph"/>
      </w:pPr>
      <w:r>
        <w:t xml:space="preserve">Inspeccione una muestra de informes y minutos. Verifique la exhaustividad, exactitud, revelación de limitaciones, escalada oportuna, impugnación documentada y seguimiento de las decisiones y acciones requeridas.</w:t>
      </w:r>
    </w:p>
    <w:bookmarkEnd w:id="114"/>
    <w:bookmarkStart w:id="115" w:name="capítulo-10-marco-de-política-de-ia"/>
    <w:p>
      <w:pPr>
        <w:pStyle w:val="Heading2"/>
      </w:pPr>
      <w:r>
        <w:rPr>
          <w:rStyle w:val="SectionNumber"/>
        </w:rPr>
        <w:t xml:space="preserve">1.86</w:t>
      </w:r>
      <w:r>
        <w:tab/>
      </w:r>
      <w:r>
        <w:t xml:space="preserve">Capítulo 10 — Marco de política de IA</w:t>
      </w:r>
    </w:p>
    <w:p>
      <w:pPr>
        <w:pStyle w:val="BlockText"/>
      </w:pPr>
      <w:r>
        <w:rPr>
          <w:bCs/>
          <w:b/>
        </w:rPr>
        <w:t xml:space="preserve">Estatus legal:</w:t>
      </w:r>
      <w:r>
        <w:t xml:space="preserve"> </w:t>
      </w:r>
      <w:r>
        <w:t xml:space="preserve">Maestro de inglés corregido. Un marco de política de IA es un control de gobernanza impuesto por la organización. Debe traducir los requisitos legales, contractuales, de riesgo, de seguridad, privacidad, accesibilidad y ética aplicables en reglas internas aplicables.</w:t>
      </w:r>
    </w:p>
    <w:bookmarkEnd w:id="115"/>
    <w:bookmarkStart w:id="116" w:name="requisito-9"/>
    <w:p>
      <w:pPr>
        <w:pStyle w:val="Heading2"/>
      </w:pPr>
      <w:r>
        <w:rPr>
          <w:rStyle w:val="SectionNumber"/>
        </w:rPr>
        <w:t xml:space="preserve">1.87</w:t>
      </w:r>
      <w:r>
        <w:tab/>
      </w:r>
      <w:r>
        <w:t xml:space="preserve">Requisito</w:t>
      </w:r>
    </w:p>
    <w:p>
      <w:pPr>
        <w:pStyle w:val="FirstParagraph"/>
      </w:pPr>
      <w:r>
        <w:t xml:space="preserve">Mantener políticas y normas aprobadas y controladas por versiones que rijan la adquisición, el desarrollo, el despliegue, el uso, el monitoreo, el cambio, la respuesta a incidentes y la jubilación.</w:t>
      </w:r>
    </w:p>
    <w:bookmarkEnd w:id="116"/>
    <w:bookmarkStart w:id="117" w:name="explicación-en-lenguaje-sencillo-7"/>
    <w:p>
      <w:pPr>
        <w:pStyle w:val="Heading2"/>
      </w:pPr>
      <w:r>
        <w:rPr>
          <w:rStyle w:val="SectionNumber"/>
        </w:rPr>
        <w:t xml:space="preserve">1.88</w:t>
      </w:r>
      <w:r>
        <w:tab/>
      </w:r>
      <w:r>
        <w:t xml:space="preserve">Explicación en lenguaje sencillo</w:t>
      </w:r>
    </w:p>
    <w:p>
      <w:pPr>
        <w:pStyle w:val="FirstParagraph"/>
      </w:pPr>
      <w:r>
        <w:t xml:space="preserve">Las políticas establecen las reglas; los procedimientos explican cómo seguirlas. Deben coincidir con las operaciones reales, identificar a los propietarios responsables y distinguir el derecho vinculante de los requisitos internos y las prácticas recomendadas.</w:t>
      </w:r>
    </w:p>
    <w:bookmarkEnd w:id="117"/>
    <w:bookmarkStart w:id="118" w:name="ejemplo-de-globalway-7"/>
    <w:p>
      <w:pPr>
        <w:pStyle w:val="Heading2"/>
      </w:pPr>
      <w:r>
        <w:rPr>
          <w:rStyle w:val="SectionNumber"/>
        </w:rPr>
        <w:t xml:space="preserve">1.89</w:t>
      </w:r>
      <w:r>
        <w:tab/>
      </w:r>
      <w:r>
        <w:t xml:space="preserve">Ejemplo de GlobalWay</w:t>
      </w:r>
    </w:p>
    <w:p>
      <w:pPr>
        <w:pStyle w:val="FirstParagraph"/>
      </w:pPr>
      <w:r>
        <w:t xml:space="preserve">GlobalWay publica una política de IA empresarial apoyada por estándares para herramientas aprobadas, datos confidenciales, usos prohibidos, adquisiciones, supervisión humana, transparencia, pruebas, monitoreo, incidentes, registros y uso de IA generativa.</w:t>
      </w:r>
    </w:p>
    <w:bookmarkEnd w:id="118"/>
    <w:bookmarkStart w:id="119" w:name="actividad-de-control-8"/>
    <w:p>
      <w:pPr>
        <w:pStyle w:val="Heading2"/>
      </w:pPr>
      <w:r>
        <w:rPr>
          <w:rStyle w:val="SectionNumber"/>
        </w:rPr>
        <w:t xml:space="preserve">1.90</w:t>
      </w:r>
      <w:r>
        <w:tab/>
      </w:r>
      <w:r>
        <w:t xml:space="preserve">Actividad de control</w:t>
      </w:r>
    </w:p>
    <w:p>
      <w:pPr>
        <w:pStyle w:val="FirstParagraph"/>
      </w:pPr>
      <w:r>
        <w:t xml:space="preserve">El marco debería definir:</w:t>
      </w:r>
    </w:p>
    <w:p>
      <w:pPr>
        <w:numPr>
          <w:ilvl w:val="0"/>
          <w:numId w:val="1032"/>
        </w:numPr>
        <w:pStyle w:val="Compact"/>
      </w:pPr>
      <w:r>
        <w:t xml:space="preserve">ámbito, entidades, sistemas, modelos, usuarios y jurisdicciones;</w:t>
      </w:r>
    </w:p>
    <w:p>
      <w:pPr>
        <w:numPr>
          <w:ilvl w:val="0"/>
          <w:numId w:val="1032"/>
        </w:numPr>
        <w:pStyle w:val="Compact"/>
      </w:pPr>
      <w:r>
        <w:t xml:space="preserve">usos prohibidos y restringidos;</w:t>
      </w:r>
    </w:p>
    <w:p>
      <w:pPr>
        <w:numPr>
          <w:ilvl w:val="0"/>
          <w:numId w:val="1032"/>
        </w:numPr>
        <w:pStyle w:val="Compact"/>
      </w:pPr>
      <w:r>
        <w:t xml:space="preserve">requisitos de admisión, clasificación, aprobación y liberación;</w:t>
      </w:r>
    </w:p>
    <w:p>
      <w:pPr>
        <w:numPr>
          <w:ilvl w:val="0"/>
          <w:numId w:val="1032"/>
        </w:numPr>
        <w:pStyle w:val="Compact"/>
      </w:pPr>
      <w:r>
        <w:t xml:space="preserve">las normas sobre datos, privacidad, seguridad, accesibilidad y supervisión humana;</w:t>
      </w:r>
    </w:p>
    <w:p>
      <w:pPr>
        <w:numPr>
          <w:ilvl w:val="0"/>
          <w:numId w:val="1032"/>
        </w:numPr>
        <w:pStyle w:val="Compact"/>
      </w:pPr>
      <w:r>
        <w:t xml:space="preserve">los requisitos relativos a proveedores, contratos, cambios, supervisión, incidentes y pruebas;</w:t>
      </w:r>
    </w:p>
    <w:p>
      <w:pPr>
        <w:numPr>
          <w:ilvl w:val="0"/>
          <w:numId w:val="1032"/>
        </w:numPr>
        <w:pStyle w:val="Compact"/>
      </w:pPr>
      <w:r>
        <w:t xml:space="preserve">autoridad de excepción, duración, controles provisionales y escalada;</w:t>
      </w:r>
    </w:p>
    <w:p>
      <w:pPr>
        <w:numPr>
          <w:ilvl w:val="0"/>
          <w:numId w:val="1032"/>
        </w:numPr>
        <w:pStyle w:val="Compact"/>
      </w:pPr>
      <w:r>
        <w:t xml:space="preserve">los factores desencadenantes de la revisión y las responsabilidades en materia de comunicación.</w:t>
      </w:r>
    </w:p>
    <w:bookmarkEnd w:id="119"/>
    <w:bookmarkStart w:id="120" w:name="pruebas-9"/>
    <w:p>
      <w:pPr>
        <w:pStyle w:val="Heading2"/>
      </w:pPr>
      <w:r>
        <w:rPr>
          <w:rStyle w:val="SectionNumber"/>
        </w:rPr>
        <w:t xml:space="preserve">1.91</w:t>
      </w:r>
      <w:r>
        <w:tab/>
      </w:r>
      <w:r>
        <w:t xml:space="preserve">Pruebas</w:t>
      </w:r>
    </w:p>
    <w:p>
      <w:pPr>
        <w:pStyle w:val="FirstParagraph"/>
      </w:pPr>
      <w:r>
        <w:t xml:space="preserve">Políticas, normas, procedimientos, historia de versiones aprobadas, revisión jurídica, registros de capacitación, certificaciones, registros de excepción, comunicaciones y resultados de la supervisión del cumplimiento.</w:t>
      </w:r>
    </w:p>
    <w:bookmarkEnd w:id="120"/>
    <w:bookmarkStart w:id="121" w:name="prueba-de-auditoría-8"/>
    <w:p>
      <w:pPr>
        <w:pStyle w:val="Heading2"/>
      </w:pPr>
      <w:r>
        <w:rPr>
          <w:rStyle w:val="SectionNumber"/>
        </w:rPr>
        <w:t xml:space="preserve">1.92</w:t>
      </w:r>
      <w:r>
        <w:tab/>
      </w:r>
      <w:r>
        <w:t xml:space="preserve">Prueba de auditoría</w:t>
      </w:r>
    </w:p>
    <w:p>
      <w:pPr>
        <w:pStyle w:val="FirstParagraph"/>
      </w:pPr>
      <w:r>
        <w:t xml:space="preserve">Verifique que las políticas son actuales, aprobadas, accesibles, coherentes internamente, cartografiadas a las obligaciones aplicables, comunicadas al personal pertinente y que operan en la práctica.</w:t>
      </w:r>
    </w:p>
    <w:bookmarkEnd w:id="121"/>
    <w:bookmarkStart w:id="122" w:name="X2166468de9e290224f13ac699dacd65898b1d07"/>
    <w:p>
      <w:pPr>
        <w:pStyle w:val="Heading2"/>
      </w:pPr>
      <w:r>
        <w:rPr>
          <w:rStyle w:val="SectionNumber"/>
        </w:rPr>
        <w:t xml:space="preserve">1.93</w:t>
      </w:r>
      <w:r>
        <w:tab/>
      </w:r>
      <w:r>
        <w:t xml:space="preserve">Capítulo 11 — Funciones, responsabilidades y modelo de tres líneas</w:t>
      </w:r>
    </w:p>
    <w:p>
      <w:pPr>
        <w:pStyle w:val="BlockText"/>
      </w:pPr>
      <w:r>
        <w:rPr>
          <w:bCs/>
          <w:b/>
        </w:rPr>
        <w:t xml:space="preserve">Estatus legal:</w:t>
      </w:r>
      <w:r>
        <w:t xml:space="preserve"> </w:t>
      </w:r>
      <w:r>
        <w:t xml:space="preserve">Maestro inglés corregido. El modelo de tres líneas es una práctica de gobernanza y garantía, no una estructura estatutaria universal. La responsabilidad legal sigue siendo del actor y entidad identificada por la ley aplicable.</w:t>
      </w:r>
    </w:p>
    <w:bookmarkEnd w:id="122"/>
    <w:bookmarkStart w:id="123" w:name="requisito-10"/>
    <w:p>
      <w:pPr>
        <w:pStyle w:val="Heading2"/>
      </w:pPr>
      <w:r>
        <w:rPr>
          <w:rStyle w:val="SectionNumber"/>
        </w:rPr>
        <w:t xml:space="preserve">1.94</w:t>
      </w:r>
      <w:r>
        <w:tab/>
      </w:r>
      <w:r>
        <w:t xml:space="preserve">Requisito</w:t>
      </w:r>
    </w:p>
    <w:p>
      <w:pPr>
        <w:pStyle w:val="FirstParagraph"/>
      </w:pPr>
      <w:r>
        <w:t xml:space="preserve">Asignar responsabilidades claras para poseer el uso de IA, los controles operativos, la supervisión especializada y la garantía independiente sin obscurecer las obligaciones de los actores legales.</w:t>
      </w:r>
    </w:p>
    <w:bookmarkEnd w:id="123"/>
    <w:bookmarkStart w:id="124" w:name="explicación-en-lenguaje-sencillo-8"/>
    <w:p>
      <w:pPr>
        <w:pStyle w:val="Heading2"/>
      </w:pPr>
      <w:r>
        <w:rPr>
          <w:rStyle w:val="SectionNumber"/>
        </w:rPr>
        <w:t xml:space="preserve">1.95</w:t>
      </w:r>
      <w:r>
        <w:tab/>
      </w:r>
      <w:r>
        <w:t xml:space="preserve">Explicación en lenguaje sencillo</w:t>
      </w:r>
    </w:p>
    <w:p>
      <w:pPr>
        <w:pStyle w:val="FirstParagraph"/>
      </w:pPr>
      <w:r>
        <w:t xml:space="preserve">Las funciones de los especialistas establecen los requisitos, asesoran, desafían y supervisan. La auditoría interna u otra función de garantía independiente evalúa la gobernanza y los controles. La independencia y la rendición de cuentas deben ser reales, no sólo se muestran en un organigrama.</w:t>
      </w:r>
    </w:p>
    <w:bookmarkEnd w:id="124"/>
    <w:bookmarkStart w:id="125" w:name="ejemplo-de-globalway-8"/>
    <w:p>
      <w:pPr>
        <w:pStyle w:val="Heading2"/>
      </w:pPr>
      <w:r>
        <w:rPr>
          <w:rStyle w:val="SectionNumber"/>
        </w:rPr>
        <w:t xml:space="preserve">1.96</w:t>
      </w:r>
      <w:r>
        <w:tab/>
      </w:r>
      <w:r>
        <w:t xml:space="preserve">Ejemplo de GlobalWay</w:t>
      </w:r>
    </w:p>
    <w:p>
      <w:pPr>
        <w:pStyle w:val="FirstParagraph"/>
      </w:pPr>
      <w:r>
        <w:t xml:space="preserve">GlobalWay asigna a los propietarios de negocios y técnicos como la primera línea; Legal, Cumplimiento, Privacidad, Seguridad, Gobernanza de Datos, Accesibilidad, Recursos Humanos y Riesgo de Proveedores como la segunda línea; y Auditoría Interna como la tercera línea. El Consejo de Gobernanza de AI coordina las decisiones pero no absorbe las responsabilidades de los propietarios de sistemas o actores regulados.</w:t>
      </w:r>
    </w:p>
    <w:bookmarkEnd w:id="125"/>
    <w:bookmarkStart w:id="126" w:name="actividad-de-control-9"/>
    <w:p>
      <w:pPr>
        <w:pStyle w:val="Heading2"/>
      </w:pPr>
      <w:r>
        <w:rPr>
          <w:rStyle w:val="SectionNumber"/>
        </w:rPr>
        <w:t xml:space="preserve">1.97</w:t>
      </w:r>
      <w:r>
        <w:tab/>
      </w:r>
      <w:r>
        <w:t xml:space="preserve">Actividad de control</w:t>
      </w:r>
    </w:p>
    <w:p>
      <w:pPr>
        <w:pStyle w:val="FirstParagraph"/>
      </w:pPr>
      <w:r>
        <w:t xml:space="preserve">Documento:</w:t>
      </w:r>
    </w:p>
    <w:p>
      <w:pPr>
        <w:numPr>
          <w:ilvl w:val="0"/>
          <w:numId w:val="1033"/>
        </w:numPr>
        <w:pStyle w:val="Compact"/>
      </w:pPr>
      <w:r>
        <w:t xml:space="preserve">responsabilidades jurídicas específicas de los agentes;</w:t>
      </w:r>
    </w:p>
    <w:p>
      <w:pPr>
        <w:numPr>
          <w:ilvl w:val="0"/>
          <w:numId w:val="1033"/>
        </w:numPr>
        <w:pStyle w:val="Compact"/>
      </w:pPr>
      <w:r>
        <w:t xml:space="preserve">propietarios de empresas, técnicos, de riesgo, de supervisión y de pruebas;</w:t>
      </w:r>
    </w:p>
    <w:p>
      <w:pPr>
        <w:numPr>
          <w:ilvl w:val="0"/>
          <w:numId w:val="1033"/>
        </w:numPr>
        <w:pStyle w:val="Compact"/>
      </w:pPr>
      <w:r>
        <w:t xml:space="preserve">autoridad para aprobar, impugnar, restringir, suspender o intensificar;</w:t>
      </w:r>
    </w:p>
    <w:p>
      <w:pPr>
        <w:numPr>
          <w:ilvl w:val="0"/>
          <w:numId w:val="1033"/>
        </w:numPr>
        <w:pStyle w:val="Compact"/>
      </w:pPr>
      <w:r>
        <w:t xml:space="preserve">los requisitos de independencia, conflicto y segregación;</w:t>
      </w:r>
    </w:p>
    <w:p>
      <w:pPr>
        <w:numPr>
          <w:ilvl w:val="0"/>
          <w:numId w:val="1033"/>
        </w:numPr>
        <w:pStyle w:val="Compact"/>
      </w:pPr>
      <w:r>
        <w:t xml:space="preserve">competencia y cobertura de respaldo;</w:t>
      </w:r>
    </w:p>
    <w:p>
      <w:pPr>
        <w:numPr>
          <w:ilvl w:val="0"/>
          <w:numId w:val="1033"/>
        </w:numPr>
        <w:pStyle w:val="Compact"/>
      </w:pPr>
      <w:r>
        <w:t xml:space="preserve">entregas entre etapas y funciones del ciclo de vida;</w:t>
      </w:r>
    </w:p>
    <w:p>
      <w:pPr>
        <w:numPr>
          <w:ilvl w:val="0"/>
          <w:numId w:val="1033"/>
        </w:numPr>
        <w:pStyle w:val="Compact"/>
      </w:pPr>
      <w:r>
        <w:t xml:space="preserve">la rendición de cuentas por los resultados y la rehabilitación.</w:t>
      </w:r>
    </w:p>
    <w:bookmarkEnd w:id="126"/>
    <w:bookmarkStart w:id="127" w:name="pruebas-10"/>
    <w:p>
      <w:pPr>
        <w:pStyle w:val="Heading2"/>
      </w:pPr>
      <w:r>
        <w:rPr>
          <w:rStyle w:val="SectionNumber"/>
        </w:rPr>
        <w:t xml:space="preserve">1.98</w:t>
      </w:r>
      <w:r>
        <w:tab/>
      </w:r>
      <w:r>
        <w:t xml:space="preserve">Pruebas</w:t>
      </w:r>
    </w:p>
    <w:p>
      <w:pPr>
        <w:pStyle w:val="FirstParagraph"/>
      </w:pPr>
      <w:r>
        <w:t xml:space="preserve">Descripción de funciones, matrices RACI, cartas de comités, delegaciones, registros de competencia, revelaciones de conflictos, aprobaciones, expedientes de impugnación, planes de garantía y tareas de rehabilitación.</w:t>
      </w:r>
    </w:p>
    <w:bookmarkEnd w:id="127"/>
    <w:bookmarkStart w:id="128" w:name="prueba-de-auditoría-9"/>
    <w:p>
      <w:pPr>
        <w:pStyle w:val="Heading2"/>
      </w:pPr>
      <w:r>
        <w:rPr>
          <w:rStyle w:val="SectionNumber"/>
        </w:rPr>
        <w:t xml:space="preserve">1.99</w:t>
      </w:r>
      <w:r>
        <w:tab/>
      </w:r>
      <w:r>
        <w:t xml:space="preserve">Prueba de auditoría</w:t>
      </w:r>
    </w:p>
    <w:p>
      <w:pPr>
        <w:pStyle w:val="FirstParagraph"/>
      </w:pPr>
      <w:r>
        <w:t xml:space="preserve">Rastrear una muestra de decisiones e incidentes relacionados con la IA a través de las funciones asignadas. Confirmar que la propiedad era clara, que se planteaban problemas, que los operadores de control no tenían garantías independientes, y que se intensificaron los conflictos no resueltos o las deficiencias de capacidad.</w:t>
      </w:r>
    </w:p>
    <w:bookmarkEnd w:id="128"/>
    <w:bookmarkStart w:id="129" w:name="Xc19d7ed04f8d732a57860c2556aae7413fded0f"/>
    <w:p>
      <w:pPr>
        <w:pStyle w:val="Heading2"/>
      </w:pPr>
      <w:r>
        <w:rPr>
          <w:rStyle w:val="SectionNumber"/>
        </w:rPr>
        <w:t xml:space="preserve">1.100</w:t>
      </w:r>
      <w:r>
        <w:tab/>
      </w:r>
      <w:r>
        <w:t xml:space="preserve">Capítulo 12 — Alfabetización de la IA, formación basada en el papel y garantía de competencias</w:t>
      </w:r>
    </w:p>
    <w:bookmarkEnd w:id="129"/>
    <w:bookmarkStart w:id="130" w:name="propósito"/>
    <w:p>
      <w:pPr>
        <w:pStyle w:val="Heading2"/>
      </w:pPr>
      <w:r>
        <w:rPr>
          <w:rStyle w:val="SectionNumber"/>
        </w:rPr>
        <w:t xml:space="preserve">1.101</w:t>
      </w:r>
      <w:r>
        <w:tab/>
      </w:r>
      <w:r>
        <w:t xml:space="preserve">12.1 Propósito</w:t>
      </w:r>
    </w:p>
    <w:p>
      <w:pPr>
        <w:pStyle w:val="FirstParagraph"/>
      </w:pPr>
      <w:r>
        <w:t xml:space="preserve">Este capítulo establece un marco práctico de gobernanza para cumplir con la obligación de la Ley de IA de la UE en materia de alfabetización y para demostrar que las personas que operan, supervisan, adquieren, aprueban, supervisan, auditan o dependen de los sistemas de IA están preparadas para asumir sus responsabilidades.</w:t>
      </w:r>
    </w:p>
    <w:p>
      <w:pPr>
        <w:pStyle w:val="BodyText"/>
      </w:pPr>
      <w:r>
        <w:t xml:space="preserve">El objetivo no es convertir a cada empleado en un científico de datos. Es asegurarse de que cada persona entiende lo suficiente sobre los sistemas de IA que encuentran para usarlos de forma segura, cuestionarlos apropiadamente, reconocer límites, aumentar las preocupaciones y preservar la responsabilidad humana.</w:t>
      </w:r>
    </w:p>
    <w:p>
      <w:pPr>
        <w:pStyle w:val="BlockText"/>
      </w:pPr>
      <w:r>
        <w:t xml:space="preserve">** Principio básico:** La IA puede apoyar la toma de decisiones humanas, pero no debe eliminar la responsabilidad humana, el juicio o la rendición de cuentas.</w:t>
      </w:r>
    </w:p>
    <w:bookmarkEnd w:id="130"/>
    <w:bookmarkStart w:id="131" w:name="requisitos-jurídicos"/>
    <w:p>
      <w:pPr>
        <w:pStyle w:val="Heading2"/>
      </w:pPr>
      <w:r>
        <w:rPr>
          <w:rStyle w:val="SectionNumber"/>
        </w:rPr>
        <w:t xml:space="preserve">1.102</w:t>
      </w:r>
      <w:r>
        <w:tab/>
      </w:r>
      <w:r>
        <w:t xml:space="preserve">12.2 Requisitos jurídicos</w:t>
      </w:r>
    </w:p>
    <w:p>
      <w:pPr>
        <w:pStyle w:val="FirstParagraph"/>
      </w:pPr>
      <w:r>
        <w:t xml:space="preserve">El artículo 4 exige que los proveedores y los despliegues de sistemas de IA adopten medidas de apoyo a la alfabetización de IA para el personal y otras personas que operan o utilizan sistemas de IA en su nombre. Las medidas deben reflejar los conocimientos técnicos, la experiencia, la educación y la formación de la persona, el contexto en el que se utiliza el sistema de IA y las personas o grupos afectados por ese uso.</w:t>
      </w:r>
    </w:p>
    <w:p>
      <w:pPr>
        <w:pStyle w:val="BodyText"/>
      </w:pPr>
      <w:r>
        <w:t xml:space="preserve">La obligación es contextual. Un agente de apoyo al viajero, desarrollador, gestor de adquisiciones, revisor humano, patrocinador ejecutivo y auditor interno no necesitan capacitación idéntica. Cada uno necesita competencia apropiada al rol, sistema, autoridad de decisión, riesgo y población afectada.</w:t>
      </w:r>
    </w:p>
    <w:bookmarkEnd w:id="131"/>
    <w:bookmarkStart w:id="132" w:name="explicación-del-idioma-sencillo"/>
    <w:p>
      <w:pPr>
        <w:pStyle w:val="Heading2"/>
      </w:pPr>
      <w:r>
        <w:rPr>
          <w:rStyle w:val="SectionNumber"/>
        </w:rPr>
        <w:t xml:space="preserve">1.103</w:t>
      </w:r>
      <w:r>
        <w:tab/>
      </w:r>
      <w:r>
        <w:t xml:space="preserve">12.3 Explicación del idioma sencillo</w:t>
      </w:r>
    </w:p>
    <w:p>
      <w:pPr>
        <w:pStyle w:val="FirstParagraph"/>
      </w:pPr>
      <w:r>
        <w:t xml:space="preserve">Un programa defendible debe responder cinco preguntas:</w:t>
      </w:r>
    </w:p>
    <w:p>
      <w:pPr>
        <w:numPr>
          <w:ilvl w:val="0"/>
          <w:numId w:val="1034"/>
        </w:numPr>
        <w:pStyle w:val="Compact"/>
      </w:pPr>
      <w:r>
        <w:t xml:space="preserve">¿Quién interactúa con cada sistema de IA?</w:t>
      </w:r>
    </w:p>
    <w:p>
      <w:pPr>
        <w:numPr>
          <w:ilvl w:val="0"/>
          <w:numId w:val="1034"/>
        </w:numPr>
        <w:pStyle w:val="Compact"/>
      </w:pPr>
      <w:r>
        <w:t xml:space="preserve">¿Qué decisiones o acciones puede tomar esa persona?</w:t>
      </w:r>
    </w:p>
    <w:p>
      <w:pPr>
        <w:numPr>
          <w:ilvl w:val="0"/>
          <w:numId w:val="1034"/>
        </w:numPr>
        <w:pStyle w:val="Compact"/>
      </w:pPr>
      <w:r>
        <w:t xml:space="preserve">¿Qué puede salir mal en ese caso de uso?</w:t>
      </w:r>
    </w:p>
    <w:p>
      <w:pPr>
        <w:numPr>
          <w:ilvl w:val="0"/>
          <w:numId w:val="1034"/>
        </w:numPr>
        <w:pStyle w:val="Compact"/>
      </w:pPr>
      <w:r>
        <w:t xml:space="preserve">¿Qué debe saber la persona y ser capaz de hacer?</w:t>
      </w:r>
    </w:p>
    <w:p>
      <w:pPr>
        <w:numPr>
          <w:ilvl w:val="0"/>
          <w:numId w:val="1034"/>
        </w:numPr>
        <w:pStyle w:val="Compact"/>
      </w:pPr>
      <w:r>
        <w:t xml:space="preserve">¿Qué pruebas demuestran que la persona sigue siendo competente?</w:t>
      </w:r>
    </w:p>
    <w:p>
      <w:pPr>
        <w:pStyle w:val="FirstParagraph"/>
      </w:pPr>
      <w:r>
        <w:t xml:space="preserve">La competencia requiere comprensión, aplicación, juicio, y la capacidad de reconocer cuándo debe cesar el uso normal.</w:t>
      </w:r>
    </w:p>
    <w:bookmarkEnd w:id="132"/>
    <w:bookmarkStart w:id="133" w:name="Xc0adea73e6573b73166dffa5287f2c5806b2691"/>
    <w:p>
      <w:pPr>
        <w:pStyle w:val="Heading2"/>
      </w:pPr>
      <w:r>
        <w:rPr>
          <w:rStyle w:val="SectionNumber"/>
        </w:rPr>
        <w:t xml:space="preserve">1.104</w:t>
      </w:r>
      <w:r>
        <w:tab/>
      </w:r>
      <w:r>
        <w:t xml:space="preserve">12.4 Ejemplo de servicios de viajes de GlobalWay</w:t>
      </w:r>
    </w:p>
    <w:p>
      <w:pPr>
        <w:pStyle w:val="FirstParagraph"/>
      </w:pPr>
      <w:r>
        <w:t xml:space="preserve">GlobalWay Travel Services utiliza un asistente virtual orientado a los viajeros, herramientas de asistencia a agentes, predicción de interrupciones, detección de fraudes, IA generativa interna, análisis de riesgo de proveedores y detección de reclutamiento apoyada por IA.</w:t>
      </w:r>
    </w:p>
    <w:p>
      <w:pPr>
        <w:pStyle w:val="BodyText"/>
      </w:pPr>
      <w:r>
        <w:t xml:space="preserve">GlobalWay, por lo tanto, mantiene una matriz de alfabetización basada en funciones.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Qué puede hacer la IA</w:t>
            </w:r>
          </w:p>
        </w:tc>
        <w:tc>
          <w:tcPr/>
          <w:p>
            <w:pPr>
              <w:pStyle w:val="Compact"/>
              <w:jc w:val="left"/>
            </w:pPr>
            <w:r>
              <w:t xml:space="preserve">Responsabilidad humana</w:t>
            </w:r>
          </w:p>
        </w:tc>
        <w:tc>
          <w:tcPr/>
          <w:p>
            <w:pPr>
              <w:pStyle w:val="Compact"/>
              <w:jc w:val="left"/>
            </w:pPr>
            <w:r>
              <w:t xml:space="preserve">Competencia requerida</w:t>
            </w:r>
          </w:p>
        </w:tc>
      </w:tr>
      <w:tr>
        <w:tc>
          <w:tcPr/>
          <w:p>
            <w:pPr>
              <w:pStyle w:val="Compact"/>
              <w:jc w:val="left"/>
            </w:pPr>
            <w:r>
              <w:t xml:space="preserve">Agente de apoyo a los viajeros</w:t>
            </w:r>
          </w:p>
        </w:tc>
        <w:tc>
          <w:tcPr/>
          <w:p>
            <w:pPr>
              <w:pStyle w:val="Compact"/>
              <w:jc w:val="left"/>
            </w:pPr>
            <w:r>
              <w:t xml:space="preserve">Sugerir itinerarios y borrador de mensajes</w:t>
            </w:r>
          </w:p>
        </w:tc>
        <w:tc>
          <w:tcPr/>
          <w:p>
            <w:pPr>
              <w:pStyle w:val="Compact"/>
              <w:jc w:val="left"/>
            </w:pPr>
            <w:r>
              <w:t xml:space="preserve">Verificar los hechos, aprobar las comunicaciones, proteger a los viajeros, aumentar las excepciones</w:t>
            </w:r>
          </w:p>
        </w:tc>
        <w:tc>
          <w:tcPr/>
          <w:p>
            <w:pPr>
              <w:pStyle w:val="Compact"/>
              <w:jc w:val="left"/>
            </w:pPr>
            <w:r>
              <w:t xml:space="preserve">Reconocimiento de alucinaciones, verificación de fuentes, accesibilidad, anulación, escalada</w:t>
            </w:r>
          </w:p>
        </w:tc>
      </w:tr>
      <w:tr>
        <w:tc>
          <w:tcPr/>
          <w:p>
            <w:pPr>
              <w:pStyle w:val="Compact"/>
              <w:jc w:val="left"/>
            </w:pPr>
            <w:r>
              <w:t xml:space="preserve">Director de operaciones</w:t>
            </w:r>
          </w:p>
        </w:tc>
        <w:tc>
          <w:tcPr/>
          <w:p>
            <w:pPr>
              <w:pStyle w:val="Compact"/>
              <w:jc w:val="left"/>
            </w:pPr>
            <w:r>
              <w:t xml:space="preserve">Dar prioridad a los casos de interrupción</w:t>
            </w:r>
          </w:p>
        </w:tc>
        <w:tc>
          <w:tcPr/>
          <w:p>
            <w:pPr>
              <w:pStyle w:val="Compact"/>
              <w:jc w:val="left"/>
            </w:pPr>
            <w:r>
              <w:t xml:space="preserve">Aprobar las decisiones operacionales y supervisar los efectos</w:t>
            </w:r>
          </w:p>
        </w:tc>
        <w:tc>
          <w:tcPr/>
          <w:p>
            <w:pPr>
              <w:pStyle w:val="Compact"/>
              <w:jc w:val="left"/>
            </w:pPr>
            <w:r>
              <w:t xml:space="preserve">Bias, deriva, umbrales, respuesta a incidentes, documentación</w:t>
            </w:r>
          </w:p>
        </w:tc>
      </w:tr>
      <w:tr>
        <w:tc>
          <w:tcPr/>
          <w:p>
            <w:pPr>
              <w:pStyle w:val="Compact"/>
              <w:jc w:val="left"/>
            </w:pPr>
            <w:r>
              <w:t xml:space="preserve">Gestor de adquisiciones</w:t>
            </w:r>
          </w:p>
        </w:tc>
        <w:tc>
          <w:tcPr/>
          <w:p>
            <w:pPr>
              <w:pStyle w:val="Compact"/>
              <w:jc w:val="left"/>
            </w:pPr>
            <w:r>
              <w:t xml:space="preserve">Resuma las respuestas de los proveedores</w:t>
            </w:r>
          </w:p>
        </w:tc>
        <w:tc>
          <w:tcPr/>
          <w:p>
            <w:pPr>
              <w:pStyle w:val="Compact"/>
              <w:jc w:val="left"/>
            </w:pPr>
            <w:r>
              <w:t xml:space="preserve">Validar pruebas y evaluar el riesgo contractual</w:t>
            </w:r>
          </w:p>
        </w:tc>
        <w:tc>
          <w:tcPr/>
          <w:p>
            <w:pPr>
              <w:pStyle w:val="Compact"/>
              <w:jc w:val="left"/>
            </w:pPr>
            <w:r>
              <w:t xml:space="preserve">Diligencia debida, límites modelo, derechos de datos, derechos de auditoría, riesgo de subcontratista</w:t>
            </w:r>
          </w:p>
        </w:tc>
      </w:tr>
      <w:tr>
        <w:tc>
          <w:tcPr/>
          <w:p>
            <w:pPr>
              <w:pStyle w:val="Compact"/>
              <w:jc w:val="left"/>
            </w:pPr>
            <w:r>
              <w:t xml:space="preserve">Desarrollador o integrador</w:t>
            </w:r>
          </w:p>
        </w:tc>
        <w:tc>
          <w:tcPr/>
          <w:p>
            <w:pPr>
              <w:pStyle w:val="Compact"/>
              <w:jc w:val="left"/>
            </w:pPr>
            <w:r>
              <w:t xml:space="preserve">Configurar y conectar componentes de IA</w:t>
            </w:r>
          </w:p>
        </w:tc>
        <w:tc>
          <w:tcPr/>
          <w:p>
            <w:pPr>
              <w:pStyle w:val="Compact"/>
              <w:jc w:val="left"/>
            </w:pPr>
            <w:r>
              <w:t xml:space="preserve">Aplicar las salvaguardias y preservar los controles</w:t>
            </w:r>
          </w:p>
        </w:tc>
        <w:tc>
          <w:tcPr/>
          <w:p>
            <w:pPr>
              <w:pStyle w:val="Compact"/>
              <w:jc w:val="left"/>
            </w:pPr>
            <w:r>
              <w:t xml:space="preserve">Pruebas, registro, seguridad, marcado, control de cambios</w:t>
            </w:r>
          </w:p>
        </w:tc>
      </w:tr>
      <w:tr>
        <w:tc>
          <w:tcPr/>
          <w:p>
            <w:pPr>
              <w:pStyle w:val="Compact"/>
              <w:jc w:val="left"/>
            </w:pPr>
            <w:r>
              <w:t xml:space="preserve">Revisor humano</w:t>
            </w:r>
          </w:p>
        </w:tc>
        <w:tc>
          <w:tcPr/>
          <w:p>
            <w:pPr>
              <w:pStyle w:val="Compact"/>
              <w:jc w:val="left"/>
            </w:pPr>
            <w:r>
              <w:t xml:space="preserve">Examinar las decisiones apoyadas por la IA</w:t>
            </w:r>
          </w:p>
        </w:tc>
        <w:tc>
          <w:tcPr/>
          <w:p>
            <w:pPr>
              <w:pStyle w:val="Compact"/>
              <w:jc w:val="left"/>
            </w:pPr>
            <w:r>
              <w:t xml:space="preserve">Aprobar, corregir, rechazar o intensificar</w:t>
            </w:r>
          </w:p>
        </w:tc>
        <w:tc>
          <w:tcPr/>
          <w:p>
            <w:pPr>
              <w:pStyle w:val="Compact"/>
              <w:jc w:val="left"/>
            </w:pPr>
            <w:r>
              <w:t xml:space="preserve">Sesgo de automatización, revisión significativa, derechos de impugnación, calidad de las pruebas</w:t>
            </w:r>
          </w:p>
        </w:tc>
      </w:tr>
      <w:tr>
        <w:tc>
          <w:tcPr/>
          <w:p>
            <w:pPr>
              <w:pStyle w:val="Compact"/>
              <w:jc w:val="left"/>
            </w:pPr>
            <w:r>
              <w:t xml:space="preserve">Patrocinador ejecutivo</w:t>
            </w:r>
          </w:p>
        </w:tc>
        <w:tc>
          <w:tcPr/>
          <w:p>
            <w:pPr>
              <w:pStyle w:val="Compact"/>
              <w:jc w:val="left"/>
            </w:pPr>
            <w:r>
              <w:t xml:space="preserve">Aprobar objetivos, financiación y aceptación de riesgos</w:t>
            </w:r>
          </w:p>
        </w:tc>
        <w:tc>
          <w:tcPr/>
          <w:p>
            <w:pPr>
              <w:pStyle w:val="Compact"/>
              <w:jc w:val="left"/>
            </w:pPr>
            <w:r>
              <w:t xml:space="preserve">Responsabilidad empresarial propia</w:t>
            </w:r>
          </w:p>
        </w:tc>
        <w:tc>
          <w:tcPr/>
          <w:p>
            <w:pPr>
              <w:pStyle w:val="Compact"/>
              <w:jc w:val="left"/>
            </w:pPr>
            <w:r>
              <w:t xml:space="preserve">Derechos de gobernanza, riesgo residual, impacto humano, criterios de paralización</w:t>
            </w:r>
          </w:p>
        </w:tc>
      </w:tr>
      <w:tr>
        <w:tc>
          <w:tcPr/>
          <w:p>
            <w:pPr>
              <w:pStyle w:val="Compact"/>
              <w:jc w:val="left"/>
            </w:pPr>
            <w:r>
              <w:t xml:space="preserve">Legal y cumplimiento</w:t>
            </w:r>
          </w:p>
        </w:tc>
        <w:tc>
          <w:tcPr/>
          <w:p>
            <w:pPr>
              <w:pStyle w:val="Compact"/>
              <w:jc w:val="left"/>
            </w:pPr>
            <w:r>
              <w:t xml:space="preserve">Interpretar las obligaciones y los controles de impugnación</w:t>
            </w:r>
          </w:p>
        </w:tc>
        <w:tc>
          <w:tcPr/>
          <w:p>
            <w:pPr>
              <w:pStyle w:val="Compact"/>
              <w:jc w:val="left"/>
            </w:pPr>
            <w:r>
              <w:t xml:space="preserve">Confirmar el tratamiento reglamentario y la suficiencia de pruebas</w:t>
            </w:r>
          </w:p>
        </w:tc>
        <w:tc>
          <w:tcPr/>
          <w:p>
            <w:pPr>
              <w:pStyle w:val="Compact"/>
              <w:jc w:val="left"/>
            </w:pPr>
            <w:r>
              <w:t xml:space="preserve">Clasificación de funciones, transparencia, prácticas prohibidas, documentación</w:t>
            </w:r>
          </w:p>
        </w:tc>
      </w:tr>
      <w:tr>
        <w:tc>
          <w:tcPr/>
          <w:p>
            <w:pPr>
              <w:pStyle w:val="Compact"/>
              <w:jc w:val="left"/>
            </w:pPr>
            <w:r>
              <w:t xml:space="preserve">Auditoría interna</w:t>
            </w:r>
          </w:p>
        </w:tc>
        <w:tc>
          <w:tcPr/>
          <w:p>
            <w:pPr>
              <w:pStyle w:val="Compact"/>
              <w:jc w:val="left"/>
            </w:pPr>
            <w:r>
              <w:t xml:space="preserve">Controles de ensayo independientes</w:t>
            </w:r>
          </w:p>
        </w:tc>
        <w:tc>
          <w:tcPr/>
          <w:p>
            <w:pPr>
              <w:pStyle w:val="Compact"/>
              <w:jc w:val="left"/>
            </w:pPr>
            <w:r>
              <w:t xml:space="preserve">Informar de las deficiencias y verificar la rehabilitación</w:t>
            </w:r>
          </w:p>
        </w:tc>
        <w:tc>
          <w:tcPr/>
          <w:p>
            <w:pPr>
              <w:pStyle w:val="Compact"/>
              <w:jc w:val="left"/>
            </w:pPr>
            <w:r>
              <w:t xml:space="preserve">Criterios de auditoría, muestreo, trazabilidad, eficacia operativa</w:t>
            </w:r>
          </w:p>
        </w:tc>
      </w:tr>
    </w:tbl>
    <w:bookmarkEnd w:id="133"/>
    <w:bookmarkStart w:id="134" w:name="objetivo-de-control"/>
    <w:p>
      <w:pPr>
        <w:pStyle w:val="Heading2"/>
      </w:pPr>
      <w:r>
        <w:rPr>
          <w:rStyle w:val="SectionNumber"/>
        </w:rPr>
        <w:t xml:space="preserve">1.105</w:t>
      </w:r>
      <w:r>
        <w:tab/>
      </w:r>
      <w:r>
        <w:t xml:space="preserve">12.5 Objetivo de control</w:t>
      </w:r>
    </w:p>
    <w:p>
      <w:pPr>
        <w:pStyle w:val="FirstParagraph"/>
      </w:pPr>
      <w:r>
        <w:t xml:space="preserve">GlobalWay mantendrá un programa de alfabetización y competencia en IA basado en el riesgo que garantice que el personal y terceros entiendan:</w:t>
      </w:r>
    </w:p>
    <w:p>
      <w:pPr>
        <w:numPr>
          <w:ilvl w:val="0"/>
          <w:numId w:val="1035"/>
        </w:numPr>
        <w:pStyle w:val="Compact"/>
      </w:pPr>
      <w:r>
        <w:t xml:space="preserve">la finalidad y los límites de los sistemas de IA que utilicen;</w:t>
      </w:r>
    </w:p>
    <w:p>
      <w:pPr>
        <w:numPr>
          <w:ilvl w:val="0"/>
          <w:numId w:val="1035"/>
        </w:numPr>
        <w:pStyle w:val="Compact"/>
      </w:pPr>
      <w:r>
        <w:t xml:space="preserve">su autoridad y responsabilidad;</w:t>
      </w:r>
    </w:p>
    <w:p>
      <w:pPr>
        <w:numPr>
          <w:ilvl w:val="0"/>
          <w:numId w:val="1035"/>
        </w:numPr>
        <w:pStyle w:val="Compact"/>
      </w:pPr>
      <w:r>
        <w:t xml:space="preserve">lo que AI puede y no puede hacer;</w:t>
      </w:r>
    </w:p>
    <w:p>
      <w:pPr>
        <w:numPr>
          <w:ilvl w:val="0"/>
          <w:numId w:val="1035"/>
        </w:numPr>
        <w:pStyle w:val="Compact"/>
      </w:pPr>
      <w:r>
        <w:t xml:space="preserve">cuando la revisión humana sea obligatoria;</w:t>
      </w:r>
    </w:p>
    <w:p>
      <w:pPr>
        <w:numPr>
          <w:ilvl w:val="0"/>
          <w:numId w:val="1035"/>
        </w:numPr>
        <w:pStyle w:val="Compact"/>
      </w:pPr>
      <w:r>
        <w:t xml:space="preserve">cómo identificar productos poco fiables, sesgados, inseguros o manipulados;</w:t>
      </w:r>
    </w:p>
    <w:p>
      <w:pPr>
        <w:numPr>
          <w:ilvl w:val="0"/>
          <w:numId w:val="1035"/>
        </w:numPr>
        <w:pStyle w:val="Compact"/>
      </w:pPr>
      <w:r>
        <w:t xml:space="preserve">cómo detener, anular, corregir, desafiar y escalar;</w:t>
      </w:r>
    </w:p>
    <w:p>
      <w:pPr>
        <w:numPr>
          <w:ilvl w:val="0"/>
          <w:numId w:val="1035"/>
        </w:numPr>
        <w:pStyle w:val="Compact"/>
      </w:pPr>
      <w:r>
        <w:t xml:space="preserve">cómo proteger la información personal, confidencial y regulada;</w:t>
      </w:r>
    </w:p>
    <w:p>
      <w:pPr>
        <w:numPr>
          <w:ilvl w:val="0"/>
          <w:numId w:val="1035"/>
        </w:numPr>
        <w:pStyle w:val="Compact"/>
      </w:pPr>
      <w:r>
        <w:t xml:space="preserve">cómo documentar las decisiones y preservar las pruebas;</w:t>
      </w:r>
    </w:p>
    <w:p>
      <w:pPr>
        <w:numPr>
          <w:ilvl w:val="0"/>
          <w:numId w:val="1035"/>
        </w:numPr>
        <w:pStyle w:val="Compact"/>
      </w:pPr>
      <w:r>
        <w:t xml:space="preserve">cómo las personas afectadas pueden obtener ayuda, corrección o revisión humana.</w:t>
      </w:r>
    </w:p>
    <w:bookmarkEnd w:id="134"/>
    <w:bookmarkStart w:id="140" w:name="Xf6e85c4e12c82f8f1a21b21b4edcd52cc47e7bc"/>
    <w:p>
      <w:pPr>
        <w:pStyle w:val="Heading2"/>
      </w:pPr>
      <w:r>
        <w:rPr>
          <w:rStyle w:val="SectionNumber"/>
        </w:rPr>
        <w:t xml:space="preserve">1.106</w:t>
      </w:r>
      <w:r>
        <w:tab/>
      </w:r>
      <w:r>
        <w:t xml:space="preserve">12.6 Arquitectura del aprendizaje basado en el papel</w:t>
      </w:r>
    </w:p>
    <w:bookmarkStart w:id="135" w:name="nivel-de-la-fundación"/>
    <w:p>
      <w:pPr>
        <w:pStyle w:val="Heading3"/>
      </w:pPr>
      <w:r>
        <w:rPr>
          <w:rStyle w:val="SectionNumber"/>
        </w:rPr>
        <w:t xml:space="preserve">1.106.1</w:t>
      </w:r>
      <w:r>
        <w:tab/>
      </w:r>
      <w:r>
        <w:t xml:space="preserve">Nivel de la Fundación</w:t>
      </w:r>
    </w:p>
    <w:p>
      <w:pPr>
        <w:pStyle w:val="FirstParagraph"/>
      </w:pPr>
      <w:r>
        <w:t xml:space="preserve">Se requiere para todo el personal con acceso a herramientas habilitadas para IA. Los temas incluyen usos aprobados y prohibidos, confidencialidad, alucinaciones, medios sintéticos, sesgo, responsabilidad humana, reporte de incidentes y el derecho a detenerse y buscar ayuda.</w:t>
      </w:r>
    </w:p>
    <w:bookmarkEnd w:id="135"/>
    <w:bookmarkStart w:id="136" w:name="nivel-de-práctica"/>
    <w:p>
      <w:pPr>
        <w:pStyle w:val="Heading3"/>
      </w:pPr>
      <w:r>
        <w:rPr>
          <w:rStyle w:val="SectionNumber"/>
        </w:rPr>
        <w:t xml:space="preserve">1.106.2</w:t>
      </w:r>
      <w:r>
        <w:tab/>
      </w:r>
      <w:r>
        <w:t xml:space="preserve">Nivel de práctica</w:t>
      </w:r>
    </w:p>
    <w:p>
      <w:pPr>
        <w:pStyle w:val="FirstParagraph"/>
      </w:pPr>
      <w:r>
        <w:t xml:space="preserve">Los temas incluyen propósito y límites específicos del sistema, manejo de entradas y salidas, validación de fuentes, procedimientos de anulación, accesibilidad, documentación y modos de fallo conocidos.</w:t>
      </w:r>
    </w:p>
    <w:bookmarkEnd w:id="136"/>
    <w:bookmarkStart w:id="137" w:name="nivel-de-propietario-y-revisor"/>
    <w:p>
      <w:pPr>
        <w:pStyle w:val="Heading3"/>
      </w:pPr>
      <w:r>
        <w:rPr>
          <w:rStyle w:val="SectionNumber"/>
        </w:rPr>
        <w:t xml:space="preserve">1.106.3</w:t>
      </w:r>
      <w:r>
        <w:tab/>
      </w:r>
      <w:r>
        <w:t xml:space="preserve">Nivel de propietario y revisor</w:t>
      </w:r>
    </w:p>
    <w:p>
      <w:pPr>
        <w:pStyle w:val="FirstParagraph"/>
      </w:pPr>
      <w:r>
        <w:t xml:space="preserve">Requeridos para propietarios de sistemas, revisores humanos, propietarios de riesgos y gerentes. Los temas incluyen supervisión humana significativa, sesgo de automatización, umbrales de desempeño, incidentes, quejas, gestión del cambio, impacto de la persona afectada y criterios de parada.</w:t>
      </w:r>
    </w:p>
    <w:bookmarkEnd w:id="137"/>
    <w:bookmarkStart w:id="138" w:name="categoría-de-especialista"/>
    <w:p>
      <w:pPr>
        <w:pStyle w:val="Heading3"/>
      </w:pPr>
      <w:r>
        <w:rPr>
          <w:rStyle w:val="SectionNumber"/>
        </w:rPr>
        <w:t xml:space="preserve">1.106.4</w:t>
      </w:r>
      <w:r>
        <w:tab/>
      </w:r>
      <w:r>
        <w:t xml:space="preserve">Categoría de especialista</w:t>
      </w:r>
    </w:p>
    <w:p>
      <w:pPr>
        <w:pStyle w:val="FirstParagraph"/>
      </w:pPr>
      <w:r>
        <w:t xml:space="preserve">Requerido para desarrolladores, integradores, seguridad, privacidad, legal, contratación, cumplimiento y auditoría. Los temas pueden incluir gobernanza de datos, mal uso contradictorio, evaluación de modelos, riesgo del proveedor, documentación técnica, marcado de transparencia, registro, conformidad y evidencia.</w:t>
      </w:r>
    </w:p>
    <w:bookmarkEnd w:id="138"/>
    <w:bookmarkStart w:id="139" w:name="nivel-ejecutivo-y-de-juntas"/>
    <w:p>
      <w:pPr>
        <w:pStyle w:val="Heading3"/>
      </w:pPr>
      <w:r>
        <w:rPr>
          <w:rStyle w:val="SectionNumber"/>
        </w:rPr>
        <w:t xml:space="preserve">1.106.5</w:t>
      </w:r>
      <w:r>
        <w:tab/>
      </w:r>
      <w:r>
        <w:t xml:space="preserve">Nivel ejecutivo y de juntas</w:t>
      </w:r>
    </w:p>
    <w:p>
      <w:pPr>
        <w:pStyle w:val="FirstParagraph"/>
      </w:pPr>
      <w:r>
        <w:t xml:space="preserve">Requerido para líderes que aprueban estrategia de IA, sistemas materiales o aceptación de riesgos. Los temas incluyen responsabilidad organizacional, exposición legal, impacto de derechos humanos, límites de garantía, aceptación de riesgo residual y condiciones de suspensión o retiro.</w:t>
      </w:r>
    </w:p>
    <w:bookmarkEnd w:id="139"/>
    <w:bookmarkEnd w:id="140"/>
    <w:bookmarkStart w:id="141" w:name="garantía-de-competencia"/>
    <w:p>
      <w:pPr>
        <w:pStyle w:val="Heading2"/>
      </w:pPr>
      <w:r>
        <w:rPr>
          <w:rStyle w:val="SectionNumber"/>
        </w:rPr>
        <w:t xml:space="preserve">1.107</w:t>
      </w:r>
      <w:r>
        <w:tab/>
      </w:r>
      <w:r>
        <w:t xml:space="preserve">12.7 Garantía de competencia</w:t>
      </w:r>
    </w:p>
    <w:p>
      <w:pPr>
        <w:pStyle w:val="FirstParagraph"/>
      </w:pPr>
      <w:r>
        <w:t xml:space="preserve">GlobalWay no se basará únicamente en los certificados de cumplimentación, sino que utilizará evaluaciones basadas en escenarios, prácticas supervisadas, ejercicios de mesa, desempeño de tareas observado, simulaciones de desafío y override, comprobaciones periódicas de conocimientos, confirmación del administrador y capacitación correctiva.</w:t>
      </w:r>
    </w:p>
    <w:p>
      <w:pPr>
        <w:pStyle w:val="BodyText"/>
      </w:pPr>
      <w:r>
        <w:t xml:space="preserve">El personal debería poder demostrar lo que haría cuando:</w:t>
      </w:r>
    </w:p>
    <w:p>
      <w:pPr>
        <w:numPr>
          <w:ilvl w:val="0"/>
          <w:numId w:val="1036"/>
        </w:numPr>
        <w:pStyle w:val="Compact"/>
      </w:pPr>
      <w:r>
        <w:t xml:space="preserve">La producción de IA entra en conflicto con la información autorizada;</w:t>
      </w:r>
    </w:p>
    <w:p>
      <w:pPr>
        <w:numPr>
          <w:ilvl w:val="0"/>
          <w:numId w:val="1036"/>
        </w:numPr>
        <w:pStyle w:val="Compact"/>
      </w:pPr>
      <w:r>
        <w:t xml:space="preserve">una recomendación parece injusta o insegura;</w:t>
      </w:r>
    </w:p>
    <w:p>
      <w:pPr>
        <w:numPr>
          <w:ilvl w:val="0"/>
          <w:numId w:val="1036"/>
        </w:numPr>
        <w:pStyle w:val="Compact"/>
      </w:pPr>
      <w:r>
        <w:t xml:space="preserve">Faltan los datos requeridos;</w:t>
      </w:r>
    </w:p>
    <w:p>
      <w:pPr>
        <w:numPr>
          <w:ilvl w:val="0"/>
          <w:numId w:val="1036"/>
        </w:numPr>
        <w:pStyle w:val="Compact"/>
      </w:pPr>
      <w:r>
        <w:t xml:space="preserve">un viajero es vulnerable o necesita apoyo para la accesibilidad;</w:t>
      </w:r>
    </w:p>
    <w:p>
      <w:pPr>
        <w:numPr>
          <w:ilvl w:val="0"/>
          <w:numId w:val="1036"/>
        </w:numPr>
        <w:pStyle w:val="Compact"/>
      </w:pPr>
      <w:r>
        <w:t xml:space="preserve">se expone información confidencial;</w:t>
      </w:r>
    </w:p>
    <w:p>
      <w:pPr>
        <w:numPr>
          <w:ilvl w:val="0"/>
          <w:numId w:val="1036"/>
        </w:numPr>
        <w:pStyle w:val="Compact"/>
      </w:pPr>
      <w:r>
        <w:t xml:space="preserve">un sistema se comporta de manera diferente después de una actualización;</w:t>
      </w:r>
    </w:p>
    <w:p>
      <w:pPr>
        <w:numPr>
          <w:ilvl w:val="0"/>
          <w:numId w:val="1036"/>
        </w:numPr>
        <w:pStyle w:val="Compact"/>
      </w:pPr>
      <w:r>
        <w:t xml:space="preserve">una persona afectada impugna un resultado apoyado por IA.</w:t>
      </w:r>
    </w:p>
    <w:bookmarkEnd w:id="141"/>
    <w:bookmarkStart w:id="142" w:name="límite-de-decisión-humana"/>
    <w:p>
      <w:pPr>
        <w:pStyle w:val="Heading2"/>
      </w:pPr>
      <w:r>
        <w:rPr>
          <w:rStyle w:val="SectionNumber"/>
        </w:rPr>
        <w:t xml:space="preserve">1.108</w:t>
      </w:r>
      <w:r>
        <w:tab/>
      </w:r>
      <w:r>
        <w:t xml:space="preserve">12.8 Límite de decisión humana</w:t>
      </w:r>
    </w:p>
    <w:p>
      <w:pPr>
        <w:pStyle w:val="FirstParagraph"/>
      </w:pPr>
      <w:r>
        <w:t xml:space="preserve">Para cada función habilitada por IA, GlobalWay documenta: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 requerido</w:t>
            </w:r>
          </w:p>
        </w:tc>
        <w:tc>
          <w:tcPr/>
          <w:p>
            <w:pPr>
              <w:pStyle w:val="Compact"/>
              <w:jc w:val="left"/>
            </w:pPr>
            <w:r>
              <w:t xml:space="preserve">Ejemplo</w:t>
            </w:r>
          </w:p>
        </w:tc>
      </w:tr>
      <w:tr>
        <w:tc>
          <w:tcPr/>
          <w:p>
            <w:pPr>
              <w:pStyle w:val="Compact"/>
              <w:jc w:val="left"/>
            </w:pPr>
            <w:r>
              <w:t xml:space="preserve">Qué puede hacer la IA</w:t>
            </w:r>
          </w:p>
        </w:tc>
        <w:tc>
          <w:tcPr/>
          <w:p>
            <w:pPr>
              <w:pStyle w:val="Compact"/>
              <w:jc w:val="left"/>
            </w:pPr>
            <w:r>
              <w:t xml:space="preserve">Proyecto de recomendación de rereservación</w:t>
            </w:r>
          </w:p>
        </w:tc>
      </w:tr>
      <w:tr>
        <w:tc>
          <w:tcPr/>
          <w:p>
            <w:pPr>
              <w:pStyle w:val="Compact"/>
              <w:jc w:val="left"/>
            </w:pPr>
            <w:r>
              <w:t xml:space="preserve">Lo que sigue siendo humano</w:t>
            </w:r>
          </w:p>
        </w:tc>
        <w:tc>
          <w:tcPr/>
          <w:p>
            <w:pPr>
              <w:pStyle w:val="Compact"/>
              <w:jc w:val="left"/>
            </w:pPr>
            <w:r>
              <w:t xml:space="preserve">Aprobar el itinerario final y la comunicación</w:t>
            </w:r>
          </w:p>
        </w:tc>
      </w:tr>
      <w:tr>
        <w:tc>
          <w:tcPr/>
          <w:p>
            <w:pPr>
              <w:pStyle w:val="Compact"/>
              <w:jc w:val="left"/>
            </w:pPr>
            <w:r>
              <w:t xml:space="preserve">Requisito de revisión</w:t>
            </w:r>
          </w:p>
        </w:tc>
        <w:tc>
          <w:tcPr/>
          <w:p>
            <w:pPr>
              <w:pStyle w:val="Compact"/>
              <w:jc w:val="left"/>
            </w:pPr>
            <w:r>
              <w:t xml:space="preserve">Verifique las reglas de tarifas, restricciones de visas, accesibilidad y preferencia del viajero</w:t>
            </w:r>
          </w:p>
        </w:tc>
      </w:tr>
      <w:tr>
        <w:tc>
          <w:tcPr/>
          <w:p>
            <w:pPr>
              <w:pStyle w:val="Compact"/>
              <w:jc w:val="left"/>
            </w:pPr>
            <w:r>
              <w:t xml:space="preserve">Estado de parada</w:t>
            </w:r>
          </w:p>
        </w:tc>
        <w:tc>
          <w:tcPr/>
          <w:p>
            <w:pPr>
              <w:pStyle w:val="Compact"/>
              <w:jc w:val="left"/>
            </w:pPr>
            <w:r>
              <w:t xml:space="preserve">Datos conflictivos, viajero vulnerable, política poco clara o recomendación insegura</w:t>
            </w:r>
          </w:p>
        </w:tc>
      </w:tr>
      <w:tr>
        <w:tc>
          <w:tcPr/>
          <w:p>
            <w:pPr>
              <w:pStyle w:val="Compact"/>
              <w:jc w:val="left"/>
            </w:pPr>
            <w:r>
              <w:t xml:space="preserve">Ruta de escalada</w:t>
            </w:r>
          </w:p>
        </w:tc>
        <w:tc>
          <w:tcPr/>
          <w:p>
            <w:pPr>
              <w:pStyle w:val="Compact"/>
              <w:jc w:val="left"/>
            </w:pPr>
            <w:r>
              <w:t xml:space="preserve">Agente principal, gerente de servicio, legal, seguridad o respuesta de emergencia</w:t>
            </w:r>
          </w:p>
        </w:tc>
      </w:tr>
      <w:tr>
        <w:tc>
          <w:tcPr/>
          <w:p>
            <w:pPr>
              <w:pStyle w:val="Compact"/>
              <w:jc w:val="left"/>
            </w:pPr>
            <w:r>
              <w:t xml:space="preserve">Propietario responsable</w:t>
            </w:r>
          </w:p>
        </w:tc>
        <w:tc>
          <w:tcPr/>
          <w:p>
            <w:pPr>
              <w:pStyle w:val="Compact"/>
              <w:jc w:val="left"/>
            </w:pPr>
            <w:r>
              <w:t xml:space="preserve">Director de Operaciones de Viajeros</w:t>
            </w:r>
          </w:p>
        </w:tc>
      </w:tr>
      <w:tr>
        <w:tc>
          <w:tcPr/>
          <w:p>
            <w:pPr>
              <w:pStyle w:val="Compact"/>
              <w:jc w:val="left"/>
            </w:pPr>
            <w:r>
              <w:t xml:space="preserve">Reto correcto</w:t>
            </w:r>
          </w:p>
        </w:tc>
        <w:tc>
          <w:tcPr/>
          <w:p>
            <w:pPr>
              <w:pStyle w:val="Compact"/>
              <w:jc w:val="left"/>
            </w:pPr>
            <w:r>
              <w:t xml:space="preserve">El viajero puede solicitar corrección o revisión humana</w:t>
            </w:r>
          </w:p>
        </w:tc>
      </w:tr>
    </w:tbl>
    <w:bookmarkEnd w:id="142"/>
    <w:bookmarkStart w:id="143" w:name="terceros-y-contratistas"/>
    <w:p>
      <w:pPr>
        <w:pStyle w:val="Heading2"/>
      </w:pPr>
      <w:r>
        <w:rPr>
          <w:rStyle w:val="SectionNumber"/>
        </w:rPr>
        <w:t xml:space="preserve">1.109</w:t>
      </w:r>
      <w:r>
        <w:tab/>
      </w:r>
      <w:r>
        <w:t xml:space="preserve">12.9 Terceros y contratistas</w:t>
      </w:r>
    </w:p>
    <w:p>
      <w:pPr>
        <w:pStyle w:val="FirstParagraph"/>
      </w:pPr>
      <w:r>
        <w:t xml:space="preserve">Los contratistas, consultores, personal temporario, personal de servicios gestionados y proveedores externos pertinentes deben completar la capacitación apropiada para las funciones antes de que se conceda el acceso. Los contratos deben abordar la competencia, el uso aprobado, la confidencialidad, la notificación de incidentes, los subcontratistas, la retención de pruebas, el readiestramiento y la suspensión del acceso.</w:t>
      </w:r>
    </w:p>
    <w:bookmarkEnd w:id="143"/>
    <w:bookmarkStart w:id="144" w:name="activadores-de-entrenamiento"/>
    <w:p>
      <w:pPr>
        <w:pStyle w:val="Heading2"/>
      </w:pPr>
      <w:r>
        <w:rPr>
          <w:rStyle w:val="SectionNumber"/>
        </w:rPr>
        <w:t xml:space="preserve">1.110</w:t>
      </w:r>
      <w:r>
        <w:tab/>
      </w:r>
      <w:r>
        <w:t xml:space="preserve">12.10 Activadores de entrenamiento</w:t>
      </w:r>
    </w:p>
    <w:p>
      <w:pPr>
        <w:pStyle w:val="FirstParagraph"/>
      </w:pPr>
      <w:r>
        <w:t xml:space="preserve">La capacitación se debe asignar o actualizar cuando se introduce un nuevo sistema de IA, un cambio de rol, el modelo o cambios materiales de flujo de trabajo, se introduce una nueva población afectada, se produce un incidente o una queja, el seguimiento revela errores recurrentes, cambios de ley, un proveedor cambia una característica material, o una auditoría identifica competencia insuficiente.</w:t>
      </w:r>
    </w:p>
    <w:bookmarkEnd w:id="144"/>
    <w:bookmarkStart w:id="145" w:name="condiciones-de-parada-y-escalada"/>
    <w:p>
      <w:pPr>
        <w:pStyle w:val="Heading2"/>
      </w:pPr>
      <w:r>
        <w:rPr>
          <w:rStyle w:val="SectionNumber"/>
        </w:rPr>
        <w:t xml:space="preserve">1.111</w:t>
      </w:r>
      <w:r>
        <w:tab/>
      </w:r>
      <w:r>
        <w:t xml:space="preserve">12.11 Condiciones de parada y escalada</w:t>
      </w:r>
    </w:p>
    <w:p>
      <w:pPr>
        <w:pStyle w:val="FirstParagraph"/>
      </w:pPr>
      <w:r>
        <w:t xml:space="preserve">El personal debe detener el uso normal y aumentar cuando la producción puede causar daños significativos, el sistema parece comprometido, la revisión humana obligatoria no puede realizarse, la información es insuficiente para validar la producción, el contenido es discriminatorio o inseguro, la información confidencial está expuesta, falta un aviso o registro requerido, o una persona afectada solicita una intervención humana que el flujo de trabajo no puede proporcionar.</w:t>
      </w:r>
    </w:p>
    <w:bookmarkEnd w:id="145"/>
    <w:bookmarkStart w:id="146" w:name="pruebas-11"/>
    <w:p>
      <w:pPr>
        <w:pStyle w:val="Heading2"/>
      </w:pPr>
      <w:r>
        <w:rPr>
          <w:rStyle w:val="SectionNumber"/>
        </w:rPr>
        <w:t xml:space="preserve">1.112</w:t>
      </w:r>
      <w:r>
        <w:tab/>
      </w:r>
      <w:r>
        <w:t xml:space="preserve">12.12 Pruebas</w:t>
      </w:r>
    </w:p>
    <w:p>
      <w:pPr>
        <w:pStyle w:val="FirstParagraph"/>
      </w:pPr>
      <w:r>
        <w:t xml:space="preserve">Mantener la política de alfabetización de la IA, el inventario de funciones, el análisis de las necesidades de capacitación, los planes de estudios, la historia de las versiones, los registros de la conclusión, los resultados de la evaluación, las demostraciones de competencia, las medidas correctivas, las pruebas de los contratistas, los registros de los iniciadores de capacitación, las aprobaciones de excepciones, las actas de examen de la gestión y los vínculos entre los incidentes y las mejoras de la capacitación.</w:t>
      </w:r>
    </w:p>
    <w:bookmarkEnd w:id="146"/>
    <w:bookmarkStart w:id="147" w:name="métricas-1"/>
    <w:p>
      <w:pPr>
        <w:pStyle w:val="Heading2"/>
      </w:pPr>
      <w:r>
        <w:rPr>
          <w:rStyle w:val="SectionNumber"/>
        </w:rPr>
        <w:t xml:space="preserve">1.113</w:t>
      </w:r>
      <w:r>
        <w:tab/>
      </w:r>
      <w:r>
        <w:t xml:space="preserve">12.13 Métricas</w:t>
      </w:r>
    </w:p>
    <w:p>
      <w:pPr>
        <w:pStyle w:val="FirstParagraph"/>
      </w:pPr>
      <w:r>
        <w:t xml:space="preserve">La administración debería examinar las tasas de asignación y finalización, las tasas de aprobación de cuotas, la capacitación atrasada, el readiestramiento después de cambios, los incidentes que entrañen un mal uso o malentendido, las tasas de anulación y aumento, las repetidas fallas de validación, el cumplimiento por los contratistas, el tiempo de rehabilitación y la confianza de los empleados en los problemas de producción de IA.</w:t>
      </w:r>
    </w:p>
    <w:p>
      <w:pPr>
        <w:pStyle w:val="BodyText"/>
      </w:pPr>
      <w:r>
        <w:t xml:space="preserve">Las métricas no deben recompensar la aceptación ciega. Los aumentos apropiados en las anulaciones o escaladas pueden mostrar que el personal está ejerciendo juicio.</w:t>
      </w:r>
    </w:p>
    <w:bookmarkEnd w:id="147"/>
    <w:bookmarkStart w:id="148" w:name="prueba-de-auditoría-10"/>
    <w:p>
      <w:pPr>
        <w:pStyle w:val="Heading2"/>
      </w:pPr>
      <w:r>
        <w:rPr>
          <w:rStyle w:val="SectionNumber"/>
        </w:rPr>
        <w:t xml:space="preserve">1.114</w:t>
      </w:r>
      <w:r>
        <w:tab/>
      </w:r>
      <w:r>
        <w:t xml:space="preserve">12.14 Prueba de auditoría</w:t>
      </w:r>
    </w:p>
    <w:p>
      <w:pPr>
        <w:pStyle w:val="FirstParagraph"/>
      </w:pPr>
      <w:r>
        <w:t xml:space="preserve">Un auditor debe probar los sistemas de IA en todos los niveles y funciones de riesgo; identificar todas las funciones de funcionamiento, revisión, aprobación, adquisición, mantenimiento y auditoría; comparar el aprendizaje con la autoridad y el riesgo reales; verificar la capacitación específica del sistema; inspeccionar las pruebas de competencia; probar el conocimiento de los límites y las condiciones de parada; rastrear los cambios en el sistema de readiestramiento; examinar los incidentes relacionados con las causas fundamentales de la alfabetización; verificar la cobertura de los contratistas; y confirmar la rehabilitación de la gestión.</w:t>
      </w:r>
    </w:p>
    <w:bookmarkEnd w:id="148"/>
    <w:bookmarkStart w:id="149" w:name="X7c0ac6a524249bec268a6a6c8aa552c23af803c"/>
    <w:p>
      <w:pPr>
        <w:pStyle w:val="Heading2"/>
      </w:pPr>
      <w:r>
        <w:rPr>
          <w:rStyle w:val="SectionNumber"/>
        </w:rPr>
        <w:t xml:space="preserve">1.115</w:t>
      </w:r>
      <w:r>
        <w:tab/>
      </w:r>
      <w:r>
        <w:t xml:space="preserve">12.15 Especificación gráfica del proceso formal</w:t>
      </w:r>
    </w:p>
    <w:p>
      <w:pPr>
        <w:pStyle w:val="FirstParagraph"/>
      </w:pPr>
      <w:r>
        <w:rPr>
          <w:bCs/>
          <w:b/>
        </w:rPr>
        <w:t xml:space="preserve">Figura 12-1 — Ciclo de vida de la alfabetización y la competencia en materia de IA basado en funciones</w:t>
      </w:r>
    </w:p>
    <w:p>
      <w:pPr>
        <w:pStyle w:val="BodyText"/>
      </w:pPr>
      <w:r>
        <w:rPr>
          <w:rStyle w:val="VerbatimChar"/>
        </w:rPr>
        <w:t xml:space="preserve">Sistema de IA identificado → funciones y personas afectadas mapeadas → requisitos de competencia definidos → aprendizaje basado en funciones impartido → competencia probada en situaciones realistas → acceso aprobado → desempeño supervisado → cambio o incidente activa el reentrenamiento</w:t>
      </w:r>
    </w:p>
    <w:p>
      <w:pPr>
        <w:pStyle w:val="BodyText"/>
      </w:pPr>
      <w:r>
        <w:t xml:space="preserve">Utilice dos pistas alineadas:</w:t>
      </w:r>
    </w:p>
    <w:p>
      <w:pPr>
        <w:numPr>
          <w:ilvl w:val="0"/>
          <w:numId w:val="1037"/>
        </w:numPr>
        <w:pStyle w:val="Compact"/>
      </w:pPr>
      <w:r>
        <w:t xml:space="preserve">** Vía de organización:** inventario, necesidades, capacitación, supervisión, pruebas.</w:t>
      </w:r>
    </w:p>
    <w:p>
      <w:pPr>
        <w:numPr>
          <w:ilvl w:val="0"/>
          <w:numId w:val="1037"/>
        </w:numPr>
        <w:pStyle w:val="Compact"/>
      </w:pPr>
      <w:r>
        <w:rPr>
          <w:bCs/>
          <w:b/>
        </w:rPr>
        <w:t xml:space="preserve">Human track:</w:t>
      </w:r>
      <w:r>
        <w:t xml:space="preserve"> </w:t>
      </w:r>
      <w:r>
        <w:t xml:space="preserve">entender, practicar, cuestionar, anular, escalar, mejorar.</w:t>
      </w:r>
    </w:p>
    <w:p>
      <w:pPr>
        <w:pStyle w:val="FirstParagraph"/>
      </w:pPr>
      <w:r>
        <w:t xml:space="preserve">** Preocupación humana:**</w:t>
      </w:r>
    </w:p>
    <w:p>
      <w:pPr>
        <w:pStyle w:val="BlockText"/>
      </w:pPr>
      <w:r>
        <w:t xml:space="preserve">“</w:t>
      </w:r>
      <w:r>
        <w:t xml:space="preserve">¿Sabe realmente la persona que revisa este sistema cuándo está mal?</w:t>
      </w:r>
      <w:r>
        <w:t xml:space="preserve">”</w:t>
      </w:r>
    </w:p>
    <w:p>
      <w:pPr>
        <w:pStyle w:val="FirstParagraph"/>
      </w:pPr>
      <w:r>
        <w:t xml:space="preserve">** Texto Alt:** Un ciclo de vida de dos vías que muestra cómo una organización mapea los roles de IA, ofrece entrenamiento basado en roles, prueba la competencia, concede acceso, monitorea el rendimiento y reentrena a la gente después de cambios o incidentes.</w:t>
      </w:r>
    </w:p>
    <w:bookmarkEnd w:id="149"/>
    <w:bookmarkStart w:id="150" w:name="X76bca16ab8a1718fe5f1edb73ecf4f07ee8a925"/>
    <w:p>
      <w:pPr>
        <w:pStyle w:val="Heading2"/>
      </w:pPr>
      <w:r>
        <w:rPr>
          <w:rStyle w:val="SectionNumber"/>
        </w:rPr>
        <w:t xml:space="preserve">1.116</w:t>
      </w:r>
      <w:r>
        <w:tab/>
      </w:r>
      <w:r>
        <w:t xml:space="preserve">12.16 Gráfico original del lugar de trabajo-Saciro</w:t>
      </w:r>
    </w:p>
    <w:p>
      <w:pPr>
        <w:pStyle w:val="FirstParagraph"/>
      </w:pPr>
      <w:r>
        <w:rPr>
          <w:bCs/>
          <w:b/>
        </w:rPr>
        <w:t xml:space="preserve">Figura 12-2:</w:t>
      </w:r>
      <w:r>
        <w:rPr>
          <w:bCs/>
          <w:b/>
        </w:rPr>
        <w:t xml:space="preserve"> </w:t>
      </w:r>
      <w:r>
        <w:rPr>
          <w:bCs/>
          <w:b/>
        </w:rPr>
        <w:t xml:space="preserve">“</w:t>
      </w:r>
      <w:r>
        <w:rPr>
          <w:bCs/>
          <w:b/>
        </w:rPr>
        <w:t xml:space="preserve">Todo el mundo pasó el entrenamiento</w:t>
      </w:r>
      <w:r>
        <w:rPr>
          <w:bCs/>
          <w:b/>
        </w:rPr>
        <w:t xml:space="preserve">”</w:t>
      </w:r>
    </w:p>
    <w:p>
      <w:pPr>
        <w:pStyle w:val="BodyText"/>
      </w:pPr>
      <w:r>
        <w:t xml:space="preserve">Escena: Un gerente apunta con orgullo a un tablero que muestra 100% de capacitación completa. Además, un empleado pregunta a un sistema de IA si un viajero necesita una visa, recibe tres respuestas contradictorias, y hace clic en</w:t>
      </w:r>
      <w:r>
        <w:t xml:space="preserve"> </w:t>
      </w:r>
      <w:r>
        <w:t xml:space="preserve">“</w:t>
      </w:r>
      <w:r>
        <w:t xml:space="preserve">Aprobar todo.</w:t>
      </w:r>
      <w:r>
        <w:t xml:space="preserve">”</w:t>
      </w:r>
    </w:p>
    <w:p>
      <w:pPr>
        <w:pStyle w:val="BodyText"/>
      </w:pPr>
      <w:r>
        <w:t xml:space="preserve">Título:</w:t>
      </w:r>
    </w:p>
    <w:p>
      <w:pPr>
        <w:pStyle w:val="BlockText"/>
      </w:pPr>
      <w:r>
        <w:t xml:space="preserve">“</w:t>
      </w:r>
      <w:r>
        <w:t xml:space="preserve">La tasa de finalización del curso fue excelente. La tasa de competencia todavía estaba cargando.</w:t>
      </w:r>
      <w:r>
        <w:t xml:space="preserve">”</w:t>
      </w:r>
    </w:p>
    <w:p>
      <w:pPr>
        <w:pStyle w:val="FirstParagraph"/>
      </w:pPr>
      <w:r>
        <w:t xml:space="preserve">Lección de control: Las estadísticas de finalización no prueban que el personal pueda identificar productos poco fiables, ejercer juicio o proteger a las personas afectadas.</w:t>
      </w:r>
    </w:p>
    <w:p>
      <w:pPr>
        <w:pStyle w:val="BodyText"/>
      </w:pPr>
      <w:r>
        <w:t xml:space="preserve">** Texto Alt:** Un gerente de oficina celebra la completa finalización de entrenamiento de IA, mientras que un empleado aprueba ciegamente las respuestas contradictorias de IA sobre la visa de viajero.</w:t>
      </w:r>
    </w:p>
    <w:bookmarkEnd w:id="150"/>
    <w:bookmarkStart w:id="151" w:name="toma-de-llaves"/>
    <w:p>
      <w:pPr>
        <w:pStyle w:val="Heading2"/>
      </w:pPr>
      <w:r>
        <w:rPr>
          <w:rStyle w:val="SectionNumber"/>
        </w:rPr>
        <w:t xml:space="preserve">1.117</w:t>
      </w:r>
      <w:r>
        <w:tab/>
      </w:r>
      <w:r>
        <w:t xml:space="preserve">12.17 Toma de llaves</w:t>
      </w:r>
    </w:p>
    <w:p>
      <w:pPr>
        <w:pStyle w:val="FirstParagraph"/>
      </w:pPr>
      <w:r>
        <w:t xml:space="preserve">La alfabetización de IA no es un ejercicio de conciencia de una sola vez, sino un control de gobernanza que conecta el conocimiento y el juicio de cada persona con el sistema real, la decisión, el riesgo y las personas afectadas.</w:t>
      </w:r>
    </w:p>
    <w:bookmarkEnd w:id="151"/>
    <w:bookmarkStart w:id="152" w:name="fuentes-oficiales"/>
    <w:p>
      <w:pPr>
        <w:pStyle w:val="Heading2"/>
      </w:pPr>
      <w:r>
        <w:rPr>
          <w:rStyle w:val="SectionNumber"/>
        </w:rPr>
        <w:t xml:space="preserve">1.118</w:t>
      </w:r>
      <w:r>
        <w:tab/>
      </w:r>
      <w:r>
        <w:t xml:space="preserve">12.18 Fuentes oficiales</w:t>
      </w:r>
    </w:p>
    <w:p>
      <w:pPr>
        <w:numPr>
          <w:ilvl w:val="0"/>
          <w:numId w:val="1038"/>
        </w:numPr>
        <w:pStyle w:val="Compact"/>
      </w:pPr>
      <w:r>
        <w:t xml:space="preserve">Reglamento (UE) 2024/1689, artículo 4 — Alfabetización de la IA.</w:t>
      </w:r>
    </w:p>
    <w:p>
      <w:pPr>
        <w:numPr>
          <w:ilvl w:val="0"/>
          <w:numId w:val="1038"/>
        </w:numPr>
        <w:pStyle w:val="Compact"/>
      </w:pPr>
      <w:r>
        <w:t xml:space="preserve">Comisión Europea, preguntas, respuestas y materiales de práctica de la IA.</w:t>
      </w:r>
    </w:p>
    <w:p>
      <w:pPr>
        <w:pStyle w:val="BlockText"/>
      </w:pPr>
      <w:r>
        <w:rPr>
          <w:bCs/>
          <w:b/>
        </w:rPr>
        <w:t xml:space="preserve">Nota de actualización jurídica:</w:t>
      </w:r>
      <w:r>
        <w:t xml:space="preserve"> </w:t>
      </w:r>
      <w:r>
        <w:t xml:space="preserve">Verificar la base de referencia normativa y el material oficial de aplicación de la Comisión inmediatamente antes de su publicación.</w:t>
      </w:r>
    </w:p>
    <w:bookmarkEnd w:id="152"/>
    <w:bookmarkStart w:id="153" w:name="X6af9f224f9195f7860dcd8334ca1b3d84fd8890"/>
    <w:p>
      <w:pPr>
        <w:pStyle w:val="Heading2"/>
      </w:pPr>
      <w:r>
        <w:rPr>
          <w:rStyle w:val="SectionNumber"/>
        </w:rPr>
        <w:t xml:space="preserve">1.119</w:t>
      </w:r>
      <w:r>
        <w:tab/>
      </w:r>
      <w:r>
        <w:t xml:space="preserve">Capítulo 13 — Política y normas en materia de IA</w:t>
      </w:r>
    </w:p>
    <w:p>
      <w:pPr>
        <w:pStyle w:val="BlockText"/>
      </w:pPr>
      <w:r>
        <w:rPr>
          <w:bCs/>
          <w:b/>
        </w:rPr>
        <w:t xml:space="preserve">Estatus legal:</w:t>
      </w:r>
      <w:r>
        <w:t xml:space="preserve"> </w:t>
      </w:r>
      <w:r>
        <w:t xml:space="preserve">Corregido Maestro Inglés. Las políticas y normas de IA organizacional operacionalizan las decisiones de gobernanza, pero no reemplazan la ley vinculante, contrato, reglas sectoriales, obligaciones de conformidad, o instrucciones de autoridad.</w:t>
      </w:r>
    </w:p>
    <w:bookmarkEnd w:id="153"/>
    <w:bookmarkStart w:id="154" w:name="requisito-11"/>
    <w:p>
      <w:pPr>
        <w:pStyle w:val="Heading2"/>
      </w:pPr>
      <w:r>
        <w:rPr>
          <w:rStyle w:val="SectionNumber"/>
        </w:rPr>
        <w:t xml:space="preserve">1.120</w:t>
      </w:r>
      <w:r>
        <w:tab/>
      </w:r>
      <w:r>
        <w:t xml:space="preserve">Requisito</w:t>
      </w:r>
    </w:p>
    <w:p>
      <w:pPr>
        <w:pStyle w:val="FirstParagraph"/>
      </w:pPr>
      <w:r>
        <w:t xml:space="preserve">Las organizaciones deben mantener políticas de IA aprobadas y controladas por versiones y normas de apoyo que definan el alcance, las funciones, los usos permitidos y prohibidos, los controles del ciclo de vida, la escalada, las pruebas, las excepciones y los factores desencadenantes de la revisión.</w:t>
      </w:r>
    </w:p>
    <w:bookmarkEnd w:id="154"/>
    <w:bookmarkStart w:id="155" w:name="explicación-en-lenguaje-sencillo-9"/>
    <w:p>
      <w:pPr>
        <w:pStyle w:val="Heading2"/>
      </w:pPr>
      <w:r>
        <w:rPr>
          <w:rStyle w:val="SectionNumber"/>
        </w:rPr>
        <w:t xml:space="preserve">1.121</w:t>
      </w:r>
      <w:r>
        <w:tab/>
      </w:r>
      <w:r>
        <w:t xml:space="preserve">Explicación en lenguaje sencillo</w:t>
      </w:r>
    </w:p>
    <w:p>
      <w:pPr>
        <w:pStyle w:val="FirstParagraph"/>
      </w:pPr>
      <w:r>
        <w:t xml:space="preserve">Una política explica lo que la organización requiere y quién es responsable. Las normas explican las condiciones mínimas de control que los sistemas, modelos, proveedores y usuarios deben cumplir. Cada requisito debe identificar si proviene de la ley, contrato, política interna o práctica recomendada.</w:t>
      </w:r>
    </w:p>
    <w:bookmarkEnd w:id="155"/>
    <w:bookmarkStart w:id="156" w:name="ejemplo-de-globalway-9"/>
    <w:p>
      <w:pPr>
        <w:pStyle w:val="Heading2"/>
      </w:pPr>
      <w:r>
        <w:rPr>
          <w:rStyle w:val="SectionNumber"/>
        </w:rPr>
        <w:t xml:space="preserve">1.122</w:t>
      </w:r>
      <w:r>
        <w:tab/>
      </w:r>
      <w:r>
        <w:t xml:space="preserve">Ejemplo de GlobalWay</w:t>
      </w:r>
    </w:p>
    <w:p>
      <w:pPr>
        <w:pStyle w:val="FirstParagraph"/>
      </w:pPr>
      <w:r>
        <w:t xml:space="preserve">GlobalWay adopta una política de IA empresarial que cubre clientes, trabajadores, adquisiciones, seguridad, privacidad y uso de IA generativa. Los estándares de apoyo definen inventario, clasificación, supervisión humana, transparencia, seguridad, pruebas, debida diligencia del proveedor, respuesta a incidentes y retención de pruebas.</w:t>
      </w:r>
    </w:p>
    <w:bookmarkEnd w:id="156"/>
    <w:bookmarkStart w:id="157" w:name="actividad-de-control-10"/>
    <w:p>
      <w:pPr>
        <w:pStyle w:val="Heading2"/>
      </w:pPr>
      <w:r>
        <w:rPr>
          <w:rStyle w:val="SectionNumber"/>
        </w:rPr>
        <w:t xml:space="preserve">1.123</w:t>
      </w:r>
      <w:r>
        <w:tab/>
      </w:r>
      <w:r>
        <w:t xml:space="preserve">Actividad de control</w:t>
      </w:r>
    </w:p>
    <w:p>
      <w:pPr>
        <w:numPr>
          <w:ilvl w:val="0"/>
          <w:numId w:val="1039"/>
        </w:numPr>
        <w:pStyle w:val="Compact"/>
      </w:pPr>
      <w:r>
        <w:t xml:space="preserve">aprobar políticas y normas mediante una gobernanza definida;</w:t>
      </w:r>
    </w:p>
    <w:p>
      <w:pPr>
        <w:numPr>
          <w:ilvl w:val="0"/>
          <w:numId w:val="1039"/>
        </w:numPr>
        <w:pStyle w:val="Compact"/>
      </w:pPr>
      <w:r>
        <w:t xml:space="preserve">cartografiar los requisitos para las funciones, sistemas, jurisdicciones y fechas de los actores;</w:t>
      </w:r>
    </w:p>
    <w:p>
      <w:pPr>
        <w:numPr>
          <w:ilvl w:val="0"/>
          <w:numId w:val="1039"/>
        </w:numPr>
        <w:pStyle w:val="Compact"/>
      </w:pPr>
      <w:r>
        <w:t xml:space="preserve">publicar procedimientos y excepciones específicos para cada función;</w:t>
      </w:r>
    </w:p>
    <w:p>
      <w:pPr>
        <w:numPr>
          <w:ilvl w:val="0"/>
          <w:numId w:val="1039"/>
        </w:numPr>
        <w:pStyle w:val="Compact"/>
      </w:pPr>
      <w:r>
        <w:t xml:space="preserve">supervisar la adopción y el incumplimiento;</w:t>
      </w:r>
    </w:p>
    <w:p>
      <w:pPr>
        <w:numPr>
          <w:ilvl w:val="0"/>
          <w:numId w:val="1039"/>
        </w:numPr>
        <w:pStyle w:val="Compact"/>
      </w:pPr>
      <w:r>
        <w:t xml:space="preserve">revisión después de legal, sistema, proveedor, incidente, auditoría, o cambio de organización.</w:t>
      </w:r>
    </w:p>
    <w:bookmarkEnd w:id="157"/>
    <w:bookmarkStart w:id="158" w:name="pruebas-12"/>
    <w:p>
      <w:pPr>
        <w:pStyle w:val="Heading2"/>
      </w:pPr>
      <w:r>
        <w:rPr>
          <w:rStyle w:val="SectionNumber"/>
        </w:rPr>
        <w:t xml:space="preserve">1.124</w:t>
      </w:r>
      <w:r>
        <w:tab/>
      </w:r>
      <w:r>
        <w:t xml:space="preserve">Pruebas</w:t>
      </w:r>
    </w:p>
    <w:p>
      <w:pPr>
        <w:pStyle w:val="FirstParagraph"/>
      </w:pPr>
      <w:r>
        <w:t xml:space="preserve">Política aprobada, normas, matriz de propiedad, historial de versiones, comunicaciones, certificaciones, registro de excepciones, mapas de control y registros de revisión.</w:t>
      </w:r>
    </w:p>
    <w:bookmarkEnd w:id="158"/>
    <w:bookmarkStart w:id="159" w:name="prueba-de-auditoría-11"/>
    <w:p>
      <w:pPr>
        <w:pStyle w:val="Heading2"/>
      </w:pPr>
      <w:r>
        <w:rPr>
          <w:rStyle w:val="SectionNumber"/>
        </w:rPr>
        <w:t xml:space="preserve">1.125</w:t>
      </w:r>
      <w:r>
        <w:tab/>
      </w:r>
      <w:r>
        <w:t xml:space="preserve">Prueba de auditoría</w:t>
      </w:r>
    </w:p>
    <w:p>
      <w:pPr>
        <w:pStyle w:val="FirstParagraph"/>
      </w:pPr>
      <w:r>
        <w:t xml:space="preserve">Verifique la aprobación, el alcance, la moneda, la trazabilidad de la fuente, la comunicación, las pruebas de implementación, el manejo de excepciones y la coherencia con las operaciones reales.</w:t>
      </w:r>
    </w:p>
    <w:bookmarkEnd w:id="159"/>
    <w:bookmarkStart w:id="160" w:name="X2489d382f4254ff60e7fcbdc9069d908ed1bd75"/>
    <w:p>
      <w:pPr>
        <w:pStyle w:val="Heading2"/>
      </w:pPr>
      <w:r>
        <w:rPr>
          <w:rStyle w:val="SectionNumber"/>
        </w:rPr>
        <w:t xml:space="preserve">1.126</w:t>
      </w:r>
      <w:r>
        <w:tab/>
      </w:r>
      <w:r>
        <w:t xml:space="preserve">Capítulo 14 — Modelo operativo de gobernanza de la IA</w:t>
      </w:r>
    </w:p>
    <w:p>
      <w:pPr>
        <w:pStyle w:val="BlockText"/>
      </w:pPr>
      <w:r>
        <w:rPr>
          <w:bCs/>
          <w:b/>
        </w:rPr>
        <w:t xml:space="preserve">Estatus legal:</w:t>
      </w:r>
      <w:r>
        <w:t xml:space="preserve"> </w:t>
      </w:r>
      <w:r>
        <w:t xml:space="preserve">Maestro inglés corregido. El modelo operativo es un mecanismo de gobernanza organizacional. Debe apoyar, pero no reemplazar, deberes específicos del actor bajo la ley aplicable.</w:t>
      </w:r>
    </w:p>
    <w:bookmarkEnd w:id="160"/>
    <w:bookmarkStart w:id="161" w:name="requisito-12"/>
    <w:p>
      <w:pPr>
        <w:pStyle w:val="Heading2"/>
      </w:pPr>
      <w:r>
        <w:rPr>
          <w:rStyle w:val="SectionNumber"/>
        </w:rPr>
        <w:t xml:space="preserve">1.127</w:t>
      </w:r>
      <w:r>
        <w:tab/>
      </w:r>
      <w:r>
        <w:t xml:space="preserve">Requisito</w:t>
      </w:r>
    </w:p>
    <w:p>
      <w:pPr>
        <w:pStyle w:val="FirstParagraph"/>
      </w:pPr>
      <w:r>
        <w:t xml:space="preserve">La organización debe definir cómo se toman, impugnan, intensifican, documentan y supervisan las decisiones de IA entre las entidades jurídicas, las unidades de negocio, las tecnologías y las jurisdicciones.</w:t>
      </w:r>
    </w:p>
    <w:bookmarkEnd w:id="161"/>
    <w:bookmarkStart w:id="162" w:name="explicación-en-lenguaje-sencillo-10"/>
    <w:p>
      <w:pPr>
        <w:pStyle w:val="Heading2"/>
      </w:pPr>
      <w:r>
        <w:rPr>
          <w:rStyle w:val="SectionNumber"/>
        </w:rPr>
        <w:t xml:space="preserve">1.128</w:t>
      </w:r>
      <w:r>
        <w:tab/>
      </w:r>
      <w:r>
        <w:t xml:space="preserve">Explicación en lenguaje sencillo</w:t>
      </w:r>
    </w:p>
    <w:p>
      <w:pPr>
        <w:pStyle w:val="FirstParagraph"/>
      </w:pPr>
      <w:r>
        <w:t xml:space="preserve">Un modelo operativo convierte la política en trabajo repetible, identifica foros, derechos de decisión, puertas del ciclo de vida, propietarios responsables, desafío de segunda línea, garantía independiente, rutas de escalada y evidencia requerida.</w:t>
      </w:r>
    </w:p>
    <w:bookmarkEnd w:id="162"/>
    <w:bookmarkStart w:id="163" w:name="ejemplo-de-globalway-10"/>
    <w:p>
      <w:pPr>
        <w:pStyle w:val="Heading2"/>
      </w:pPr>
      <w:r>
        <w:rPr>
          <w:rStyle w:val="SectionNumber"/>
        </w:rPr>
        <w:t xml:space="preserve">1.129</w:t>
      </w:r>
      <w:r>
        <w:tab/>
      </w:r>
      <w:r>
        <w:t xml:space="preserve">Ejemplo de GlobalWay</w:t>
      </w:r>
    </w:p>
    <w:p>
      <w:pPr>
        <w:pStyle w:val="FirstParagraph"/>
      </w:pPr>
      <w:r>
        <w:t xml:space="preserve">GlobalWay establece un consejo de gobernanza de IA, propietarios de sistemas empresariales, revisión legal y de cumplimiento, revisión de privacidad y seguridad, controles de adquisiciones, propietarios de supervisión humana y cobertura de auditoría interna.</w:t>
      </w:r>
    </w:p>
    <w:bookmarkEnd w:id="163"/>
    <w:bookmarkStart w:id="164" w:name="actividad-de-control-11"/>
    <w:p>
      <w:pPr>
        <w:pStyle w:val="Heading2"/>
      </w:pPr>
      <w:r>
        <w:rPr>
          <w:rStyle w:val="SectionNumber"/>
        </w:rPr>
        <w:t xml:space="preserve">1.130</w:t>
      </w:r>
      <w:r>
        <w:tab/>
      </w:r>
      <w:r>
        <w:t xml:space="preserve">Actividad de control</w:t>
      </w:r>
    </w:p>
    <w:p>
      <w:pPr>
        <w:numPr>
          <w:ilvl w:val="0"/>
          <w:numId w:val="1040"/>
        </w:numPr>
        <w:pStyle w:val="Compact"/>
      </w:pPr>
      <w:r>
        <w:t xml:space="preserve">definir los órganos de gobierno y los derechos de decisión;</w:t>
      </w:r>
    </w:p>
    <w:p>
      <w:pPr>
        <w:numPr>
          <w:ilvl w:val="0"/>
          <w:numId w:val="1040"/>
        </w:numPr>
        <w:pStyle w:val="Compact"/>
      </w:pPr>
      <w:r>
        <w:t xml:space="preserve">asignar funciones responsables, responsables, consultadas e informadas;</w:t>
      </w:r>
    </w:p>
    <w:p>
      <w:pPr>
        <w:numPr>
          <w:ilvl w:val="0"/>
          <w:numId w:val="1040"/>
        </w:numPr>
        <w:pStyle w:val="Compact"/>
      </w:pPr>
      <w:r>
        <w:t xml:space="preserve">establecer la admisión, clasificación, aprobación, supervisión, cambio, incidentes y puertas de jubilación;</w:t>
      </w:r>
    </w:p>
    <w:p>
      <w:pPr>
        <w:numPr>
          <w:ilvl w:val="0"/>
          <w:numId w:val="1040"/>
        </w:numPr>
        <w:pStyle w:val="Compact"/>
      </w:pPr>
      <w:r>
        <w:t xml:space="preserve">definir los umbrales de escalada y los registros de decisiones;</w:t>
      </w:r>
    </w:p>
    <w:p>
      <w:pPr>
        <w:numPr>
          <w:ilvl w:val="0"/>
          <w:numId w:val="1040"/>
        </w:numPr>
        <w:pStyle w:val="Compact"/>
      </w:pPr>
      <w:r>
        <w:t xml:space="preserve">comprobar si los foros de gobernanza funcionan según lo previsto.</w:t>
      </w:r>
    </w:p>
    <w:bookmarkEnd w:id="164"/>
    <w:bookmarkStart w:id="165" w:name="pruebas-13"/>
    <w:p>
      <w:pPr>
        <w:pStyle w:val="Heading2"/>
      </w:pPr>
      <w:r>
        <w:rPr>
          <w:rStyle w:val="SectionNumber"/>
        </w:rPr>
        <w:t xml:space="preserve">1.131</w:t>
      </w:r>
      <w:r>
        <w:tab/>
      </w:r>
      <w:r>
        <w:t xml:space="preserve">Pruebas</w:t>
      </w:r>
    </w:p>
    <w:p>
      <w:pPr>
        <w:pStyle w:val="FirstParagraph"/>
      </w:pPr>
      <w:r>
        <w:t xml:space="preserve">Cartas, matrices RACI, actas de reuniones, registros de decisiones, aprobaciones, registros de escalada, salidas de puertas del ciclo de vida e informes de seguridad.</w:t>
      </w:r>
    </w:p>
    <w:bookmarkEnd w:id="165"/>
    <w:bookmarkStart w:id="166" w:name="prueba-de-auditoría-12"/>
    <w:p>
      <w:pPr>
        <w:pStyle w:val="Heading2"/>
      </w:pPr>
      <w:r>
        <w:rPr>
          <w:rStyle w:val="SectionNumber"/>
        </w:rPr>
        <w:t xml:space="preserve">1.132</w:t>
      </w:r>
      <w:r>
        <w:tab/>
      </w:r>
      <w:r>
        <w:t xml:space="preserve">Prueba de auditoría</w:t>
      </w:r>
    </w:p>
    <w:p>
      <w:pPr>
        <w:pStyle w:val="FirstParagraph"/>
      </w:pPr>
      <w:r>
        <w:t xml:space="preserve">Muestra las decisiones de IA del material y verifica que el foro correcto, roles, evidencia, impugnación, aprobación y escalada fueron aplicados.</w:t>
      </w:r>
    </w:p>
    <w:bookmarkEnd w:id="166"/>
    <w:bookmarkStart w:id="167" w:name="X8a67d4d55426be5ba905e484d182ed3d149482d"/>
    <w:p>
      <w:pPr>
        <w:pStyle w:val="Heading2"/>
      </w:pPr>
      <w:r>
        <w:rPr>
          <w:rStyle w:val="SectionNumber"/>
        </w:rPr>
        <w:t xml:space="preserve">1.133</w:t>
      </w:r>
      <w:r>
        <w:tab/>
      </w:r>
      <w:r>
        <w:t xml:space="preserve">Capítulo 15 — Funciones de gobernanza de la IA y rendición de cuentas</w:t>
      </w:r>
    </w:p>
    <w:p>
      <w:pPr>
        <w:pStyle w:val="BlockText"/>
      </w:pPr>
      <w:r>
        <w:rPr>
          <w:bCs/>
          <w:b/>
        </w:rPr>
        <w:t xml:space="preserve">Estatus legal:</w:t>
      </w:r>
      <w:r>
        <w:t xml:space="preserve"> </w:t>
      </w:r>
      <w:r>
        <w:t xml:space="preserve">Maestro inglés corregido. Las tareas internas apoyan la rendición de cuentas, pero no alteran los roles de actor legal ni transfieren obligaciones legales simplemente por política o contrato.</w:t>
      </w:r>
    </w:p>
    <w:bookmarkEnd w:id="167"/>
    <w:bookmarkStart w:id="168" w:name="requisito-13"/>
    <w:p>
      <w:pPr>
        <w:pStyle w:val="Heading2"/>
      </w:pPr>
      <w:r>
        <w:rPr>
          <w:rStyle w:val="SectionNumber"/>
        </w:rPr>
        <w:t xml:space="preserve">1.134</w:t>
      </w:r>
      <w:r>
        <w:tab/>
      </w:r>
      <w:r>
        <w:t xml:space="preserve">Requisito</w:t>
      </w:r>
    </w:p>
    <w:p>
      <w:pPr>
        <w:pStyle w:val="FirstParagraph"/>
      </w:pPr>
      <w:r>
        <w:t xml:space="preserve">La organización debe asignar a los sistemas de IA, modelos, datos, riesgos, cumplimiento, privacidad, seguridad, supervisión humana, proveedores, incidentes, pruebas y respuesta de auditoría.</w:t>
      </w:r>
    </w:p>
    <w:bookmarkEnd w:id="168"/>
    <w:bookmarkStart w:id="169" w:name="explicación-en-lenguaje-sencillo-11"/>
    <w:p>
      <w:pPr>
        <w:pStyle w:val="Heading2"/>
      </w:pPr>
      <w:r>
        <w:rPr>
          <w:rStyle w:val="SectionNumber"/>
        </w:rPr>
        <w:t xml:space="preserve">1.135</w:t>
      </w:r>
      <w:r>
        <w:tab/>
      </w:r>
      <w:r>
        <w:t xml:space="preserve">Explicación en lenguaje sencillo</w:t>
      </w:r>
    </w:p>
    <w:p>
      <w:pPr>
        <w:pStyle w:val="FirstParagraph"/>
      </w:pPr>
      <w:r>
        <w:t xml:space="preserve">Cada actividad de IA material necesita un propietario responsable con autoridad, competencia, recursos y una ruta clara de escalada. La responsabilidad compartida no debe convertirse en responsabilidad ajena.</w:t>
      </w:r>
    </w:p>
    <w:bookmarkEnd w:id="169"/>
    <w:bookmarkStart w:id="170" w:name="ejemplo-de-globalway-11"/>
    <w:p>
      <w:pPr>
        <w:pStyle w:val="Heading2"/>
      </w:pPr>
      <w:r>
        <w:rPr>
          <w:rStyle w:val="SectionNumber"/>
        </w:rPr>
        <w:t xml:space="preserve">1.136</w:t>
      </w:r>
      <w:r>
        <w:tab/>
      </w:r>
      <w:r>
        <w:t xml:space="preserve">Ejemplo de GlobalWay</w:t>
      </w:r>
    </w:p>
    <w:p>
      <w:pPr>
        <w:pStyle w:val="FirstParagraph"/>
      </w:pPr>
      <w:r>
        <w:t xml:space="preserve">GlobalWay asigna un propietario de negocio y un propietario técnico a cada sistema de IA, con responsabilidades separadas de riesgo, legales, privacidad, seguridad, datos, supervisión humana y proveedores.El consejo de gobierno resuelve conflictos y aprueba el riesgo residual dentro de la autoridad legal.</w:t>
      </w:r>
    </w:p>
    <w:bookmarkEnd w:id="170"/>
    <w:bookmarkStart w:id="171" w:name="actividad-de-control-12"/>
    <w:p>
      <w:pPr>
        <w:pStyle w:val="Heading2"/>
      </w:pPr>
      <w:r>
        <w:rPr>
          <w:rStyle w:val="SectionNumber"/>
        </w:rPr>
        <w:t xml:space="preserve">1.137</w:t>
      </w:r>
      <w:r>
        <w:tab/>
      </w:r>
      <w:r>
        <w:t xml:space="preserve">Actividad de control</w:t>
      </w:r>
    </w:p>
    <w:p>
      <w:pPr>
        <w:numPr>
          <w:ilvl w:val="0"/>
          <w:numId w:val="1041"/>
        </w:numPr>
        <w:pStyle w:val="Compact"/>
      </w:pPr>
      <w:r>
        <w:t xml:space="preserve">la descripción de las funciones y los derechos de decisión;</w:t>
      </w:r>
    </w:p>
    <w:p>
      <w:pPr>
        <w:numPr>
          <w:ilvl w:val="0"/>
          <w:numId w:val="1041"/>
        </w:numPr>
        <w:pStyle w:val="Compact"/>
      </w:pPr>
      <w:r>
        <w:t xml:space="preserve">identificar las responsabilidades legales y contractuales por separado;</w:t>
      </w:r>
    </w:p>
    <w:p>
      <w:pPr>
        <w:numPr>
          <w:ilvl w:val="0"/>
          <w:numId w:val="1041"/>
        </w:numPr>
        <w:pStyle w:val="Compact"/>
      </w:pPr>
      <w:r>
        <w:t xml:space="preserve">verificar la competencia, la independencia, la autoridad y los recursos;</w:t>
      </w:r>
    </w:p>
    <w:p>
      <w:pPr>
        <w:numPr>
          <w:ilvl w:val="0"/>
          <w:numId w:val="1041"/>
        </w:numPr>
        <w:pStyle w:val="Compact"/>
      </w:pPr>
      <w:r>
        <w:t xml:space="preserve">prevenir los conflictos y los deberes incompatibles;</w:t>
      </w:r>
    </w:p>
    <w:p>
      <w:pPr>
        <w:numPr>
          <w:ilvl w:val="0"/>
          <w:numId w:val="1041"/>
        </w:numPr>
        <w:pStyle w:val="Compact"/>
      </w:pPr>
      <w:r>
        <w:t xml:space="preserve">reevaluar las funciones después de cambios en la organización, el sistema, el proveedor, la marca o el propósito.</w:t>
      </w:r>
    </w:p>
    <w:bookmarkEnd w:id="171"/>
    <w:bookmarkStart w:id="172" w:name="pruebas-14"/>
    <w:p>
      <w:pPr>
        <w:pStyle w:val="Heading2"/>
      </w:pPr>
      <w:r>
        <w:rPr>
          <w:rStyle w:val="SectionNumber"/>
        </w:rPr>
        <w:t xml:space="preserve">1.138</w:t>
      </w:r>
      <w:r>
        <w:tab/>
      </w:r>
      <w:r>
        <w:t xml:space="preserve">Pruebas</w:t>
      </w:r>
    </w:p>
    <w:p>
      <w:pPr>
        <w:pStyle w:val="FirstParagraph"/>
      </w:pPr>
      <w:r>
        <w:t xml:space="preserve">Descripción de roles, matrices RACI, delegaciones, registros de capacitación, evaluaciones de conflictos, aprobaciones, planes de sucesión y registros de escalada.</w:t>
      </w:r>
    </w:p>
    <w:bookmarkEnd w:id="172"/>
    <w:bookmarkStart w:id="173" w:name="prueba-de-auditoría-13"/>
    <w:p>
      <w:pPr>
        <w:pStyle w:val="Heading2"/>
      </w:pPr>
      <w:r>
        <w:rPr>
          <w:rStyle w:val="SectionNumber"/>
        </w:rPr>
        <w:t xml:space="preserve">1.139</w:t>
      </w:r>
      <w:r>
        <w:tab/>
      </w:r>
      <w:r>
        <w:t xml:space="preserve">Prueba de auditoría</w:t>
      </w:r>
    </w:p>
    <w:p>
      <w:pPr>
        <w:pStyle w:val="FirstParagraph"/>
      </w:pPr>
      <w:r>
        <w:t xml:space="preserve">Seleccionar sistemas y decisiones, luego confirmar la existencia de los propietarios nombrados, entender sus deberes, ejercer la autoridad, retener pruebas y aumentar las cuestiones adecuadamente.</w:t>
      </w:r>
    </w:p>
    <w:bookmarkEnd w:id="173"/>
    <w:bookmarkStart w:id="174" w:name="capítulo-16-inventario-del-sistema-de-ia"/>
    <w:p>
      <w:pPr>
        <w:pStyle w:val="Heading2"/>
      </w:pPr>
      <w:r>
        <w:rPr>
          <w:rStyle w:val="SectionNumber"/>
        </w:rPr>
        <w:t xml:space="preserve">1.140</w:t>
      </w:r>
      <w:r>
        <w:tab/>
      </w:r>
      <w:r>
        <w:t xml:space="preserve">Capítulo 16 — Inventario del sistema de IA</w:t>
      </w:r>
    </w:p>
    <w:p>
      <w:pPr>
        <w:pStyle w:val="BlockText"/>
      </w:pPr>
      <w:r>
        <w:rPr>
          <w:bCs/>
          <w:b/>
        </w:rPr>
        <w:t xml:space="preserve">Estatus legal:</w:t>
      </w:r>
      <w:r>
        <w:t xml:space="preserve"> </w:t>
      </w:r>
      <w:r>
        <w:t xml:space="preserve">master inglés corregido. Un inventario de IA es un mecanismo de gobernanza y evidencia. Sus campos requeridos y retención dependen de la ley aplicable, rol de actor, sistema, uso, contrato y política organizacional.</w:t>
      </w:r>
    </w:p>
    <w:bookmarkEnd w:id="174"/>
    <w:bookmarkStart w:id="175" w:name="requisito-14"/>
    <w:p>
      <w:pPr>
        <w:pStyle w:val="Heading2"/>
      </w:pPr>
      <w:r>
        <w:rPr>
          <w:rStyle w:val="SectionNumber"/>
        </w:rPr>
        <w:t xml:space="preserve">1.141</w:t>
      </w:r>
      <w:r>
        <w:tab/>
      </w:r>
      <w:r>
        <w:t xml:space="preserve">Requisito</w:t>
      </w:r>
    </w:p>
    <w:p>
      <w:pPr>
        <w:pStyle w:val="FirstParagraph"/>
      </w:pPr>
      <w:r>
        <w:t xml:space="preserve">La organización debe mantener un inventario completo, actual y vinculado a versiones de sistemas de IA, modelos, casos de uso, personas jurídicas, roles de actores, fines previstos, personas afectadas, jurisdicciones, proveedores, datos, propietarios, clasificaciones y estado del ciclo de vida.</w:t>
      </w:r>
    </w:p>
    <w:bookmarkEnd w:id="175"/>
    <w:bookmarkStart w:id="176" w:name="explicación-en-lenguaje-sencillo-12"/>
    <w:p>
      <w:pPr>
        <w:pStyle w:val="Heading2"/>
      </w:pPr>
      <w:r>
        <w:rPr>
          <w:rStyle w:val="SectionNumber"/>
        </w:rPr>
        <w:t xml:space="preserve">1.142</w:t>
      </w:r>
      <w:r>
        <w:tab/>
      </w:r>
      <w:r>
        <w:t xml:space="preserve">Explicación en lenguaje sencillo</w:t>
      </w:r>
    </w:p>
    <w:p>
      <w:pPr>
        <w:pStyle w:val="FirstParagraph"/>
      </w:pPr>
      <w:r>
        <w:t xml:space="preserve">Una organización no puede gobernar lo que no puede identificar. El inventario es el registro controlado que conecta cada uso de IA con la propiedad, análisis legales, riesgo, controles, evidencia, monitoreo y cambio de historia.</w:t>
      </w:r>
    </w:p>
    <w:bookmarkEnd w:id="176"/>
    <w:bookmarkStart w:id="177" w:name="ejemplo-de-globalway-12"/>
    <w:p>
      <w:pPr>
        <w:pStyle w:val="Heading2"/>
      </w:pPr>
      <w:r>
        <w:rPr>
          <w:rStyle w:val="SectionNumber"/>
        </w:rPr>
        <w:t xml:space="preserve">1.143</w:t>
      </w:r>
      <w:r>
        <w:tab/>
      </w:r>
      <w:r>
        <w:t xml:space="preserve">Ejemplo de GlobalWay</w:t>
      </w:r>
    </w:p>
    <w:p>
      <w:pPr>
        <w:pStyle w:val="FirstParagraph"/>
      </w:pPr>
      <w:r>
        <w:t xml:space="preserve">GlobalWay inventaria chatbots de clientes, recomendaciones de itinerarios, análisis de fraude, herramientas de mano de obra, puntuación de proveedores y asistentes de inteligencia artificial. Cada registro identifica la versión implementada, proveedor, propietario de negocio, rol legal, exposición de la UE, clasificación, categorías de datos, supervisión y fecha de revisión.</w:t>
      </w:r>
    </w:p>
    <w:bookmarkEnd w:id="177"/>
    <w:bookmarkStart w:id="178" w:name="actividad-de-control-13"/>
    <w:p>
      <w:pPr>
        <w:pStyle w:val="Heading2"/>
      </w:pPr>
      <w:r>
        <w:rPr>
          <w:rStyle w:val="SectionNumber"/>
        </w:rPr>
        <w:t xml:space="preserve">1.144</w:t>
      </w:r>
      <w:r>
        <w:tab/>
      </w:r>
      <w:r>
        <w:t xml:space="preserve">Actividad de control</w:t>
      </w:r>
    </w:p>
    <w:p>
      <w:pPr>
        <w:numPr>
          <w:ilvl w:val="0"/>
          <w:numId w:val="1042"/>
        </w:numPr>
        <w:pStyle w:val="Compact"/>
      </w:pPr>
      <w:r>
        <w:t xml:space="preserve">exigir el registro del inventario antes de la adquisición, el desarrollo, el ensayo o el despliegue;</w:t>
      </w:r>
    </w:p>
    <w:p>
      <w:pPr>
        <w:numPr>
          <w:ilvl w:val="0"/>
          <w:numId w:val="1042"/>
        </w:numPr>
        <w:pStyle w:val="Compact"/>
      </w:pPr>
      <w:r>
        <w:t xml:space="preserve">conciliar la adquisición, la nube, la seguridad, los datos, las finanzas y los registros comerciales;</w:t>
      </w:r>
    </w:p>
    <w:p>
      <w:pPr>
        <w:numPr>
          <w:ilvl w:val="0"/>
          <w:numId w:val="1042"/>
        </w:numPr>
        <w:pStyle w:val="Compact"/>
      </w:pPr>
      <w:r>
        <w:t xml:space="preserve">vincular los sistemas a modelos, versiones, proveedores y usos posteriores;</w:t>
      </w:r>
    </w:p>
    <w:p>
      <w:pPr>
        <w:numPr>
          <w:ilvl w:val="0"/>
          <w:numId w:val="1042"/>
        </w:numPr>
        <w:pStyle w:val="Compact"/>
      </w:pPr>
      <w:r>
        <w:t xml:space="preserve">realizar un seguimiento del estado desde el concepto hasta la jubilación;</w:t>
      </w:r>
    </w:p>
    <w:p>
      <w:pPr>
        <w:numPr>
          <w:ilvl w:val="0"/>
          <w:numId w:val="1042"/>
        </w:numPr>
        <w:pStyle w:val="Compact"/>
      </w:pPr>
      <w:r>
        <w:t xml:space="preserve">revisión después de cambios materiales, incidentes, auditorías o desarrollo legal.</w:t>
      </w:r>
    </w:p>
    <w:bookmarkEnd w:id="178"/>
    <w:bookmarkStart w:id="179" w:name="pruebas-15"/>
    <w:p>
      <w:pPr>
        <w:pStyle w:val="Heading2"/>
      </w:pPr>
      <w:r>
        <w:rPr>
          <w:rStyle w:val="SectionNumber"/>
        </w:rPr>
        <w:t xml:space="preserve">1.145</w:t>
      </w:r>
      <w:r>
        <w:tab/>
      </w:r>
      <w:r>
        <w:t xml:space="preserve">Pruebas</w:t>
      </w:r>
    </w:p>
    <w:p>
      <w:pPr>
        <w:pStyle w:val="FirstParagraph"/>
      </w:pPr>
      <w:r>
        <w:t xml:space="preserve">Registros de inventario, informes de conciliación, certificaciones de propiedad, resultados de descubrimiento, historial de cambios, registros de excepciones y registros de jubilación.</w:t>
      </w:r>
    </w:p>
    <w:bookmarkEnd w:id="179"/>
    <w:bookmarkStart w:id="180" w:name="prueba-de-auditoría-14"/>
    <w:p>
      <w:pPr>
        <w:pStyle w:val="Heading2"/>
      </w:pPr>
      <w:r>
        <w:rPr>
          <w:rStyle w:val="SectionNumber"/>
        </w:rPr>
        <w:t xml:space="preserve">1.146</w:t>
      </w:r>
      <w:r>
        <w:tab/>
      </w:r>
      <w:r>
        <w:t xml:space="preserve">Prueba de auditoría</w:t>
      </w:r>
    </w:p>
    <w:p>
      <w:pPr>
        <w:pStyle w:val="FirstParagraph"/>
      </w:pPr>
      <w:r>
        <w:t xml:space="preserve">Reconcilie una muestra de compras conocidas relacionadas con IA, aplicaciones, API, repositorios y procesos de negocio al inventario e investigue omisiones o registros rancios.</w:t>
      </w:r>
    </w:p>
    <w:bookmarkEnd w:id="180"/>
    <w:bookmarkStart w:id="181" w:name="X03a1e68ca783b2fe1e042e4350bc49013c1183c"/>
    <w:p>
      <w:pPr>
        <w:pStyle w:val="Heading2"/>
      </w:pPr>
      <w:r>
        <w:rPr>
          <w:rStyle w:val="SectionNumber"/>
        </w:rPr>
        <w:t xml:space="preserve">1.147</w:t>
      </w:r>
      <w:r>
        <w:tab/>
      </w:r>
      <w:r>
        <w:t xml:space="preserve">Capítulo 17 — Admisión de IA y triaje inicial</w:t>
      </w:r>
    </w:p>
    <w:p>
      <w:pPr>
        <w:pStyle w:val="BlockText"/>
      </w:pPr>
      <w:r>
        <w:rPr>
          <w:bCs/>
          <w:b/>
        </w:rPr>
        <w:t xml:space="preserve">Estatus legal:</w:t>
      </w:r>
      <w:r>
        <w:t xml:space="preserve"> </w:t>
      </w:r>
      <w:r>
        <w:t xml:space="preserve">Corregido Maestro Inglés. La admisión y triaje son controles organizacionales utilizados para identificar las revisiones legales, de riesgo, seguridad, privacidad, compras y operaciones antes de que una actividad de IA proceda.</w:t>
      </w:r>
    </w:p>
    <w:bookmarkEnd w:id="181"/>
    <w:bookmarkStart w:id="182" w:name="requisito-15"/>
    <w:p>
      <w:pPr>
        <w:pStyle w:val="Heading2"/>
      </w:pPr>
      <w:r>
        <w:rPr>
          <w:rStyle w:val="SectionNumber"/>
        </w:rPr>
        <w:t xml:space="preserve">1.148</w:t>
      </w:r>
      <w:r>
        <w:tab/>
      </w:r>
      <w:r>
        <w:t xml:space="preserve">Requisito</w:t>
      </w:r>
    </w:p>
    <w:p>
      <w:pPr>
        <w:pStyle w:val="FirstParagraph"/>
      </w:pPr>
      <w:r>
        <w:t xml:space="preserve">La organización debe requerir un proceso documentado de admisión y triaje antes de desarrollar, comprar, configurar, pilotar, cambiar materialmente o implementar un sistema o modelo de IA.</w:t>
      </w:r>
    </w:p>
    <w:bookmarkEnd w:id="182"/>
    <w:bookmarkStart w:id="183" w:name="explicación-en-lenguaje-sencillo-13"/>
    <w:p>
      <w:pPr>
        <w:pStyle w:val="Heading2"/>
      </w:pPr>
      <w:r>
        <w:rPr>
          <w:rStyle w:val="SectionNumber"/>
        </w:rPr>
        <w:t xml:space="preserve">1.149</w:t>
      </w:r>
      <w:r>
        <w:tab/>
      </w:r>
      <w:r>
        <w:t xml:space="preserve">Explicación en lenguaje sencillo</w:t>
      </w:r>
    </w:p>
    <w:p>
      <w:pPr>
        <w:pStyle w:val="FirstParagraph"/>
      </w:pPr>
      <w:r>
        <w:t xml:space="preserve">El proceso de admisión recoge suficiente información para decidir qué exámenes y aprobaciones son necesarios y debe identificar los hechos no resueltos antes de tiempo, en lugar de permitir que un proyecto proceda sobre la base de supuestos.</w:t>
      </w:r>
    </w:p>
    <w:bookmarkEnd w:id="183"/>
    <w:bookmarkStart w:id="184" w:name="ejemplo-de-globalway-13"/>
    <w:p>
      <w:pPr>
        <w:pStyle w:val="Heading2"/>
      </w:pPr>
      <w:r>
        <w:rPr>
          <w:rStyle w:val="SectionNumber"/>
        </w:rPr>
        <w:t xml:space="preserve">1.150</w:t>
      </w:r>
      <w:r>
        <w:tab/>
      </w:r>
      <w:r>
        <w:t xml:space="preserve">Ejemplo de GlobalWay</w:t>
      </w:r>
    </w:p>
    <w:p>
      <w:pPr>
        <w:pStyle w:val="FirstParagraph"/>
      </w:pPr>
      <w:r>
        <w:t xml:space="preserve">Antes de que un equipo de negocios pilote un asistente de viajes de IA, GlobalWay registra su propósito, proveedor, modelo, usuarios, personas afectadas, jurisdicciones, datos, nivel de automatización, supervisión humana, dependencias de proveedores y lanzamiento planificado. Triage conduce el uso a legal, privacidad, seguridad, adquisición, accesibilidad, riesgo y revisión técnica según corresponda.</w:t>
      </w:r>
    </w:p>
    <w:bookmarkEnd w:id="184"/>
    <w:bookmarkStart w:id="185" w:name="actividad-de-control-14"/>
    <w:p>
      <w:pPr>
        <w:pStyle w:val="Heading2"/>
      </w:pPr>
      <w:r>
        <w:rPr>
          <w:rStyle w:val="SectionNumber"/>
        </w:rPr>
        <w:t xml:space="preserve">1.151</w:t>
      </w:r>
      <w:r>
        <w:tab/>
      </w:r>
      <w:r>
        <w:t xml:space="preserve">Actividad de control</w:t>
      </w:r>
    </w:p>
    <w:p>
      <w:pPr>
        <w:numPr>
          <w:ilvl w:val="0"/>
          <w:numId w:val="1043"/>
        </w:numPr>
        <w:pStyle w:val="Compact"/>
      </w:pPr>
      <w:r>
        <w:t xml:space="preserve">exigir la admisión antes del compromiso o el despliegue;</w:t>
      </w:r>
    </w:p>
    <w:p>
      <w:pPr>
        <w:numPr>
          <w:ilvl w:val="0"/>
          <w:numId w:val="1043"/>
        </w:numPr>
        <w:pStyle w:val="Compact"/>
      </w:pPr>
      <w:r>
        <w:t xml:space="preserve">detección de prácticas prohibidas, uso de alto riesgo, obligaciones de transparencia, exposición a la GPAI, privacidad, seguridad, empleo, consumo, accesibilidad y requisitos sectoriales;</w:t>
      </w:r>
    </w:p>
    <w:p>
      <w:pPr>
        <w:numPr>
          <w:ilvl w:val="0"/>
          <w:numId w:val="1043"/>
        </w:numPr>
        <w:pStyle w:val="Compact"/>
      </w:pPr>
      <w:r>
        <w:t xml:space="preserve">documentar la falta de información y las restricciones provisionales;</w:t>
      </w:r>
    </w:p>
    <w:p>
      <w:pPr>
        <w:numPr>
          <w:ilvl w:val="0"/>
          <w:numId w:val="1043"/>
        </w:numPr>
        <w:pStyle w:val="Compact"/>
      </w:pPr>
      <w:r>
        <w:t xml:space="preserve">asignar a los revisores, plazos y requisitos probatorios;</w:t>
      </w:r>
    </w:p>
    <w:p>
      <w:pPr>
        <w:numPr>
          <w:ilvl w:val="0"/>
          <w:numId w:val="1043"/>
        </w:numPr>
        <w:pStyle w:val="Compact"/>
      </w:pPr>
      <w:r>
        <w:t xml:space="preserve">evitar la progresión hasta que se cumplan las puertas obligatorias o se apruebe una excepción legal.</w:t>
      </w:r>
    </w:p>
    <w:bookmarkEnd w:id="185"/>
    <w:bookmarkStart w:id="186" w:name="pruebas-16"/>
    <w:p>
      <w:pPr>
        <w:pStyle w:val="Heading2"/>
      </w:pPr>
      <w:r>
        <w:rPr>
          <w:rStyle w:val="SectionNumber"/>
        </w:rPr>
        <w:t xml:space="preserve">1.152</w:t>
      </w:r>
      <w:r>
        <w:tab/>
      </w:r>
      <w:r>
        <w:t xml:space="preserve">Pruebas</w:t>
      </w:r>
    </w:p>
    <w:p>
      <w:pPr>
        <w:pStyle w:val="FirstParagraph"/>
      </w:pPr>
      <w:r>
        <w:t xml:space="preserve">Completó formularios de admisión, decisiones de selección, asignaciones de revisores, resultados de selección, restricciones, aprobaciones, solicitudes rechazadas y registros de escalada.</w:t>
      </w:r>
    </w:p>
    <w:bookmarkEnd w:id="186"/>
    <w:bookmarkStart w:id="187" w:name="prueba-de-auditoría-15"/>
    <w:p>
      <w:pPr>
        <w:pStyle w:val="Heading2"/>
      </w:pPr>
      <w:r>
        <w:rPr>
          <w:rStyle w:val="SectionNumber"/>
        </w:rPr>
        <w:t xml:space="preserve">1.153</w:t>
      </w:r>
      <w:r>
        <w:tab/>
      </w:r>
      <w:r>
        <w:t xml:space="preserve">Prueba de auditoría</w:t>
      </w:r>
    </w:p>
    <w:p>
      <w:pPr>
        <w:pStyle w:val="FirstParagraph"/>
      </w:pPr>
      <w:r>
        <w:t xml:space="preserve">Muestra las iniciativas de IA nuevas y modificadas y verifica la ingesta oportuna, el triaje completo, el encaminamiento apropiado, las decisiones documentadas y la aplicación de las puertas necesarias.</w:t>
      </w:r>
    </w:p>
    <w:bookmarkEnd w:id="187"/>
    <w:bookmarkStart w:id="188" w:name="Xd5ae874a62fb8263670b24a877e3e5503eb46e1"/>
    <w:p>
      <w:pPr>
        <w:pStyle w:val="Heading2"/>
      </w:pPr>
      <w:r>
        <w:rPr>
          <w:rStyle w:val="SectionNumber"/>
        </w:rPr>
        <w:t xml:space="preserve">1.154</w:t>
      </w:r>
      <w:r>
        <w:tab/>
      </w:r>
      <w:r>
        <w:t xml:space="preserve">Capítulo 18 — Proveedor, Deployer, Importador, Distribuidor, Representante Autorizado y Análisis de Producto-Fabricante</w:t>
      </w:r>
    </w:p>
    <w:p>
      <w:pPr>
        <w:pStyle w:val="BlockText"/>
      </w:pPr>
      <w:r>
        <w:rPr>
          <w:bCs/>
          <w:b/>
        </w:rPr>
        <w:t xml:space="preserve">Situación jurídica:</w:t>
      </w:r>
      <w:r>
        <w:t xml:space="preserve"> </w:t>
      </w:r>
      <w:r>
        <w:t xml:space="preserve">master inglés corregido para consolidación.</w:t>
      </w:r>
    </w:p>
    <w:bookmarkEnd w:id="188"/>
    <w:bookmarkStart w:id="189" w:name="requisito-16"/>
    <w:p>
      <w:pPr>
        <w:pStyle w:val="Heading2"/>
      </w:pPr>
      <w:r>
        <w:rPr>
          <w:rStyle w:val="SectionNumber"/>
        </w:rPr>
        <w:t xml:space="preserve">1.155</w:t>
      </w:r>
      <w:r>
        <w:tab/>
      </w:r>
      <w:r>
        <w:t xml:space="preserve">Requisito</w:t>
      </w:r>
    </w:p>
    <w:p>
      <w:pPr>
        <w:pStyle w:val="FirstParagraph"/>
      </w:pPr>
      <w:r>
        <w:t xml:space="preserve">El proceso de admisión de IA debe determinar cada papel de actor aplicable por entidad jurídica, jurisdicción, etapa del ciclo de vida, sistema y modelo. La evaluación debe ser aprobada antes de la adquisición, el desarrollo, la colocación en el mercado, el despliegue, la distribución o el cambio material.</w:t>
      </w:r>
    </w:p>
    <w:bookmarkEnd w:id="189"/>
    <w:bookmarkStart w:id="194" w:name="método-de-evaluación"/>
    <w:p>
      <w:pPr>
        <w:pStyle w:val="Heading2"/>
      </w:pPr>
      <w:r>
        <w:rPr>
          <w:rStyle w:val="SectionNumber"/>
        </w:rPr>
        <w:t xml:space="preserve">1.156</w:t>
      </w:r>
      <w:r>
        <w:tab/>
      </w:r>
      <w:r>
        <w:t xml:space="preserve">Método de evaluación</w:t>
      </w:r>
    </w:p>
    <w:bookmarkStart w:id="190" w:name="paso-1-mapa-de-la-cadena-de-valor"/>
    <w:p>
      <w:pPr>
        <w:pStyle w:val="Heading3"/>
      </w:pPr>
      <w:r>
        <w:rPr>
          <w:rStyle w:val="SectionNumber"/>
        </w:rPr>
        <w:t xml:space="preserve">1.156.1</w:t>
      </w:r>
      <w:r>
        <w:tab/>
      </w:r>
      <w:r>
        <w:t xml:space="preserve">Paso 1 — Mapa de la cadena de valor</w:t>
      </w:r>
    </w:p>
    <w:p>
      <w:pPr>
        <w:pStyle w:val="FirstParagraph"/>
      </w:pPr>
      <w:r>
        <w:t xml:space="preserve">Identificar quién:</w:t>
      </w:r>
    </w:p>
    <w:p>
      <w:pPr>
        <w:numPr>
          <w:ilvl w:val="0"/>
          <w:numId w:val="1044"/>
        </w:numPr>
        <w:pStyle w:val="Compact"/>
      </w:pPr>
      <w:r>
        <w:t xml:space="preserve">desarrolla o encarga el desarrollo;</w:t>
      </w:r>
    </w:p>
    <w:p>
      <w:pPr>
        <w:numPr>
          <w:ilvl w:val="0"/>
          <w:numId w:val="1044"/>
        </w:numPr>
        <w:pStyle w:val="Compact"/>
      </w:pPr>
      <w:r>
        <w:t xml:space="preserve">posee o controla el modelo y el sistema;</w:t>
      </w:r>
    </w:p>
    <w:p>
      <w:pPr>
        <w:numPr>
          <w:ilvl w:val="0"/>
          <w:numId w:val="1044"/>
        </w:numPr>
        <w:pStyle w:val="Compact"/>
      </w:pPr>
      <w:r>
        <w:t xml:space="preserve">pone el sistema o modelo en el mercado;</w:t>
      </w:r>
    </w:p>
    <w:p>
      <w:pPr>
        <w:numPr>
          <w:ilvl w:val="0"/>
          <w:numId w:val="1044"/>
        </w:numPr>
        <w:pStyle w:val="Compact"/>
      </w:pPr>
      <w:r>
        <w:t xml:space="preserve">pone en servicio el sistema;</w:t>
      </w:r>
    </w:p>
    <w:p>
      <w:pPr>
        <w:numPr>
          <w:ilvl w:val="0"/>
          <w:numId w:val="1044"/>
        </w:numPr>
        <w:pStyle w:val="Compact"/>
      </w:pPr>
      <w:r>
        <w:t xml:space="preserve">la utiliza bajo su autoridad;</w:t>
      </w:r>
    </w:p>
    <w:p>
      <w:pPr>
        <w:numPr>
          <w:ilvl w:val="0"/>
          <w:numId w:val="1044"/>
        </w:numPr>
        <w:pStyle w:val="Compact"/>
      </w:pPr>
      <w:r>
        <w:t xml:space="preserve">importa o distribuye en la Unión;</w:t>
      </w:r>
    </w:p>
    <w:p>
      <w:pPr>
        <w:numPr>
          <w:ilvl w:val="0"/>
          <w:numId w:val="1044"/>
        </w:numPr>
        <w:pStyle w:val="Compact"/>
      </w:pPr>
      <w:r>
        <w:t xml:space="preserve">lo integra en un producto regulado;</w:t>
      </w:r>
    </w:p>
    <w:p>
      <w:pPr>
        <w:numPr>
          <w:ilvl w:val="0"/>
          <w:numId w:val="1044"/>
        </w:numPr>
        <w:pStyle w:val="Compact"/>
      </w:pPr>
      <w:r>
        <w:t xml:space="preserve">la comercializa bajo un nombre o marca comercial;</w:t>
      </w:r>
    </w:p>
    <w:p>
      <w:pPr>
        <w:numPr>
          <w:ilvl w:val="0"/>
          <w:numId w:val="1044"/>
        </w:numPr>
        <w:pStyle w:val="Compact"/>
      </w:pPr>
      <w:r>
        <w:t xml:space="preserve">la modifica o modifica su finalidad prevista;</w:t>
      </w:r>
    </w:p>
    <w:p>
      <w:pPr>
        <w:numPr>
          <w:ilvl w:val="0"/>
          <w:numId w:val="1044"/>
        </w:numPr>
        <w:pStyle w:val="Compact"/>
      </w:pPr>
      <w:r>
        <w:t xml:space="preserve">proporciona documentación, monitoreo y apoyo para incidentes.</w:t>
      </w:r>
    </w:p>
    <w:bookmarkEnd w:id="190"/>
    <w:bookmarkStart w:id="191" w:name="paso-2-evaluar-cada-función"/>
    <w:p>
      <w:pPr>
        <w:pStyle w:val="Heading3"/>
      </w:pPr>
      <w:r>
        <w:rPr>
          <w:rStyle w:val="SectionNumber"/>
        </w:rPr>
        <w:t xml:space="preserve">1.156.2</w:t>
      </w:r>
      <w:r>
        <w:tab/>
      </w:r>
      <w:r>
        <w:t xml:space="preserve">Paso 2 — Evaluar cada función</w:t>
      </w:r>
    </w:p>
    <w:p>
      <w:pPr>
        <w:pStyle w:val="FirstParagraph"/>
      </w:pPr>
      <w:r>
        <w:t xml:space="preserve">Registro Sí, No, o Incierto para el proveedor, desplieguer, importador, distribuidor, representante autorizado, fabricante de productos, proveedor de modelos GPAI, proveedor intermedio, y cualquier proveedor-papel de transferencia disparador.</w:t>
      </w:r>
    </w:p>
    <w:bookmarkEnd w:id="191"/>
    <w:bookmarkStart w:id="192" w:name="Xe1c3804e72a5632dd126e48ddbe748a8eb30453"/>
    <w:p>
      <w:pPr>
        <w:pStyle w:val="Heading3"/>
      </w:pPr>
      <w:r>
        <w:rPr>
          <w:rStyle w:val="SectionNumber"/>
        </w:rPr>
        <w:t xml:space="preserve">1.156.3</w:t>
      </w:r>
      <w:r>
        <w:tab/>
      </w:r>
      <w:r>
        <w:t xml:space="preserve">Paso 3 — Detonadores de transferencia de funciones del proveedor de pruebas</w:t>
      </w:r>
    </w:p>
    <w:p>
      <w:pPr>
        <w:pStyle w:val="FirstParagraph"/>
      </w:pPr>
      <w:r>
        <w:t xml:space="preserve">Escalar cuando un actor:</w:t>
      </w:r>
    </w:p>
    <w:p>
      <w:pPr>
        <w:numPr>
          <w:ilvl w:val="0"/>
          <w:numId w:val="1045"/>
        </w:numPr>
        <w:pStyle w:val="Compact"/>
      </w:pPr>
      <w:r>
        <w:t xml:space="preserve">ponga un sistema en el mercado o lo ponga en servicio con su propio nombre o marca comercial;</w:t>
      </w:r>
    </w:p>
    <w:p>
      <w:pPr>
        <w:numPr>
          <w:ilvl w:val="0"/>
          <w:numId w:val="1045"/>
        </w:numPr>
        <w:pStyle w:val="Compact"/>
      </w:pPr>
      <w:r>
        <w:t xml:space="preserve">realiza una modificación sustancial;</w:t>
      </w:r>
    </w:p>
    <w:p>
      <w:pPr>
        <w:numPr>
          <w:ilvl w:val="0"/>
          <w:numId w:val="1045"/>
        </w:numPr>
        <w:pStyle w:val="Compact"/>
      </w:pPr>
      <w:r>
        <w:t xml:space="preserve">modifica la finalidad prevista de modo que el sistema se convierta en un sistema de alto riesgo o cambie significativamente su tratamiento jurídico;</w:t>
      </w:r>
    </w:p>
    <w:p>
      <w:pPr>
        <w:numPr>
          <w:ilvl w:val="0"/>
          <w:numId w:val="1045"/>
        </w:numPr>
        <w:pStyle w:val="Compact"/>
      </w:pPr>
      <w:r>
        <w:t xml:space="preserve">integra un sistema de IA en un producto en condiciones que asignan responsabilidades al proveedor.</w:t>
      </w:r>
    </w:p>
    <w:bookmarkEnd w:id="192"/>
    <w:bookmarkStart w:id="193" w:name="medida-4-asignar-obligaciones"/>
    <w:p>
      <w:pPr>
        <w:pStyle w:val="Heading3"/>
      </w:pPr>
      <w:r>
        <w:rPr>
          <w:rStyle w:val="SectionNumber"/>
        </w:rPr>
        <w:t xml:space="preserve">1.156.4</w:t>
      </w:r>
      <w:r>
        <w:tab/>
      </w:r>
      <w:r>
        <w:t xml:space="preserve">Medida 4 — Asignar obligaciones</w:t>
      </w:r>
    </w:p>
    <w:p>
      <w:pPr>
        <w:pStyle w:val="FirstParagraph"/>
      </w:pPr>
      <w:r>
        <w:t xml:space="preserve">Para cada función confirmada, mapee los deberes aplicables, los propietarios responsables, la información requerida, las dependencias contractuales, las pruebas y los desencadenantes de la revisión.</w:t>
      </w:r>
    </w:p>
    <w:bookmarkEnd w:id="193"/>
    <w:bookmarkEnd w:id="194"/>
    <w:bookmarkStart w:id="195" w:name="controles-importantes"/>
    <w:p>
      <w:pPr>
        <w:pStyle w:val="Heading2"/>
      </w:pPr>
      <w:r>
        <w:rPr>
          <w:rStyle w:val="SectionNumber"/>
        </w:rPr>
        <w:t xml:space="preserve">1.157</w:t>
      </w:r>
      <w:r>
        <w:tab/>
      </w:r>
      <w:r>
        <w:t xml:space="preserve">Controles importantes</w:t>
      </w:r>
    </w:p>
    <w:p>
      <w:pPr>
        <w:numPr>
          <w:ilvl w:val="0"/>
          <w:numId w:val="1046"/>
        </w:numPr>
        <w:pStyle w:val="Compact"/>
      </w:pPr>
      <w:r>
        <w:t xml:space="preserve">No confíe únicamente en las etiquetas de funciones del contrato.</w:t>
      </w:r>
    </w:p>
    <w:p>
      <w:pPr>
        <w:numPr>
          <w:ilvl w:val="0"/>
          <w:numId w:val="1046"/>
        </w:numPr>
        <w:pStyle w:val="Compact"/>
      </w:pPr>
      <w:r>
        <w:t xml:space="preserve">Separar el modelo GPAI del sistema de IA aguas abajo.</w:t>
      </w:r>
    </w:p>
    <w:p>
      <w:pPr>
        <w:numPr>
          <w:ilvl w:val="0"/>
          <w:numId w:val="1046"/>
        </w:numPr>
        <w:pStyle w:val="Compact"/>
      </w:pPr>
      <w:r>
        <w:t xml:space="preserve">Evaluar cada afiliado de forma independiente.</w:t>
      </w:r>
    </w:p>
    <w:p>
      <w:pPr>
        <w:numPr>
          <w:ilvl w:val="0"/>
          <w:numId w:val="1046"/>
        </w:numPr>
        <w:pStyle w:val="Compact"/>
      </w:pPr>
      <w:r>
        <w:t xml:space="preserve">Registrar incertidumbres y obtener revisión legal.</w:t>
      </w:r>
    </w:p>
    <w:p>
      <w:pPr>
        <w:numPr>
          <w:ilvl w:val="0"/>
          <w:numId w:val="1046"/>
        </w:numPr>
        <w:pStyle w:val="Compact"/>
      </w:pPr>
      <w:r>
        <w:t xml:space="preserve">Reevaluar después de cambios de marca, integración, modificación, repurposición, entidad, proveedor o distribución.</w:t>
      </w:r>
    </w:p>
    <w:bookmarkEnd w:id="195"/>
    <w:bookmarkStart w:id="196" w:name="ejemplo-de-globalway-14"/>
    <w:p>
      <w:pPr>
        <w:pStyle w:val="Heading2"/>
      </w:pPr>
      <w:r>
        <w:rPr>
          <w:rStyle w:val="SectionNumber"/>
        </w:rPr>
        <w:t xml:space="preserve">1.158</w:t>
      </w:r>
      <w:r>
        <w:tab/>
      </w:r>
      <w:r>
        <w:t xml:space="preserve">Ejemplo de GlobalWay</w:t>
      </w:r>
    </w:p>
    <w:p>
      <w:pPr>
        <w:pStyle w:val="FirstParagraph"/>
      </w:pPr>
      <w:r>
        <w:t xml:space="preserve">GlobalWay despliega un asistente de viajes en la Unión. GlobalWay es normalmente el implementador. Un proveedor de fuera de la UE puede ser el proveedor, un afiliado de la UE puede ser el importador, y un revendedor puede ser el distribuidor. Si GlobalWay modifica sustancialmente y comercializa al asistente bajo su propio nombre, realiza una nueva evaluación de la función del proveedor antes de su liberación.</w:t>
      </w:r>
    </w:p>
    <w:bookmarkEnd w:id="196"/>
    <w:bookmarkStart w:id="197" w:name="actividad-de-control-15"/>
    <w:p>
      <w:pPr>
        <w:pStyle w:val="Heading2"/>
      </w:pPr>
      <w:r>
        <w:rPr>
          <w:rStyle w:val="SectionNumber"/>
        </w:rPr>
        <w:t xml:space="preserve">1.159</w:t>
      </w:r>
      <w:r>
        <w:tab/>
      </w:r>
      <w:r>
        <w:t xml:space="preserve">Actividad de control</w:t>
      </w:r>
    </w:p>
    <w:p>
      <w:pPr>
        <w:pStyle w:val="FirstParagraph"/>
      </w:pPr>
      <w:r>
        <w:t xml:space="preserve">La Oficina de Gobernanza de AI mantiene una matriz de funciones integrada con el inventario, la admisión, el examen de proveedores, el examen de contratos, el proceso de gestión del cambio y el registro de obligaciones reglamentarias.</w:t>
      </w:r>
    </w:p>
    <w:bookmarkEnd w:id="197"/>
    <w:bookmarkStart w:id="198" w:name="pruebas-17"/>
    <w:p>
      <w:pPr>
        <w:pStyle w:val="Heading2"/>
      </w:pPr>
      <w:r>
        <w:rPr>
          <w:rStyle w:val="SectionNumber"/>
        </w:rPr>
        <w:t xml:space="preserve">1.160</w:t>
      </w:r>
      <w:r>
        <w:tab/>
      </w:r>
      <w:r>
        <w:t xml:space="preserve">Pruebas</w:t>
      </w:r>
    </w:p>
    <w:p>
      <w:pPr>
        <w:numPr>
          <w:ilvl w:val="0"/>
          <w:numId w:val="1047"/>
        </w:numPr>
        <w:pStyle w:val="Compact"/>
      </w:pPr>
      <w:r>
        <w:t xml:space="preserve">mapa de la cadena de valor;</w:t>
      </w:r>
    </w:p>
    <w:p>
      <w:pPr>
        <w:numPr>
          <w:ilvl w:val="0"/>
          <w:numId w:val="1047"/>
        </w:numPr>
        <w:pStyle w:val="Compact"/>
      </w:pPr>
      <w:r>
        <w:t xml:space="preserve">hoja de trabajo sobre funciones;</w:t>
      </w:r>
    </w:p>
    <w:p>
      <w:pPr>
        <w:numPr>
          <w:ilvl w:val="0"/>
          <w:numId w:val="1047"/>
        </w:numPr>
        <w:pStyle w:val="Compact"/>
      </w:pPr>
      <w:r>
        <w:t xml:space="preserve">contratos y mandatos;</w:t>
      </w:r>
    </w:p>
    <w:p>
      <w:pPr>
        <w:numPr>
          <w:ilvl w:val="0"/>
          <w:numId w:val="1047"/>
        </w:numPr>
        <w:pStyle w:val="Compact"/>
      </w:pPr>
      <w:r>
        <w:t xml:space="preserve">pruebas de marcaje y comercialización;</w:t>
      </w:r>
    </w:p>
    <w:p>
      <w:pPr>
        <w:numPr>
          <w:ilvl w:val="0"/>
          <w:numId w:val="1047"/>
        </w:numPr>
        <w:pStyle w:val="Compact"/>
      </w:pPr>
      <w:r>
        <w:t xml:space="preserve">los registros técnicos y de modificación;</w:t>
      </w:r>
    </w:p>
    <w:p>
      <w:pPr>
        <w:numPr>
          <w:ilvl w:val="0"/>
          <w:numId w:val="1047"/>
        </w:numPr>
        <w:pStyle w:val="Compact"/>
      </w:pPr>
      <w:r>
        <w:t xml:space="preserve">declaración de finalidad prevista;</w:t>
      </w:r>
    </w:p>
    <w:p>
      <w:pPr>
        <w:numPr>
          <w:ilvl w:val="0"/>
          <w:numId w:val="1047"/>
        </w:numPr>
        <w:pStyle w:val="Compact"/>
      </w:pPr>
      <w:r>
        <w:t xml:space="preserve">aprobación legal;</w:t>
      </w:r>
    </w:p>
    <w:p>
      <w:pPr>
        <w:numPr>
          <w:ilvl w:val="0"/>
          <w:numId w:val="1047"/>
        </w:numPr>
        <w:pStyle w:val="Compact"/>
      </w:pPr>
      <w:r>
        <w:t xml:space="preserve">la obligación de cartografiar al propietario;</w:t>
      </w:r>
    </w:p>
    <w:p>
      <w:pPr>
        <w:numPr>
          <w:ilvl w:val="0"/>
          <w:numId w:val="1047"/>
        </w:numPr>
        <w:pStyle w:val="Compact"/>
      </w:pPr>
      <w:r>
        <w:t xml:space="preserve">Registro de reevaluación.</w:t>
      </w:r>
    </w:p>
    <w:bookmarkEnd w:id="198"/>
    <w:bookmarkStart w:id="199" w:name="prueba-de-auditoría-16"/>
    <w:p>
      <w:pPr>
        <w:pStyle w:val="Heading2"/>
      </w:pPr>
      <w:r>
        <w:rPr>
          <w:rStyle w:val="SectionNumber"/>
        </w:rPr>
        <w:t xml:space="preserve">1.161</w:t>
      </w:r>
      <w:r>
        <w:tab/>
      </w:r>
      <w:r>
        <w:t xml:space="preserve">Prueba de auditoría</w:t>
      </w:r>
    </w:p>
    <w:p>
      <w:pPr>
        <w:pStyle w:val="FirstParagraph"/>
      </w:pPr>
      <w:r>
        <w:t xml:space="preserve">Seleccione una muestra de IA desarrollada, adquirida, modificada, integrada y distribuida internamente. Confirme que cada entidad y rol relevante fue evaluado, que la conducta real apoya la conclusión, y que los desencadenantes de transferencia de roles son monitoreados.</w:t>
      </w:r>
    </w:p>
    <w:bookmarkEnd w:id="199"/>
    <w:bookmarkStart w:id="200" w:name="referencias-jurídicas-primarias-3"/>
    <w:p>
      <w:pPr>
        <w:pStyle w:val="Heading2"/>
      </w:pPr>
      <w:r>
        <w:rPr>
          <w:rStyle w:val="SectionNumber"/>
        </w:rPr>
        <w:t xml:space="preserve">1.162</w:t>
      </w:r>
      <w:r>
        <w:tab/>
      </w:r>
      <w:r>
        <w:t xml:space="preserve">Referencias jurídicas primarias</w:t>
      </w:r>
    </w:p>
    <w:p>
      <w:pPr>
        <w:numPr>
          <w:ilvl w:val="0"/>
          <w:numId w:val="1048"/>
        </w:numPr>
        <w:pStyle w:val="Compact"/>
      </w:pPr>
      <w:r>
        <w:t xml:space="preserve">Reglamento (UE) 2024/1689, modificado: artículo 3 y obligaciones aplicables de los agentes.</w:t>
      </w:r>
    </w:p>
    <w:p>
      <w:pPr>
        <w:numPr>
          <w:ilvl w:val="0"/>
          <w:numId w:val="1048"/>
        </w:numPr>
        <w:pStyle w:val="Compact"/>
      </w:pPr>
      <w:r>
        <w:t xml:space="preserve">Texto consolidado actual EUR-Lex.</w:t>
      </w:r>
    </w:p>
    <w:bookmarkEnd w:id="200"/>
    <w:bookmarkStart w:id="201" w:name="X068143b12f133c6717720d60630bd39cd26b73c"/>
    <w:p>
      <w:pPr>
        <w:pStyle w:val="Heading2"/>
      </w:pPr>
      <w:r>
        <w:rPr>
          <w:rStyle w:val="SectionNumber"/>
        </w:rPr>
        <w:t xml:space="preserve">1.163</w:t>
      </w:r>
      <w:r>
        <w:tab/>
      </w:r>
      <w:r>
        <w:t xml:space="preserve">Capítulo 19 — Decisión de clasificación y pruebas</w:t>
      </w:r>
    </w:p>
    <w:p>
      <w:pPr>
        <w:pStyle w:val="BlockText"/>
      </w:pPr>
      <w:r>
        <w:rPr>
          <w:bCs/>
          <w:b/>
        </w:rPr>
        <w:t xml:space="preserve">Estado legal:</w:t>
      </w:r>
      <w:r>
        <w:t xml:space="preserve"> </w:t>
      </w:r>
      <w:r>
        <w:t xml:space="preserve">Maestro inglés corregido. Las conclusiones de la clasificación deben basarse en la ley consolidada vigente, el propósito previsto del sistema, el rol de actor, el uso afectado y la fecha aplicable.</w:t>
      </w:r>
    </w:p>
    <w:bookmarkEnd w:id="201"/>
    <w:bookmarkStart w:id="202" w:name="requisito-17"/>
    <w:p>
      <w:pPr>
        <w:pStyle w:val="Heading2"/>
      </w:pPr>
      <w:r>
        <w:rPr>
          <w:rStyle w:val="SectionNumber"/>
        </w:rPr>
        <w:t xml:space="preserve">1.164</w:t>
      </w:r>
      <w:r>
        <w:tab/>
      </w:r>
      <w:r>
        <w:t xml:space="preserve">Requisito</w:t>
      </w:r>
    </w:p>
    <w:p>
      <w:pPr>
        <w:pStyle w:val="FirstParagraph"/>
      </w:pPr>
      <w:r>
        <w:t xml:space="preserve">Documentar si cada sistema de IA está prohibido, de alto riesgo, sujeto a obligaciones de transparencia, a un modelo de IA de uso general o a una integración descendente, o fuera de esas categorías.</w:t>
      </w:r>
    </w:p>
    <w:bookmarkEnd w:id="202"/>
    <w:bookmarkStart w:id="203" w:name="explicación-en-lenguaje-sencillo-14"/>
    <w:p>
      <w:pPr>
        <w:pStyle w:val="Heading2"/>
      </w:pPr>
      <w:r>
        <w:rPr>
          <w:rStyle w:val="SectionNumber"/>
        </w:rPr>
        <w:t xml:space="preserve">1.165</w:t>
      </w:r>
      <w:r>
        <w:tab/>
      </w:r>
      <w:r>
        <w:t xml:space="preserve">Explicación en lenguaje sencillo</w:t>
      </w:r>
    </w:p>
    <w:p>
      <w:pPr>
        <w:pStyle w:val="FirstParagraph"/>
      </w:pPr>
      <w:r>
        <w:t xml:space="preserve">Una etiqueta no es suficiente. El registro de decisión debe mostrar los hechos, disposiciones legales, suposiciones, exclusiones, revisor, y la fecha utilizada.</w:t>
      </w:r>
    </w:p>
    <w:bookmarkEnd w:id="203"/>
    <w:bookmarkStart w:id="204" w:name="ejemplo-de-globalway-15"/>
    <w:p>
      <w:pPr>
        <w:pStyle w:val="Heading2"/>
      </w:pPr>
      <w:r>
        <w:rPr>
          <w:rStyle w:val="SectionNumber"/>
        </w:rPr>
        <w:t xml:space="preserve">1.166</w:t>
      </w:r>
      <w:r>
        <w:tab/>
      </w:r>
      <w:r>
        <w:t xml:space="preserve">Ejemplo de GlobalWay</w:t>
      </w:r>
    </w:p>
    <w:p>
      <w:pPr>
        <w:pStyle w:val="FirstParagraph"/>
      </w:pPr>
      <w:r>
        <w:t xml:space="preserve">GlobalWay registra por qué un sistema de selección de la contratación se trata de manera diferente de un instrumento de recomendación de itinerarios y la incertidumbre de rutas a la revisión legal.</w:t>
      </w:r>
    </w:p>
    <w:bookmarkEnd w:id="204"/>
    <w:bookmarkStart w:id="205" w:name="actividad-de-control-16"/>
    <w:p>
      <w:pPr>
        <w:pStyle w:val="Heading2"/>
      </w:pPr>
      <w:r>
        <w:rPr>
          <w:rStyle w:val="SectionNumber"/>
        </w:rPr>
        <w:t xml:space="preserve">1.167</w:t>
      </w:r>
      <w:r>
        <w:tab/>
      </w:r>
      <w:r>
        <w:t xml:space="preserve">Actividad de control</w:t>
      </w:r>
    </w:p>
    <w:p>
      <w:pPr>
        <w:pStyle w:val="FirstParagraph"/>
      </w:pPr>
      <w:r>
        <w:t xml:space="preserve">Requerir un memorando de clasificación controlado por versión antes de la aprobación, cambio de material o despliegue en una nueva jurisdicción.</w:t>
      </w:r>
    </w:p>
    <w:bookmarkEnd w:id="205"/>
    <w:bookmarkStart w:id="206" w:name="pruebas-18"/>
    <w:p>
      <w:pPr>
        <w:pStyle w:val="Heading2"/>
      </w:pPr>
      <w:r>
        <w:rPr>
          <w:rStyle w:val="SectionNumber"/>
        </w:rPr>
        <w:t xml:space="preserve">1.168</w:t>
      </w:r>
      <w:r>
        <w:tab/>
      </w:r>
      <w:r>
        <w:t xml:space="preserve">Pruebas</w:t>
      </w:r>
    </w:p>
    <w:p>
      <w:pPr>
        <w:pStyle w:val="FirstParagraph"/>
      </w:pPr>
      <w:r>
        <w:t xml:space="preserve">Registro de inventario, declaración de propósito, evaluación de funciones, cartografía jurídica, memorando de decisión, aprobaciones e historial de revisión.</w:t>
      </w:r>
    </w:p>
    <w:bookmarkEnd w:id="206"/>
    <w:bookmarkStart w:id="207" w:name="prueba-de-auditoría-17"/>
    <w:p>
      <w:pPr>
        <w:pStyle w:val="Heading2"/>
      </w:pPr>
      <w:r>
        <w:rPr>
          <w:rStyle w:val="SectionNumber"/>
        </w:rPr>
        <w:t xml:space="preserve">1.169</w:t>
      </w:r>
      <w:r>
        <w:tab/>
      </w:r>
      <w:r>
        <w:t xml:space="preserve">Prueba de auditoría</w:t>
      </w:r>
    </w:p>
    <w:p>
      <w:pPr>
        <w:pStyle w:val="FirstParagraph"/>
      </w:pPr>
      <w:r>
        <w:t xml:space="preserve">Muestra las decisiones de clasificación y verifica que los hechos declarados, provisiones, roles de actor, versiones y fechas de aplicación apoyan la conclusión.</w:t>
      </w:r>
    </w:p>
    <w:bookmarkEnd w:id="207"/>
    <w:bookmarkStart w:id="208" w:name="capítulo-20-clasificación-de-alto-riesgo"/>
    <w:p>
      <w:pPr>
        <w:pStyle w:val="Heading2"/>
      </w:pPr>
      <w:r>
        <w:rPr>
          <w:rStyle w:val="SectionNumber"/>
        </w:rPr>
        <w:t xml:space="preserve">1.170</w:t>
      </w:r>
      <w:r>
        <w:tab/>
      </w:r>
      <w:r>
        <w:t xml:space="preserve">Capítulo 20 — Clasificación de alto riesgo</w:t>
      </w:r>
    </w:p>
    <w:bookmarkEnd w:id="208"/>
    <w:bookmarkStart w:id="209" w:name="estado-de-la-publicación-1"/>
    <w:p>
      <w:pPr>
        <w:pStyle w:val="Heading2"/>
      </w:pPr>
      <w:r>
        <w:rPr>
          <w:rStyle w:val="SectionNumber"/>
        </w:rPr>
        <w:t xml:space="preserve">1.171</w:t>
      </w:r>
      <w:r>
        <w:tab/>
      </w:r>
      <w:r>
        <w:t xml:space="preserve">Estado de la publicación</w:t>
      </w:r>
    </w:p>
    <w:p>
      <w:pPr>
        <w:pStyle w:val="FirstParagraph"/>
      </w:pPr>
      <w:r>
        <w:rPr>
          <w:bCs/>
          <w:b/>
        </w:rPr>
        <w:t xml:space="preserve">Texto original en inglés corregido legalmente.</w:t>
      </w:r>
      <w:r>
        <w:t xml:space="preserve"> </w:t>
      </w:r>
      <w:r>
        <w:t xml:space="preserve">Este capítulo reemplaza el lenguaje de clasificación de alto riesgo en borradores anteriores hasta que todos los archivos fuente sean reconciliados.</w:t>
      </w:r>
    </w:p>
    <w:bookmarkEnd w:id="209"/>
    <w:bookmarkStart w:id="210" w:name="finalidad-1"/>
    <w:p>
      <w:pPr>
        <w:pStyle w:val="Heading2"/>
      </w:pPr>
      <w:r>
        <w:rPr>
          <w:rStyle w:val="SectionNumber"/>
        </w:rPr>
        <w:t xml:space="preserve">1.172</w:t>
      </w:r>
      <w:r>
        <w:tab/>
      </w:r>
      <w:r>
        <w:t xml:space="preserve">Finalidad</w:t>
      </w:r>
    </w:p>
    <w:p>
      <w:pPr>
        <w:pStyle w:val="FirstParagraph"/>
      </w:pPr>
      <w:r>
        <w:t xml:space="preserve">Este capítulo explica cómo determinar si un sistema de IA es de alto riesgo con arreglo al artículo 6 del Reglamento (UE) 2024/1689, modificado por el Reglamento (UE) 2026/1744.</w:t>
      </w:r>
    </w:p>
    <w:bookmarkEnd w:id="210"/>
    <w:bookmarkStart w:id="211" w:name="requisito-18"/>
    <w:p>
      <w:pPr>
        <w:pStyle w:val="Heading2"/>
      </w:pPr>
      <w:r>
        <w:rPr>
          <w:rStyle w:val="SectionNumber"/>
        </w:rPr>
        <w:t xml:space="preserve">1.173</w:t>
      </w:r>
      <w:r>
        <w:tab/>
      </w:r>
      <w:r>
        <w:t xml:space="preserve">Requisito</w:t>
      </w:r>
    </w:p>
    <w:p>
      <w:pPr>
        <w:pStyle w:val="FirstParagraph"/>
      </w:pPr>
      <w:r>
        <w:t xml:space="preserve">Las organizaciones deben realizar y documentar una clasificación actual de alto riesgo para cada sistema de IA de material antes del despliegue y después de los cambios pertinentes.</w:t>
      </w:r>
    </w:p>
    <w:p>
      <w:pPr>
        <w:pStyle w:val="BodyText"/>
      </w:pPr>
      <w:r>
        <w:t xml:space="preserve">La clasificación debe distinguir:</w:t>
      </w:r>
    </w:p>
    <w:p>
      <w:pPr>
        <w:numPr>
          <w:ilvl w:val="0"/>
          <w:numId w:val="1049"/>
        </w:numPr>
        <w:pStyle w:val="Compact"/>
      </w:pPr>
      <w:r>
        <w:t xml:space="preserve">el artículo 6, apartado 1, sistemas conectados a los productos cubiertos por la legislación de armonización de la Unión del anexo I;</w:t>
      </w:r>
    </w:p>
    <w:p>
      <w:pPr>
        <w:numPr>
          <w:ilvl w:val="0"/>
          <w:numId w:val="1049"/>
        </w:numPr>
        <w:pStyle w:val="Compact"/>
      </w:pPr>
      <w:r>
        <w:t xml:space="preserve">los sistemas del artículo 6, apartado 2, utilizados a efectos del anexo III;</w:t>
      </w:r>
    </w:p>
    <w:p>
      <w:pPr>
        <w:numPr>
          <w:ilvl w:val="0"/>
          <w:numId w:val="1049"/>
        </w:numPr>
        <w:pStyle w:val="Compact"/>
      </w:pPr>
      <w:r>
        <w:t xml:space="preserve">los sistemas que figuran en el anexo III pero que pueden acogerse a la excepción del apartado 3 del artículo 6, cuando proceda;</w:t>
      </w:r>
    </w:p>
    <w:p>
      <w:pPr>
        <w:numPr>
          <w:ilvl w:val="0"/>
          <w:numId w:val="1049"/>
        </w:numPr>
        <w:pStyle w:val="Compact"/>
      </w:pPr>
      <w:r>
        <w:t xml:space="preserve">sistemas fuera del artículo 6 que puedan tener aún transparencia, GPAI, privacidad, empleo, consumo, seguridad, ciberseguridad o obligaciones sectoriales.</w:t>
      </w:r>
    </w:p>
    <w:bookmarkEnd w:id="211"/>
    <w:bookmarkStart w:id="212" w:name="explicación-en-lenguaje-sencillo-15"/>
    <w:p>
      <w:pPr>
        <w:pStyle w:val="Heading2"/>
      </w:pPr>
      <w:r>
        <w:rPr>
          <w:rStyle w:val="SectionNumber"/>
        </w:rPr>
        <w:t xml:space="preserve">1.174</w:t>
      </w:r>
      <w:r>
        <w:tab/>
      </w:r>
      <w:r>
        <w:t xml:space="preserve">Explicación en lenguaje sencillo</w:t>
      </w:r>
    </w:p>
    <w:p>
      <w:pPr>
        <w:pStyle w:val="FirstParagraph"/>
      </w:pPr>
      <w:r>
        <w:t xml:space="preserve">“</w:t>
      </w:r>
      <w:r>
        <w:t xml:space="preserve">Alto riesgo</w:t>
      </w:r>
      <w:r>
        <w:t xml:space="preserve">”</w:t>
      </w:r>
      <w:r>
        <w:t xml:space="preserve"> </w:t>
      </w:r>
      <w:r>
        <w:t xml:space="preserve">es una clasificación jurídica, no una descripción general de un sistema que parece importante o peligroso. El análisis debe seguir la vía del artículo 6 y el anexo correspondiente.</w:t>
      </w:r>
    </w:p>
    <w:p>
      <w:pPr>
        <w:pStyle w:val="BodyText"/>
      </w:pPr>
      <w:r>
        <w:t xml:space="preserve">Un sistema puede ser operacionalmente crítico sin ser de alto riesgo en virtud del artículo 6. Por el contrario, un sistema puede ser legalmente de alto riesgo incluso cuando la organización considera que su puntuación de riesgo interno es moderada.</w:t>
      </w:r>
    </w:p>
    <w:bookmarkEnd w:id="212"/>
    <w:bookmarkStart w:id="218" w:name="vía-de-clasificación"/>
    <w:p>
      <w:pPr>
        <w:pStyle w:val="Heading2"/>
      </w:pPr>
      <w:r>
        <w:rPr>
          <w:rStyle w:val="SectionNumber"/>
        </w:rPr>
        <w:t xml:space="preserve">1.175</w:t>
      </w:r>
      <w:r>
        <w:tab/>
      </w:r>
      <w:r>
        <w:t xml:space="preserve">Vía de clasificación</w:t>
      </w:r>
    </w:p>
    <w:bookmarkStart w:id="213" w:name="X22070cdc7e55ffe09f73691ef0de2fa622b6c9f"/>
    <w:p>
      <w:pPr>
        <w:pStyle w:val="Heading3"/>
      </w:pPr>
      <w:r>
        <w:rPr>
          <w:rStyle w:val="SectionNumber"/>
        </w:rPr>
        <w:t xml:space="preserve">1.175.1</w:t>
      </w:r>
      <w:r>
        <w:tab/>
      </w:r>
      <w:r>
        <w:t xml:space="preserve">Paso 1 — Confirmar el sistema y la finalidad prevista</w:t>
      </w:r>
    </w:p>
    <w:p>
      <w:pPr>
        <w:pStyle w:val="FirstParagraph"/>
      </w:pPr>
      <w:r>
        <w:t xml:space="preserve">Documento:</w:t>
      </w:r>
    </w:p>
    <w:p>
      <w:pPr>
        <w:numPr>
          <w:ilvl w:val="0"/>
          <w:numId w:val="1050"/>
        </w:numPr>
        <w:pStyle w:val="Compact"/>
      </w:pPr>
      <w:r>
        <w:t xml:space="preserve">el sistema de IA y los componentes del modelo;</w:t>
      </w:r>
    </w:p>
    <w:p>
      <w:pPr>
        <w:numPr>
          <w:ilvl w:val="0"/>
          <w:numId w:val="1050"/>
        </w:numPr>
        <w:pStyle w:val="Compact"/>
      </w:pPr>
      <w:r>
        <w:t xml:space="preserve">la finalidad prevista;</w:t>
      </w:r>
    </w:p>
    <w:p>
      <w:pPr>
        <w:numPr>
          <w:ilvl w:val="0"/>
          <w:numId w:val="1050"/>
        </w:numPr>
        <w:pStyle w:val="Compact"/>
      </w:pPr>
      <w:r>
        <w:t xml:space="preserve">usuarios y personas afectadas;</w:t>
      </w:r>
    </w:p>
    <w:p>
      <w:pPr>
        <w:numPr>
          <w:ilvl w:val="0"/>
          <w:numId w:val="1050"/>
        </w:numPr>
        <w:pStyle w:val="Compact"/>
      </w:pPr>
      <w:r>
        <w:t xml:space="preserve">las decisiones o los productos apoyados;</w:t>
      </w:r>
    </w:p>
    <w:p>
      <w:pPr>
        <w:numPr>
          <w:ilvl w:val="0"/>
          <w:numId w:val="1050"/>
        </w:numPr>
        <w:pStyle w:val="Compact"/>
      </w:pPr>
      <w:r>
        <w:t xml:space="preserve">países y sectores de despliegue;</w:t>
      </w:r>
    </w:p>
    <w:p>
      <w:pPr>
        <w:numPr>
          <w:ilvl w:val="0"/>
          <w:numId w:val="1050"/>
        </w:numPr>
        <w:pStyle w:val="Compact"/>
      </w:pPr>
      <w:r>
        <w:t xml:space="preserve">las funciones de proveedor e implementador;</w:t>
      </w:r>
    </w:p>
    <w:p>
      <w:pPr>
        <w:numPr>
          <w:ilvl w:val="0"/>
          <w:numId w:val="1050"/>
        </w:numPr>
        <w:pStyle w:val="Compact"/>
      </w:pPr>
      <w:r>
        <w:t xml:space="preserve">integración de productos;</w:t>
      </w:r>
    </w:p>
    <w:p>
      <w:pPr>
        <w:numPr>
          <w:ilvl w:val="0"/>
          <w:numId w:val="1050"/>
        </w:numPr>
        <w:pStyle w:val="Compact"/>
      </w:pPr>
      <w:r>
        <w:t xml:space="preserve">dependencias de los proveedores de materiales.</w:t>
      </w:r>
    </w:p>
    <w:bookmarkEnd w:id="213"/>
    <w:bookmarkStart w:id="214" w:name="fase-2-artículo-6-apartado-1-y-anexo-i"/>
    <w:p>
      <w:pPr>
        <w:pStyle w:val="Heading3"/>
      </w:pPr>
      <w:r>
        <w:rPr>
          <w:rStyle w:val="SectionNumber"/>
        </w:rPr>
        <w:t xml:space="preserve">1.175.2</w:t>
      </w:r>
      <w:r>
        <w:tab/>
      </w:r>
      <w:r>
        <w:t xml:space="preserve">Fase 2 — Artículo 6, apartado 1, y anexo I</w:t>
      </w:r>
    </w:p>
    <w:p>
      <w:pPr>
        <w:pStyle w:val="FirstParagraph"/>
      </w:pPr>
      <w:r>
        <w:t xml:space="preserve">Evaluar si el sistema de IA:</w:t>
      </w:r>
    </w:p>
    <w:p>
      <w:pPr>
        <w:numPr>
          <w:ilvl w:val="0"/>
          <w:numId w:val="1051"/>
        </w:numPr>
        <w:pStyle w:val="Compact"/>
      </w:pPr>
      <w:r>
        <w:t xml:space="preserve">esté destinado a utilizarse como componente de seguridad de un producto contemplado en el anexo I, o</w:t>
      </w:r>
    </w:p>
    <w:p>
      <w:pPr>
        <w:numPr>
          <w:ilvl w:val="0"/>
          <w:numId w:val="1051"/>
        </w:numPr>
        <w:pStyle w:val="Compact"/>
      </w:pPr>
      <w:r>
        <w:t xml:space="preserve">sea en sí mismo un producto contemplado en el anexo I;</w:t>
      </w:r>
    </w:p>
    <w:p>
      <w:pPr>
        <w:numPr>
          <w:ilvl w:val="0"/>
          <w:numId w:val="1051"/>
        </w:numPr>
        <w:pStyle w:val="Compact"/>
      </w:pPr>
      <w:r>
        <w:t xml:space="preserve">y está obligado a someterse a una evaluación de conformidad de terceros con arreglo a la legislación aplicable sobre el producto.</w:t>
      </w:r>
    </w:p>
    <w:p>
      <w:pPr>
        <w:pStyle w:val="FirstParagraph"/>
      </w:pPr>
      <w:r>
        <w:t xml:space="preserve">La fecha de aplicación modificada para los requisitos de las secciones 1 a 3 del capítulo III que rigen los sistemas del artículo 6, apartado 1, del anexo I es</w:t>
      </w:r>
      <w:r>
        <w:t xml:space="preserve"> </w:t>
      </w:r>
      <w:r>
        <w:rPr>
          <w:bCs/>
          <w:b/>
        </w:rPr>
        <w:t xml:space="preserve">2 de agosto de 2028</w:t>
      </w:r>
      <w:r>
        <w:t xml:space="preserve">. Esta fecha de retraso no debe utilizarse para aplazar las obligaciones aplicables de forma independiente.</w:t>
      </w:r>
    </w:p>
    <w:bookmarkEnd w:id="214"/>
    <w:bookmarkStart w:id="215" w:name="Xfd40a0ab81f6859cdf43870cee6111253381250"/>
    <w:p>
      <w:pPr>
        <w:pStyle w:val="Heading3"/>
      </w:pPr>
      <w:r>
        <w:rPr>
          <w:rStyle w:val="SectionNumber"/>
        </w:rPr>
        <w:t xml:space="preserve">1.175.3</w:t>
      </w:r>
      <w:r>
        <w:tab/>
      </w:r>
      <w:r>
        <w:t xml:space="preserve">Etapa 3 — Artículo 6, apartado 2, y anexo III</w:t>
      </w:r>
    </w:p>
    <w:p>
      <w:pPr>
        <w:pStyle w:val="FirstParagraph"/>
      </w:pPr>
      <w:r>
        <w:t xml:space="preserve">Evaluar si la finalidad prevista corresponde a una categoría del anexo III, incluidas las actuales categorías y condiciones modificadas.</w:t>
      </w:r>
    </w:p>
    <w:p>
      <w:pPr>
        <w:pStyle w:val="BodyText"/>
      </w:pPr>
      <w:r>
        <w:t xml:space="preserve">La fecha de aplicación modificada para los requisitos de las secciones 1 a 3 del capítulo III que rigen los sistemas del apartado 2 del artículo 6/anexo III es</w:t>
      </w:r>
      <w:r>
        <w:t xml:space="preserve"> </w:t>
      </w:r>
      <w:r>
        <w:rPr>
          <w:bCs/>
          <w:b/>
        </w:rPr>
        <w:t xml:space="preserve">2 de diciembre de 2027</w:t>
      </w:r>
      <w:r>
        <w:t xml:space="preserve">.</w:t>
      </w:r>
    </w:p>
    <w:bookmarkEnd w:id="215"/>
    <w:bookmarkStart w:id="216" w:name="Xd927be9b658b30f4ca69432442499e7ad3d0bf9"/>
    <w:p>
      <w:pPr>
        <w:pStyle w:val="Heading3"/>
      </w:pPr>
      <w:r>
        <w:rPr>
          <w:rStyle w:val="SectionNumber"/>
        </w:rPr>
        <w:t xml:space="preserve">1.175.4</w:t>
      </w:r>
      <w:r>
        <w:tab/>
      </w:r>
      <w:r>
        <w:t xml:space="preserve">Etapa 4 — Evaluar cualquier excepción del apartado 3 del artículo 6</w:t>
      </w:r>
    </w:p>
    <w:p>
      <w:pPr>
        <w:pStyle w:val="FirstParagraph"/>
      </w:pPr>
      <w:r>
        <w:t xml:space="preserve">Cuando esté legalmente disponible, determinar si el sistema no plantea un riesgo significativo de daño a la salud, la seguridad o los derechos fundamentales porque no influye materialmente en el resultado de la toma de decisiones y cumple las condiciones legales.</w:t>
      </w:r>
    </w:p>
    <w:p>
      <w:pPr>
        <w:pStyle w:val="BodyText"/>
      </w:pPr>
      <w:r>
        <w:t xml:space="preserve">No aplicar esta excepción cuando el sistema realice la elaboración de perfiles de personas físicas cuando la ley excluya la utilización de la excepción.</w:t>
      </w:r>
    </w:p>
    <w:p>
      <w:pPr>
        <w:pStyle w:val="BodyText"/>
      </w:pPr>
      <w:r>
        <w:t xml:space="preserve">La organización debe mantener una evaluación razonada y estar preparada para transmitirla a una autoridad competente.</w:t>
      </w:r>
    </w:p>
    <w:bookmarkEnd w:id="216"/>
    <w:bookmarkStart w:id="217" w:name="paso-5-registrar-el-resultado"/>
    <w:p>
      <w:pPr>
        <w:pStyle w:val="Heading3"/>
      </w:pPr>
      <w:r>
        <w:rPr>
          <w:rStyle w:val="SectionNumber"/>
        </w:rPr>
        <w:t xml:space="preserve">1.175.5</w:t>
      </w:r>
      <w:r>
        <w:tab/>
      </w:r>
      <w:r>
        <w:t xml:space="preserve">Paso 5 — Registrar el resultado</w:t>
      </w:r>
    </w:p>
    <w:p>
      <w:pPr>
        <w:pStyle w:val="FirstParagraph"/>
      </w:pPr>
      <w:r>
        <w:t xml:space="preserve">Use uno de estos resultados controlados:</w:t>
      </w:r>
    </w:p>
    <w:p>
      <w:pPr>
        <w:numPr>
          <w:ilvl w:val="0"/>
          <w:numId w:val="1052"/>
        </w:numPr>
        <w:pStyle w:val="Compact"/>
      </w:pPr>
      <w:r>
        <w:t xml:space="preserve">Artículo 6, apartado 1/Anexo I de alto riesgo;</w:t>
      </w:r>
    </w:p>
    <w:p>
      <w:pPr>
        <w:numPr>
          <w:ilvl w:val="0"/>
          <w:numId w:val="1052"/>
        </w:numPr>
        <w:pStyle w:val="Compact"/>
      </w:pPr>
      <w:r>
        <w:t xml:space="preserve">Artículo 6, apartado 2, del anexo III, de alto riesgo;</w:t>
      </w:r>
    </w:p>
    <w:p>
      <w:pPr>
        <w:numPr>
          <w:ilvl w:val="0"/>
          <w:numId w:val="1052"/>
        </w:numPr>
        <w:pStyle w:val="Compact"/>
      </w:pPr>
      <w:r>
        <w:t xml:space="preserve">uso del anexo III con excepción documentada del artículo 6, apartado 3;</w:t>
      </w:r>
    </w:p>
    <w:p>
      <w:pPr>
        <w:numPr>
          <w:ilvl w:val="0"/>
          <w:numId w:val="1052"/>
        </w:numPr>
        <w:pStyle w:val="Compact"/>
      </w:pPr>
      <w:r>
        <w:t xml:space="preserve">no es de alto riesgo en virtud del artículo 6, pero está sujeto a otras obligaciones de la Ley de IA;</w:t>
      </w:r>
    </w:p>
    <w:p>
      <w:pPr>
        <w:numPr>
          <w:ilvl w:val="0"/>
          <w:numId w:val="1052"/>
        </w:numPr>
        <w:pStyle w:val="Compact"/>
      </w:pPr>
      <w:r>
        <w:t xml:space="preserve">clasificación diferida en espera de pruebas jurídicas o técnicas;</w:t>
      </w:r>
    </w:p>
    <w:p>
      <w:pPr>
        <w:numPr>
          <w:ilvl w:val="0"/>
          <w:numId w:val="1052"/>
        </w:numPr>
        <w:pStyle w:val="Compact"/>
      </w:pPr>
      <w:r>
        <w:t xml:space="preserve">Se prohíbe o suspende el despliegue.</w:t>
      </w:r>
    </w:p>
    <w:bookmarkEnd w:id="217"/>
    <w:bookmarkEnd w:id="218"/>
    <w:bookmarkStart w:id="219" w:name="regla-de-la-fecha-efectiva"/>
    <w:p>
      <w:pPr>
        <w:pStyle w:val="Heading2"/>
      </w:pPr>
      <w:r>
        <w:rPr>
          <w:rStyle w:val="SectionNumber"/>
        </w:rPr>
        <w:t xml:space="preserve">1.176</w:t>
      </w:r>
      <w:r>
        <w:tab/>
      </w:r>
      <w:r>
        <w:t xml:space="preserve">Regla de la fecha efectiva</w:t>
      </w:r>
    </w:p>
    <w:p>
      <w:pPr>
        <w:pStyle w:val="FirstParagraph"/>
      </w:pPr>
      <w:r>
        <w:t xml:space="preserve">Las fechas posteriores de alto riesgo se aplican estrictamente a los requisitos correspondientes de las secciones 1 a 3 del capítulo III. No retrasan automáticamente:</w:t>
      </w:r>
    </w:p>
    <w:p>
      <w:pPr>
        <w:numPr>
          <w:ilvl w:val="0"/>
          <w:numId w:val="1053"/>
        </w:numPr>
        <w:pStyle w:val="Compact"/>
      </w:pPr>
    </w:p>
    <w:p>
      <w:pPr>
        <w:numPr>
          <w:ilvl w:val="1"/>
          <w:numId w:val="1054"/>
        </w:numPr>
        <w:pStyle w:val="Compact"/>
      </w:pPr>
      <w:r>
        <w:t xml:space="preserve">Las tareas de alfabetización de la IA;</w:t>
      </w:r>
    </w:p>
    <w:p>
      <w:pPr>
        <w:numPr>
          <w:ilvl w:val="0"/>
          <w:numId w:val="1053"/>
        </w:numPr>
        <w:pStyle w:val="Compact"/>
      </w:pPr>
      <w:r>
        <w:t xml:space="preserve">restricciones de prácticas prohibidas;</w:t>
      </w:r>
    </w:p>
    <w:p>
      <w:pPr>
        <w:numPr>
          <w:ilvl w:val="0"/>
          <w:numId w:val="1053"/>
        </w:numPr>
        <w:pStyle w:val="Compact"/>
      </w:pPr>
      <w:r>
        <w:t xml:space="preserve">Obligaciones de la GPAI;</w:t>
      </w:r>
    </w:p>
    <w:p>
      <w:pPr>
        <w:numPr>
          <w:ilvl w:val="0"/>
          <w:numId w:val="1053"/>
        </w:numPr>
        <w:pStyle w:val="Compact"/>
      </w:pPr>
      <w:r>
        <w:t xml:space="preserve">las obligaciones de transparencia;</w:t>
      </w:r>
    </w:p>
    <w:p>
      <w:pPr>
        <w:numPr>
          <w:ilvl w:val="0"/>
          <w:numId w:val="1053"/>
        </w:numPr>
        <w:pStyle w:val="Compact"/>
      </w:pPr>
      <w:r>
        <w:t xml:space="preserve">disposiciones de gobernanza y autoridad;</w:t>
      </w:r>
    </w:p>
    <w:p>
      <w:pPr>
        <w:numPr>
          <w:ilvl w:val="0"/>
          <w:numId w:val="1053"/>
        </w:numPr>
        <w:pStyle w:val="Compact"/>
      </w:pPr>
      <w:r>
        <w:t xml:space="preserve">RGPD, empleo, igualdad, consumidores, seguridad, seguridad cibernética o obligaciones de derecho sectorial;</w:t>
      </w:r>
    </w:p>
    <w:p>
      <w:pPr>
        <w:numPr>
          <w:ilvl w:val="0"/>
          <w:numId w:val="1053"/>
        </w:numPr>
        <w:pStyle w:val="Compact"/>
      </w:pPr>
      <w:r>
        <w:t xml:space="preserve">compromisos contractuales;</w:t>
      </w:r>
    </w:p>
    <w:p>
      <w:pPr>
        <w:numPr>
          <w:ilvl w:val="0"/>
          <w:numId w:val="1053"/>
        </w:numPr>
        <w:pStyle w:val="Compact"/>
      </w:pPr>
      <w:r>
        <w:t xml:space="preserve">controles internos de riesgos necesarios para prevenir daños.</w:t>
      </w:r>
    </w:p>
    <w:bookmarkEnd w:id="219"/>
    <w:bookmarkStart w:id="220" w:name="X934a6f20eb32f2dfb8012040c4beb8a76d75035"/>
    <w:p>
      <w:pPr>
        <w:pStyle w:val="Heading2"/>
      </w:pPr>
      <w:r>
        <w:rPr>
          <w:rStyle w:val="SectionNumber"/>
        </w:rPr>
        <w:t xml:space="preserve">1.177</w:t>
      </w:r>
      <w:r>
        <w:tab/>
      </w:r>
      <w:r>
        <w:t xml:space="preserve">Ejemplo de servicios de viajes de GlobalWay</w:t>
      </w:r>
    </w:p>
    <w:p>
      <w:pPr>
        <w:pStyle w:val="FirstParagraph"/>
      </w:pPr>
      <w:r>
        <w:t xml:space="preserve">GlobalWay evalúa un sistema de selección de la contratación destinado a clasificar a los solicitantes de decisiones de empleo. El propósito previsto se inscribe en una categoría de empleo del anexo III. GlobalWay clasifica el sistema como el artículo 6, apartado 2, de alto riesgo y asigna la fecha modificada del 2 de diciembre de 2027 a los requisitos aplicables del capítulo III.</w:t>
      </w:r>
    </w:p>
    <w:p>
      <w:pPr>
        <w:pStyle w:val="BodyText"/>
      </w:pPr>
      <w:r>
        <w:t xml:space="preserve">GlobalWay no considera la fecha como un permiso para aplazar la privacidad, la discriminación, la legislación laboral, la alfabetización en materia de IA, el proveedor, la seguridad o los controles de revisión humana.</w:t>
      </w:r>
    </w:p>
    <w:bookmarkEnd w:id="220"/>
    <w:bookmarkStart w:id="221" w:name="actividades-de-control-1"/>
    <w:p>
      <w:pPr>
        <w:pStyle w:val="Heading2"/>
      </w:pPr>
      <w:r>
        <w:rPr>
          <w:rStyle w:val="SectionNumber"/>
        </w:rPr>
        <w:t xml:space="preserve">1.178</w:t>
      </w:r>
      <w:r>
        <w:tab/>
      </w:r>
      <w:r>
        <w:t xml:space="preserve">Actividades de control</w:t>
      </w:r>
    </w:p>
    <w:p>
      <w:pPr>
        <w:numPr>
          <w:ilvl w:val="0"/>
          <w:numId w:val="1055"/>
        </w:numPr>
        <w:pStyle w:val="Compact"/>
      </w:pPr>
      <w:r>
        <w:t xml:space="preserve">Exigir una clasificación documentada con arreglo al artículo 6 antes de la aprobación.</w:t>
      </w:r>
    </w:p>
    <w:p>
      <w:pPr>
        <w:numPr>
          <w:ilvl w:val="0"/>
          <w:numId w:val="1055"/>
        </w:numPr>
        <w:pStyle w:val="Compact"/>
      </w:pPr>
      <w:r>
        <w:t xml:space="preserve">Vincular la evaluación al texto actual de los anexos I y III.</w:t>
      </w:r>
    </w:p>
    <w:p>
      <w:pPr>
        <w:numPr>
          <w:ilvl w:val="0"/>
          <w:numId w:val="1055"/>
        </w:numPr>
        <w:pStyle w:val="Compact"/>
      </w:pPr>
      <w:r>
        <w:t xml:space="preserve">Exigir la aprobación legal de las excepciones del apartado 3 del artículo 6.</w:t>
      </w:r>
    </w:p>
    <w:p>
      <w:pPr>
        <w:numPr>
          <w:ilvl w:val="0"/>
          <w:numId w:val="1055"/>
        </w:numPr>
        <w:pStyle w:val="Compact"/>
      </w:pPr>
      <w:r>
        <w:t xml:space="preserve">Grabar el propósito previsto y evitar la repurposición no aprobada.</w:t>
      </w:r>
    </w:p>
    <w:p>
      <w:pPr>
        <w:numPr>
          <w:ilvl w:val="0"/>
          <w:numId w:val="1055"/>
        </w:numPr>
        <w:pStyle w:val="Compact"/>
      </w:pPr>
      <w:r>
        <w:t xml:space="preserve">Reevaluar después de los cambios de modelo, datos, flujo de trabajo, proveedor, jurisdicción, producto o usuario.</w:t>
      </w:r>
    </w:p>
    <w:p>
      <w:pPr>
        <w:numPr>
          <w:ilvl w:val="0"/>
          <w:numId w:val="1055"/>
        </w:numPr>
        <w:pStyle w:val="Compact"/>
      </w:pPr>
      <w:r>
        <w:t xml:space="preserve">Mapa de los resultados de la clasificación a la fecha de implementación correcta.</w:t>
      </w:r>
    </w:p>
    <w:p>
      <w:pPr>
        <w:numPr>
          <w:ilvl w:val="0"/>
          <w:numId w:val="1055"/>
        </w:numPr>
        <w:pStyle w:val="Compact"/>
      </w:pPr>
      <w:r>
        <w:t xml:space="preserve">Mantener pruebas que apoyen determinaciones no de alto riesgo.</w:t>
      </w:r>
    </w:p>
    <w:bookmarkEnd w:id="221"/>
    <w:bookmarkStart w:id="222" w:name="pruebas-19"/>
    <w:p>
      <w:pPr>
        <w:pStyle w:val="Heading2"/>
      </w:pPr>
      <w:r>
        <w:rPr>
          <w:rStyle w:val="SectionNumber"/>
        </w:rPr>
        <w:t xml:space="preserve">1.179</w:t>
      </w:r>
      <w:r>
        <w:tab/>
      </w:r>
      <w:r>
        <w:t xml:space="preserve">Pruebas</w:t>
      </w:r>
    </w:p>
    <w:p>
      <w:pPr>
        <w:numPr>
          <w:ilvl w:val="0"/>
          <w:numId w:val="1056"/>
        </w:numPr>
        <w:pStyle w:val="Compact"/>
      </w:pPr>
      <w:r>
        <w:t xml:space="preserve">declaración de finalidad prevista;</w:t>
      </w:r>
    </w:p>
    <w:p>
      <w:pPr>
        <w:numPr>
          <w:ilvl w:val="0"/>
          <w:numId w:val="1056"/>
        </w:numPr>
        <w:pStyle w:val="Compact"/>
      </w:pPr>
      <w:r>
        <w:t xml:space="preserve">Hoja de trabajo del artículo 6;</w:t>
      </w:r>
    </w:p>
    <w:p>
      <w:pPr>
        <w:numPr>
          <w:ilvl w:val="0"/>
          <w:numId w:val="1056"/>
        </w:numPr>
        <w:pStyle w:val="Compact"/>
      </w:pPr>
      <w:r>
        <w:t xml:space="preserve">la cartografía de los anexos I y III;</w:t>
      </w:r>
    </w:p>
    <w:p>
      <w:pPr>
        <w:numPr>
          <w:ilvl w:val="0"/>
          <w:numId w:val="1056"/>
        </w:numPr>
        <w:pStyle w:val="Compact"/>
      </w:pPr>
      <w:r>
        <w:t xml:space="preserve">análisis de la legislación sobre productos;</w:t>
      </w:r>
    </w:p>
    <w:p>
      <w:pPr>
        <w:numPr>
          <w:ilvl w:val="0"/>
          <w:numId w:val="1056"/>
        </w:numPr>
        <w:pStyle w:val="Compact"/>
      </w:pPr>
      <w:r>
        <w:t xml:space="preserve">la evaluación del artículo 6, apartado 3, si procede;</w:t>
      </w:r>
    </w:p>
    <w:p>
      <w:pPr>
        <w:numPr>
          <w:ilvl w:val="0"/>
          <w:numId w:val="1056"/>
        </w:numPr>
        <w:pStyle w:val="Compact"/>
      </w:pPr>
      <w:r>
        <w:t xml:space="preserve">aprobación legal;</w:t>
      </w:r>
    </w:p>
    <w:p>
      <w:pPr>
        <w:numPr>
          <w:ilvl w:val="0"/>
          <w:numId w:val="1056"/>
        </w:numPr>
        <w:pStyle w:val="Compact"/>
      </w:pPr>
      <w:r>
        <w:t xml:space="preserve">restricciones de despliegue;</w:t>
      </w:r>
    </w:p>
    <w:p>
      <w:pPr>
        <w:numPr>
          <w:ilvl w:val="0"/>
          <w:numId w:val="1056"/>
        </w:numPr>
        <w:pStyle w:val="Compact"/>
      </w:pPr>
      <w:r>
        <w:t xml:space="preserve">cambios y antecedentes de reevaluación;</w:t>
      </w:r>
    </w:p>
    <w:p>
      <w:pPr>
        <w:numPr>
          <w:ilvl w:val="0"/>
          <w:numId w:val="1056"/>
        </w:numPr>
        <w:pStyle w:val="Compact"/>
      </w:pPr>
      <w:r>
        <w:t xml:space="preserve">mapeo de artículo a control.</w:t>
      </w:r>
    </w:p>
    <w:bookmarkEnd w:id="222"/>
    <w:bookmarkStart w:id="223" w:name="pruebas-de-auditoría-1"/>
    <w:p>
      <w:pPr>
        <w:pStyle w:val="Heading2"/>
      </w:pPr>
      <w:r>
        <w:rPr>
          <w:rStyle w:val="SectionNumber"/>
        </w:rPr>
        <w:t xml:space="preserve">1.180</w:t>
      </w:r>
      <w:r>
        <w:tab/>
      </w:r>
      <w:r>
        <w:t xml:space="preserve">Pruebas de auditoría</w:t>
      </w:r>
    </w:p>
    <w:p>
      <w:pPr>
        <w:numPr>
          <w:ilvl w:val="0"/>
          <w:numId w:val="1057"/>
        </w:numPr>
        <w:pStyle w:val="Compact"/>
      </w:pPr>
      <w:r>
        <w:t xml:space="preserve">Trazar sistemas seleccionados a través de cada etapa de clasificación del artículo 6.</w:t>
      </w:r>
    </w:p>
    <w:p>
      <w:pPr>
        <w:numPr>
          <w:ilvl w:val="0"/>
          <w:numId w:val="1057"/>
        </w:numPr>
        <w:pStyle w:val="Compact"/>
      </w:pPr>
      <w:r>
        <w:t xml:space="preserve">Verifique las referencias de los anexos I y III utilizando el texto modificado.</w:t>
      </w:r>
    </w:p>
    <w:p>
      <w:pPr>
        <w:numPr>
          <w:ilvl w:val="0"/>
          <w:numId w:val="1057"/>
        </w:numPr>
        <w:pStyle w:val="Compact"/>
      </w:pPr>
      <w:r>
        <w:t xml:space="preserve">Revisar las pruebas de excepción del apartado 3 del artículo 6 y la aprobación legal.</w:t>
      </w:r>
    </w:p>
    <w:p>
      <w:pPr>
        <w:numPr>
          <w:ilvl w:val="0"/>
          <w:numId w:val="1057"/>
        </w:numPr>
        <w:pStyle w:val="Compact"/>
      </w:pPr>
      <w:r>
        <w:t xml:space="preserve">Confirmar que los sistemas de perfiles no están excluidos incorrectamente.</w:t>
      </w:r>
    </w:p>
    <w:p>
      <w:pPr>
        <w:numPr>
          <w:ilvl w:val="0"/>
          <w:numId w:val="1057"/>
        </w:numPr>
        <w:pStyle w:val="Compact"/>
      </w:pPr>
      <w:r>
        <w:t xml:space="preserve">Verificar que las fechas 2027 y 2028 se aplican únicamente a los requisitos pertinentes.</w:t>
      </w:r>
    </w:p>
    <w:p>
      <w:pPr>
        <w:numPr>
          <w:ilvl w:val="0"/>
          <w:numId w:val="1057"/>
        </w:numPr>
        <w:pStyle w:val="Compact"/>
      </w:pPr>
      <w:r>
        <w:t xml:space="preserve">Confirmar que los sistemas no de alto riesgo siguen siendo evaluados para otras obligaciones.</w:t>
      </w:r>
    </w:p>
    <w:p>
      <w:pPr>
        <w:numPr>
          <w:ilvl w:val="0"/>
          <w:numId w:val="1057"/>
        </w:numPr>
        <w:pStyle w:val="Compact"/>
      </w:pPr>
      <w:r>
        <w:t xml:space="preserve">Comprobar si los cambios desencadenan la reclasificación.</w:t>
      </w:r>
    </w:p>
    <w:bookmarkEnd w:id="223"/>
    <w:bookmarkStart w:id="224" w:name="lista-de-verificación-de-gestión-1"/>
    <w:p>
      <w:pPr>
        <w:pStyle w:val="Heading2"/>
      </w:pPr>
      <w:r>
        <w:rPr>
          <w:rStyle w:val="SectionNumber"/>
        </w:rPr>
        <w:t xml:space="preserve">1.181</w:t>
      </w:r>
      <w:r>
        <w:tab/>
      </w:r>
      <w:r>
        <w:t xml:space="preserve">Lista de verificación de gestión</w:t>
      </w:r>
    </w:p>
    <w:p>
      <w:pPr>
        <w:numPr>
          <w:ilvl w:val="0"/>
          <w:numId w:val="1058"/>
        </w:numPr>
        <w:pStyle w:val="Compact"/>
      </w:pPr>
      <w:r>
        <w:t xml:space="preserve">¿Se documenta con exactitud el propósito previsto?</w:t>
      </w:r>
    </w:p>
    <w:p>
      <w:pPr>
        <w:numPr>
          <w:ilvl w:val="0"/>
          <w:numId w:val="1058"/>
        </w:numPr>
        <w:pStyle w:val="Compact"/>
      </w:pPr>
      <w:r>
        <w:t xml:space="preserve">¿Se han sometido a prueba el artículo 6, apartado 1, y el artículo 6, apartado 2?</w:t>
      </w:r>
    </w:p>
    <w:p>
      <w:pPr>
        <w:numPr>
          <w:ilvl w:val="0"/>
          <w:numId w:val="1058"/>
        </w:numPr>
        <w:pStyle w:val="Compact"/>
      </w:pPr>
      <w:r>
        <w:t xml:space="preserve">¿Se apoya plenamente alguna excepción del apartado 3 del artículo 6?</w:t>
      </w:r>
    </w:p>
    <w:p>
      <w:pPr>
        <w:numPr>
          <w:ilvl w:val="0"/>
          <w:numId w:val="1058"/>
        </w:numPr>
        <w:pStyle w:val="Compact"/>
      </w:pPr>
      <w:r>
        <w:t xml:space="preserve">¿Las fechas 2027 y 2028 se usan por poco?</w:t>
      </w:r>
    </w:p>
    <w:p>
      <w:pPr>
        <w:numPr>
          <w:ilvl w:val="0"/>
          <w:numId w:val="1058"/>
        </w:numPr>
        <w:pStyle w:val="Compact"/>
      </w:pPr>
      <w:r>
        <w:t xml:space="preserve">¿Se hace un seguimiento independiente de otras obligaciones jurídicas?</w:t>
      </w:r>
    </w:p>
    <w:bookmarkEnd w:id="224"/>
    <w:bookmarkStart w:id="225" w:name="Xb00251351c5b786baf1679183b67932ee5d113c"/>
    <w:p>
      <w:pPr>
        <w:pStyle w:val="Heading2"/>
      </w:pPr>
      <w:r>
        <w:rPr>
          <w:rStyle w:val="SectionNumber"/>
        </w:rPr>
        <w:t xml:space="preserve">1.182</w:t>
      </w:r>
      <w:r>
        <w:tab/>
      </w:r>
      <w:r>
        <w:t xml:space="preserve">Especificación de la figura — Ruta de clasificación de alto riesgo</w:t>
      </w:r>
    </w:p>
    <w:p>
      <w:pPr>
        <w:pStyle w:val="FirstParagraph"/>
      </w:pPr>
      <w:r>
        <w:t xml:space="preserve">Crear un árbol de decisiones que comience con la finalidad prevista, y luego separar el artículo 6, apartado 1, el anexo I y el artículo 6, apartado 2, el anexo III, seguidos del análisis de las excepciones del artículo 6, apartado 3, los resultados de la clasificación controlada y los desencadenantes de la reevaluación.</w:t>
      </w:r>
    </w:p>
    <w:p>
      <w:pPr>
        <w:pStyle w:val="BodyText"/>
      </w:pPr>
      <w:r>
        <w:rPr>
          <w:bCs/>
          <w:b/>
        </w:rPr>
        <w:t xml:space="preserve">Texto Alt:</w:t>
      </w:r>
      <w:r>
        <w:t xml:space="preserve"> </w:t>
      </w:r>
      <w:r>
        <w:t xml:space="preserve">Ensayo de árbol de decisión de clasificación de IA de alto riesgo Artículo 6, apartado 1, y anexo I, sistemas de productos, artículo 6, apartado 2, y casos de uso del anexo III, la excepción del artículo 6, apartado 3, los resultados finales de la clasificación, las fechas de aplicación y los desencadenantes de la reevaluación.</w:t>
      </w:r>
    </w:p>
    <w:bookmarkEnd w:id="225"/>
    <w:bookmarkStart w:id="226" w:name="X82dad2ae1bd81819f624ea0dfb321063776f257"/>
    <w:p>
      <w:pPr>
        <w:pStyle w:val="Heading2"/>
      </w:pPr>
      <w:r>
        <w:rPr>
          <w:rStyle w:val="SectionNumber"/>
        </w:rPr>
        <w:t xml:space="preserve">1.183</w:t>
      </w:r>
      <w:r>
        <w:tab/>
      </w:r>
      <w:r>
        <w:t xml:space="preserve">Capítulo 21 — Análisis de los anexos I y III</w:t>
      </w:r>
    </w:p>
    <w:bookmarkEnd w:id="226"/>
    <w:bookmarkStart w:id="227" w:name="estado-de-la-publicación-2"/>
    <w:p>
      <w:pPr>
        <w:pStyle w:val="Heading2"/>
      </w:pPr>
      <w:r>
        <w:rPr>
          <w:rStyle w:val="SectionNumber"/>
        </w:rPr>
        <w:t xml:space="preserve">1.184</w:t>
      </w:r>
      <w:r>
        <w:tab/>
      </w:r>
      <w:r>
        <w:t xml:space="preserve">Estado de la publicación</w:t>
      </w:r>
    </w:p>
    <w:p>
      <w:pPr>
        <w:pStyle w:val="FirstParagraph"/>
      </w:pPr>
      <w:r>
        <w:t xml:space="preserve">** Texto original en inglés corregido legalmente.** Este capítulo reemplaza el lenguaje conflictivo del análisis de anexos en borradores anteriores hasta que todos los capítulos, apéndices, gráficos y traducciones afectados sean reconciliados.</w:t>
      </w:r>
    </w:p>
    <w:bookmarkEnd w:id="227"/>
    <w:bookmarkStart w:id="228" w:name="finalidad-2"/>
    <w:p>
      <w:pPr>
        <w:pStyle w:val="Heading2"/>
      </w:pPr>
      <w:r>
        <w:rPr>
          <w:rStyle w:val="SectionNumber"/>
        </w:rPr>
        <w:t xml:space="preserve">1.185</w:t>
      </w:r>
      <w:r>
        <w:tab/>
      </w:r>
      <w:r>
        <w:t xml:space="preserve">Finalidad</w:t>
      </w:r>
    </w:p>
    <w:p>
      <w:pPr>
        <w:pStyle w:val="FirstParagraph"/>
      </w:pPr>
      <w:r>
        <w:t xml:space="preserve">El presente capítulo proporciona un método estructurado para analizar los sistemas relacionados con los productos del anexo I y los casos de uso del anexo III con arreglo al artículo 6 del Reglamento (UE) 2024/1689, modificado por el Reglamento (UE) 2026/1744.</w:t>
      </w:r>
    </w:p>
    <w:bookmarkEnd w:id="228"/>
    <w:bookmarkStart w:id="229" w:name="requisito-19"/>
    <w:p>
      <w:pPr>
        <w:pStyle w:val="Heading2"/>
      </w:pPr>
      <w:r>
        <w:rPr>
          <w:rStyle w:val="SectionNumber"/>
        </w:rPr>
        <w:t xml:space="preserve">1.186</w:t>
      </w:r>
      <w:r>
        <w:tab/>
      </w:r>
      <w:r>
        <w:t xml:space="preserve">Requisito</w:t>
      </w:r>
    </w:p>
    <w:p>
      <w:pPr>
        <w:pStyle w:val="FirstParagraph"/>
      </w:pPr>
      <w:r>
        <w:t xml:space="preserve">Las organizaciones deben analizar por separado los anexos I y III, documentar la trayectoria jurídica exacta y evitar tratar los dos anexos como listas intercambiables de sistemas de alto riesgo.</w:t>
      </w:r>
    </w:p>
    <w:bookmarkEnd w:id="229"/>
    <w:bookmarkStart w:id="230" w:name="explicación-en-lenguaje-sencillo-16"/>
    <w:p>
      <w:pPr>
        <w:pStyle w:val="Heading2"/>
      </w:pPr>
      <w:r>
        <w:rPr>
          <w:rStyle w:val="SectionNumber"/>
        </w:rPr>
        <w:t xml:space="preserve">1.187</w:t>
      </w:r>
      <w:r>
        <w:tab/>
      </w:r>
      <w:r>
        <w:t xml:space="preserve">Explicación en lenguaje sencillo</w:t>
      </w:r>
    </w:p>
    <w:p>
      <w:pPr>
        <w:pStyle w:val="FirstParagraph"/>
      </w:pPr>
      <w:r>
        <w:t xml:space="preserve">Los anexos I y III llegan a la IA de alto riesgo por diferentes vías jurídicas:</w:t>
      </w:r>
    </w:p>
    <w:p>
      <w:pPr>
        <w:numPr>
          <w:ilvl w:val="0"/>
          <w:numId w:val="1059"/>
        </w:numPr>
        <w:pStyle w:val="Compact"/>
      </w:pPr>
      <w:r>
        <w:rPr>
          <w:bCs/>
          <w:b/>
        </w:rPr>
        <w:t xml:space="preserve">El anexo I</w:t>
      </w:r>
      <w:r>
        <w:t xml:space="preserve"> </w:t>
      </w:r>
      <w:r>
        <w:t xml:space="preserve">se refiere a la IA relacionada con productos regulados por la legislación de armonización de la Unión y las condiciones del artículo 6, apartado 1.</w:t>
      </w:r>
    </w:p>
    <w:p>
      <w:pPr>
        <w:numPr>
          <w:ilvl w:val="0"/>
          <w:numId w:val="1059"/>
        </w:numPr>
        <w:pStyle w:val="Compact"/>
      </w:pPr>
      <w:r>
        <w:rPr>
          <w:bCs/>
          <w:b/>
        </w:rPr>
        <w:t xml:space="preserve">El anexo III</w:t>
      </w:r>
      <w:r>
        <w:t xml:space="preserve"> </w:t>
      </w:r>
      <w:r>
        <w:t xml:space="preserve">se refiere a los casos de uso enumerados en las zonas sensibles y a las condiciones del artículo 6, apartado 2, con sujeción, en su caso, a la excepción del artículo 6, apartado 3.</w:t>
      </w:r>
    </w:p>
    <w:p>
      <w:pPr>
        <w:pStyle w:val="FirstParagraph"/>
      </w:pPr>
      <w:r>
        <w:t xml:space="preserve">El análisis debe basarse en la finalidad prevista y el despliegue real, no sólo en la etiqueta de comercialización del proveedor.</w:t>
      </w:r>
    </w:p>
    <w:bookmarkEnd w:id="230"/>
    <w:bookmarkStart w:id="231" w:name="análisis-del-anexo-i"/>
    <w:p>
      <w:pPr>
        <w:pStyle w:val="Heading2"/>
      </w:pPr>
      <w:r>
        <w:rPr>
          <w:rStyle w:val="SectionNumber"/>
        </w:rPr>
        <w:t xml:space="preserve">1.188</w:t>
      </w:r>
      <w:r>
        <w:tab/>
      </w:r>
      <w:r>
        <w:t xml:space="preserve">Análisis del anexo I</w:t>
      </w:r>
    </w:p>
    <w:p>
      <w:pPr>
        <w:pStyle w:val="FirstParagraph"/>
      </w:pPr>
      <w:r>
        <w:t xml:space="preserve">Para cada sistema potencialmente pertinente, documente:</w:t>
      </w:r>
    </w:p>
    <w:p>
      <w:pPr>
        <w:numPr>
          <w:ilvl w:val="0"/>
          <w:numId w:val="1060"/>
        </w:numPr>
        <w:pStyle w:val="Compact"/>
      </w:pPr>
      <w:r>
        <w:t xml:space="preserve">el producto o componente de seguridad de que se trate;</w:t>
      </w:r>
    </w:p>
    <w:p>
      <w:pPr>
        <w:numPr>
          <w:ilvl w:val="0"/>
          <w:numId w:val="1060"/>
        </w:numPr>
        <w:pStyle w:val="Compact"/>
      </w:pPr>
      <w:r>
        <w:t xml:space="preserve">la legislación de armonización de la Unión aplicable en el anexo I;</w:t>
      </w:r>
    </w:p>
    <w:p>
      <w:pPr>
        <w:numPr>
          <w:ilvl w:val="0"/>
          <w:numId w:val="1060"/>
        </w:numPr>
        <w:pStyle w:val="Compact"/>
      </w:pPr>
      <w:r>
        <w:t xml:space="preserve">si el sistema IA es en sí mismo el producto regulado o un componente de seguridad;</w:t>
      </w:r>
    </w:p>
    <w:p>
      <w:pPr>
        <w:numPr>
          <w:ilvl w:val="0"/>
          <w:numId w:val="1060"/>
        </w:numPr>
        <w:pStyle w:val="Compact"/>
      </w:pPr>
      <w:r>
        <w:t xml:space="preserve">si la legislación sobre productos exige una evaluación de la conformidad por parte de terceros;</w:t>
      </w:r>
    </w:p>
    <w:p>
      <w:pPr>
        <w:numPr>
          <w:ilvl w:val="0"/>
          <w:numId w:val="1060"/>
        </w:numPr>
        <w:pStyle w:val="Compact"/>
      </w:pPr>
      <w:r>
        <w:t xml:space="preserve">el fabricante, el proveedor, el importador, el distribuidor y otras funciones de la cadena de productos;</w:t>
      </w:r>
    </w:p>
    <w:p>
      <w:pPr>
        <w:numPr>
          <w:ilvl w:val="0"/>
          <w:numId w:val="1060"/>
        </w:numPr>
        <w:pStyle w:val="Compact"/>
      </w:pPr>
      <w:r>
        <w:t xml:space="preserve">la ruta de evaluación de la conformidad;</w:t>
      </w:r>
    </w:p>
    <w:p>
      <w:pPr>
        <w:numPr>
          <w:ilvl w:val="0"/>
          <w:numId w:val="1060"/>
        </w:numPr>
        <w:pStyle w:val="Compact"/>
      </w:pPr>
      <w:r>
        <w:t xml:space="preserve">dependencia de la documentación técnica;</w:t>
      </w:r>
    </w:p>
    <w:p>
      <w:pPr>
        <w:numPr>
          <w:ilvl w:val="0"/>
          <w:numId w:val="1060"/>
        </w:numPr>
        <w:pStyle w:val="Compact"/>
      </w:pPr>
      <w:r>
        <w:t xml:space="preserve">obligaciones posteriores a la comercialización e incidentes;</w:t>
      </w:r>
    </w:p>
    <w:p>
      <w:pPr>
        <w:numPr>
          <w:ilvl w:val="0"/>
          <w:numId w:val="1060"/>
        </w:numPr>
        <w:pStyle w:val="Compact"/>
      </w:pPr>
      <w:r>
        <w:t xml:space="preserve">cambios que podrían alterar la clasificación.</w:t>
      </w:r>
    </w:p>
    <w:p>
      <w:pPr>
        <w:pStyle w:val="FirstParagraph"/>
      </w:pPr>
      <w:r>
        <w:t xml:space="preserve">La fecha de aplicación modificada de los requisitos correspondientes de las secciones 1 a 3 del capítulo III para los sistemas del artículo 6, apartado 1, del anexo I es</w:t>
      </w:r>
      <w:r>
        <w:t xml:space="preserve"> </w:t>
      </w:r>
      <w:r>
        <w:rPr>
          <w:bCs/>
          <w:b/>
        </w:rPr>
        <w:t xml:space="preserve">2 de agosto de 2028</w:t>
      </w:r>
      <w:r>
        <w:t xml:space="preserve">.</w:t>
      </w:r>
    </w:p>
    <w:bookmarkEnd w:id="231"/>
    <w:bookmarkStart w:id="232" w:name="análisis-del-anexo-iii"/>
    <w:p>
      <w:pPr>
        <w:pStyle w:val="Heading2"/>
      </w:pPr>
      <w:r>
        <w:rPr>
          <w:rStyle w:val="SectionNumber"/>
        </w:rPr>
        <w:t xml:space="preserve">1.189</w:t>
      </w:r>
      <w:r>
        <w:tab/>
      </w:r>
      <w:r>
        <w:t xml:space="preserve">Análisis del anexo III</w:t>
      </w:r>
    </w:p>
    <w:p>
      <w:pPr>
        <w:pStyle w:val="FirstParagraph"/>
      </w:pPr>
      <w:r>
        <w:t xml:space="preserve">Para cada caso de uso potencialmente relevante, documento:</w:t>
      </w:r>
    </w:p>
    <w:p>
      <w:pPr>
        <w:numPr>
          <w:ilvl w:val="0"/>
          <w:numId w:val="1061"/>
        </w:numPr>
        <w:pStyle w:val="Compact"/>
      </w:pPr>
      <w:r>
        <w:t xml:space="preserve">el punto y subpunto exactos del anexo III;</w:t>
      </w:r>
    </w:p>
    <w:p>
      <w:pPr>
        <w:numPr>
          <w:ilvl w:val="0"/>
          <w:numId w:val="1061"/>
        </w:numPr>
        <w:pStyle w:val="Compact"/>
      </w:pPr>
      <w:r>
        <w:t xml:space="preserve">la finalidad prevista;</w:t>
      </w:r>
    </w:p>
    <w:p>
      <w:pPr>
        <w:numPr>
          <w:ilvl w:val="0"/>
          <w:numId w:val="1061"/>
        </w:numPr>
        <w:pStyle w:val="Compact"/>
      </w:pPr>
      <w:r>
        <w:t xml:space="preserve">la decisión, recomendación, clasificación, clasificación o determinación del acceso apoyada;</w:t>
      </w:r>
    </w:p>
    <w:p>
      <w:pPr>
        <w:numPr>
          <w:ilvl w:val="0"/>
          <w:numId w:val="1061"/>
        </w:numPr>
        <w:pStyle w:val="Compact"/>
      </w:pPr>
      <w:r>
        <w:t xml:space="preserve">la población afectada;</w:t>
      </w:r>
    </w:p>
    <w:p>
      <w:pPr>
        <w:numPr>
          <w:ilvl w:val="0"/>
          <w:numId w:val="1061"/>
        </w:numPr>
        <w:pStyle w:val="Compact"/>
      </w:pPr>
      <w:r>
        <w:t xml:space="preserve">si el sistema influye significativamente en el resultado;</w:t>
      </w:r>
    </w:p>
    <w:p>
      <w:pPr>
        <w:numPr>
          <w:ilvl w:val="0"/>
          <w:numId w:val="1061"/>
        </w:numPr>
        <w:pStyle w:val="Compact"/>
      </w:pPr>
      <w:r>
        <w:t xml:space="preserve">si se produce la elaboración de perfiles de personas físicas;</w:t>
      </w:r>
    </w:p>
    <w:p>
      <w:pPr>
        <w:numPr>
          <w:ilvl w:val="0"/>
          <w:numId w:val="1061"/>
        </w:numPr>
        <w:pStyle w:val="Compact"/>
      </w:pPr>
      <w:r>
        <w:t xml:space="preserve">las funciones de proveedor e implementador;</w:t>
      </w:r>
    </w:p>
    <w:p>
      <w:pPr>
        <w:numPr>
          <w:ilvl w:val="0"/>
          <w:numId w:val="1061"/>
        </w:numPr>
        <w:pStyle w:val="Compact"/>
      </w:pPr>
      <w:r>
        <w:t xml:space="preserve">cualquier análisis de las excepciones del artículo 6, apartado 3;</w:t>
      </w:r>
    </w:p>
    <w:p>
      <w:pPr>
        <w:numPr>
          <w:ilvl w:val="0"/>
          <w:numId w:val="1061"/>
        </w:numPr>
        <w:pStyle w:val="Compact"/>
      </w:pPr>
      <w:r>
        <w:t xml:space="preserve">los derechos fundamentales, la seguridad, la discriminación y las implicaciones de la supervisión humana;</w:t>
      </w:r>
    </w:p>
    <w:p>
      <w:pPr>
        <w:numPr>
          <w:ilvl w:val="0"/>
          <w:numId w:val="1061"/>
        </w:numPr>
        <w:pStyle w:val="Compact"/>
      </w:pPr>
      <w:r>
        <w:t xml:space="preserve">jurisdicción y superposiciones sectoriales.</w:t>
      </w:r>
    </w:p>
    <w:p>
      <w:pPr>
        <w:pStyle w:val="FirstParagraph"/>
      </w:pPr>
      <w:r>
        <w:t xml:space="preserve">La fecha de aplicación modificada de los requisitos correspondientes de las secciones 1 a 3 del capítulo III para los sistemas del artículo 6, apartado 2, del anexo III es</w:t>
      </w:r>
      <w:r>
        <w:t xml:space="preserve"> </w:t>
      </w:r>
      <w:r>
        <w:rPr>
          <w:bCs/>
          <w:b/>
        </w:rPr>
        <w:t xml:space="preserve">2 de diciembre de 2027</w:t>
      </w:r>
      <w:r>
        <w:t xml:space="preserve">.</w:t>
      </w:r>
    </w:p>
    <w:bookmarkEnd w:id="232"/>
    <w:bookmarkStart w:id="233" w:name="X8b69c20d4ea709854eb9cfc34d208e2f7f9e5f6"/>
    <w:p>
      <w:pPr>
        <w:pStyle w:val="Heading2"/>
      </w:pPr>
      <w:r>
        <w:rPr>
          <w:rStyle w:val="SectionNumber"/>
        </w:rPr>
        <w:t xml:space="preserve">1.190</w:t>
      </w:r>
      <w:r>
        <w:tab/>
      </w:r>
      <w:r>
        <w:t xml:space="preserve">Artículo 6, apartado 3, control de excepción</w:t>
      </w:r>
    </w:p>
    <w:p>
      <w:pPr>
        <w:pStyle w:val="FirstParagraph"/>
      </w:pPr>
      <w:r>
        <w:t xml:space="preserve">Cuando la excepción esté legalmente disponible, la evaluación deberá:</w:t>
      </w:r>
    </w:p>
    <w:p>
      <w:pPr>
        <w:numPr>
          <w:ilvl w:val="0"/>
          <w:numId w:val="1062"/>
        </w:numPr>
        <w:pStyle w:val="Compact"/>
      </w:pPr>
      <w:r>
        <w:t xml:space="preserve">identificar la condición legal exacta en la que se basa;</w:t>
      </w:r>
    </w:p>
    <w:p>
      <w:pPr>
        <w:numPr>
          <w:ilvl w:val="0"/>
          <w:numId w:val="1062"/>
        </w:numPr>
        <w:pStyle w:val="Compact"/>
      </w:pPr>
      <w:r>
        <w:t xml:space="preserve">explicar por qué el sistema no plantea un riesgo significativo de perjuicio para la salud, la seguridad o los derechos fundamentales;</w:t>
      </w:r>
    </w:p>
    <w:p>
      <w:pPr>
        <w:numPr>
          <w:ilvl w:val="0"/>
          <w:numId w:val="1062"/>
        </w:numPr>
        <w:pStyle w:val="Compact"/>
      </w:pPr>
      <w:r>
        <w:t xml:space="preserve">explicar por qué no influye significativamente en el resultado de la decisión;</w:t>
      </w:r>
    </w:p>
    <w:p>
      <w:pPr>
        <w:numPr>
          <w:ilvl w:val="0"/>
          <w:numId w:val="1062"/>
        </w:numPr>
        <w:pStyle w:val="Compact"/>
      </w:pPr>
      <w:r>
        <w:t xml:space="preserve">confirmar la existencia de perfiles;</w:t>
      </w:r>
    </w:p>
    <w:p>
      <w:pPr>
        <w:numPr>
          <w:ilvl w:val="0"/>
          <w:numId w:val="1062"/>
        </w:numPr>
        <w:pStyle w:val="Compact"/>
      </w:pPr>
      <w:r>
        <w:t xml:space="preserve">documentar las pruebas técnicas y operativas de apoyo;</w:t>
      </w:r>
    </w:p>
    <w:p>
      <w:pPr>
        <w:numPr>
          <w:ilvl w:val="0"/>
          <w:numId w:val="1062"/>
        </w:numPr>
        <w:pStyle w:val="Compact"/>
      </w:pPr>
      <w:r>
        <w:t xml:space="preserve">recibir la aprobación legal;</w:t>
      </w:r>
    </w:p>
    <w:p>
      <w:pPr>
        <w:numPr>
          <w:ilvl w:val="0"/>
          <w:numId w:val="1062"/>
        </w:numPr>
        <w:pStyle w:val="Compact"/>
      </w:pPr>
      <w:r>
        <w:t xml:space="preserve">se conservarán y revisarán después de los cambios.</w:t>
      </w:r>
    </w:p>
    <w:p>
      <w:pPr>
        <w:pStyle w:val="FirstParagraph"/>
      </w:pPr>
      <w:r>
        <w:t xml:space="preserve">Una declaración superficial de que el sistema es</w:t>
      </w:r>
      <w:r>
        <w:t xml:space="preserve"> </w:t>
      </w:r>
      <w:r>
        <w:t xml:space="preserve">“</w:t>
      </w:r>
      <w:r>
        <w:t xml:space="preserve">solo de ayuda</w:t>
      </w:r>
      <w:r>
        <w:t xml:space="preserve">”</w:t>
      </w:r>
      <w:r>
        <w:t xml:space="preserve"> </w:t>
      </w:r>
      <w:r>
        <w:t xml:space="preserve">es insuficiente.</w:t>
      </w:r>
    </w:p>
    <w:bookmarkEnd w:id="233"/>
    <w:bookmarkStart w:id="234" w:name="precaución-en-la-fecha-efectiva"/>
    <w:p>
      <w:pPr>
        <w:pStyle w:val="Heading2"/>
      </w:pPr>
      <w:r>
        <w:rPr>
          <w:rStyle w:val="SectionNumber"/>
        </w:rPr>
        <w:t xml:space="preserve">1.191</w:t>
      </w:r>
      <w:r>
        <w:tab/>
      </w:r>
      <w:r>
        <w:t xml:space="preserve">Precaución en la fecha efectiva</w:t>
      </w:r>
    </w:p>
    <w:p>
      <w:pPr>
        <w:pStyle w:val="FirstParagraph"/>
      </w:pPr>
      <w:r>
        <w:t xml:space="preserve">Las fechas 2027 y 2028 modificadas se aplican a los requisitos de alto riesgo especificados y no posponen las obligaciones aplicables de forma independiente, entre ellas:</w:t>
      </w:r>
    </w:p>
    <w:p>
      <w:pPr>
        <w:numPr>
          <w:ilvl w:val="0"/>
          <w:numId w:val="1063"/>
        </w:numPr>
        <w:pStyle w:val="Compact"/>
      </w:pPr>
      <w:r>
        <w:t xml:space="preserve">restricciones de prácticas prohibidas;</w:t>
      </w:r>
    </w:p>
    <w:p>
      <w:pPr>
        <w:numPr>
          <w:ilvl w:val="0"/>
          <w:numId w:val="1063"/>
        </w:numPr>
        <w:pStyle w:val="Compact"/>
      </w:pPr>
      <w:r>
        <w:t xml:space="preserve">Requisitos de alfabetización en materia de IA;</w:t>
      </w:r>
    </w:p>
    <w:p>
      <w:pPr>
        <w:numPr>
          <w:ilvl w:val="0"/>
          <w:numId w:val="1063"/>
        </w:numPr>
        <w:pStyle w:val="Compact"/>
      </w:pPr>
      <w:r>
        <w:t xml:space="preserve">Funciones del GPAI;</w:t>
      </w:r>
    </w:p>
    <w:p>
      <w:pPr>
        <w:numPr>
          <w:ilvl w:val="0"/>
          <w:numId w:val="1063"/>
        </w:numPr>
        <w:pStyle w:val="Compact"/>
      </w:pPr>
      <w:r>
        <w:t xml:space="preserve">Artículo 50, derechos de transparencia;</w:t>
      </w:r>
    </w:p>
    <w:p>
      <w:pPr>
        <w:numPr>
          <w:ilvl w:val="0"/>
          <w:numId w:val="1063"/>
        </w:numPr>
        <w:pStyle w:val="Compact"/>
      </w:pPr>
      <w:r>
        <w:t xml:space="preserve">RGPD y requisitos de protección de datos;</w:t>
      </w:r>
    </w:p>
    <w:p>
      <w:pPr>
        <w:numPr>
          <w:ilvl w:val="0"/>
          <w:numId w:val="1063"/>
        </w:numPr>
        <w:pStyle w:val="Compact"/>
      </w:pPr>
      <w:r>
        <w:t xml:space="preserve">empleo, igualdad, consumidores, seguridad, seguridad cibernética y legislación sectorial;</w:t>
      </w:r>
    </w:p>
    <w:p>
      <w:pPr>
        <w:numPr>
          <w:ilvl w:val="0"/>
          <w:numId w:val="1063"/>
        </w:numPr>
        <w:pStyle w:val="Compact"/>
      </w:pPr>
      <w:r>
        <w:t xml:space="preserve">obligaciones contractuales y de control interno.</w:t>
      </w:r>
    </w:p>
    <w:bookmarkEnd w:id="234"/>
    <w:bookmarkStart w:id="235" w:name="X4e935b162fa820cceed3115ae41d4121268be6d"/>
    <w:p>
      <w:pPr>
        <w:pStyle w:val="Heading2"/>
      </w:pPr>
      <w:r>
        <w:rPr>
          <w:rStyle w:val="SectionNumber"/>
        </w:rPr>
        <w:t xml:space="preserve">1.192</w:t>
      </w:r>
      <w:r>
        <w:tab/>
      </w:r>
      <w:r>
        <w:t xml:space="preserve">Ejemplo de servicios de viajes de GlobalWay</w:t>
      </w:r>
    </w:p>
    <w:p>
      <w:pPr>
        <w:pStyle w:val="FirstParagraph"/>
      </w:pPr>
      <w:r>
        <w:t xml:space="preserve">GlobalWay revisa dos sistemas:</w:t>
      </w:r>
    </w:p>
    <w:p>
      <w:pPr>
        <w:numPr>
          <w:ilvl w:val="0"/>
          <w:numId w:val="1064"/>
        </w:numPr>
        <w:pStyle w:val="Compact"/>
      </w:pPr>
      <w:r>
        <w:t xml:space="preserve">un instrumento de clasificación de las contrataciones utilizado para seleccionar a los candidatos; y</w:t>
      </w:r>
    </w:p>
    <w:p>
      <w:pPr>
        <w:numPr>
          <w:ilvl w:val="0"/>
          <w:numId w:val="1064"/>
        </w:numPr>
        <w:pStyle w:val="Compact"/>
      </w:pPr>
      <w:r>
        <w:t xml:space="preserve">un componente de seguridad compatible con la IA integrado en un producto regulado de movilidad aeroportuaria.</w:t>
      </w:r>
    </w:p>
    <w:p>
      <w:pPr>
        <w:pStyle w:val="FirstParagraph"/>
      </w:pPr>
      <w:r>
        <w:t xml:space="preserve">El sistema de contratación sigue la trayectoria prevista en el apartado 2 del artículo 6/anexo III y el calendario del 2 de diciembre de 2027 para los requisitos pertinentes de alto riesgo. El componente de seguridad incluido en el producto sigue el apartado 1 del artículo 6/anexo I y el calendario del 2 de agosto de 2028.</w:t>
      </w:r>
    </w:p>
    <w:p>
      <w:pPr>
        <w:pStyle w:val="BodyText"/>
      </w:pPr>
      <w:r>
        <w:t xml:space="preserve">GlobalWay mantiene análisis legales separados, propietarios, dependencias de conformidad, paquetes de pruebas y planes de proyectos para los dos sistemas.</w:t>
      </w:r>
    </w:p>
    <w:bookmarkEnd w:id="235"/>
    <w:bookmarkStart w:id="236" w:name="actividades-de-control-2"/>
    <w:p>
      <w:pPr>
        <w:pStyle w:val="Heading2"/>
      </w:pPr>
      <w:r>
        <w:rPr>
          <w:rStyle w:val="SectionNumber"/>
        </w:rPr>
        <w:t xml:space="preserve">1.193</w:t>
      </w:r>
      <w:r>
        <w:tab/>
      </w:r>
      <w:r>
        <w:t xml:space="preserve">Actividades de control</w:t>
      </w:r>
    </w:p>
    <w:p>
      <w:pPr>
        <w:numPr>
          <w:ilvl w:val="0"/>
          <w:numId w:val="1065"/>
        </w:numPr>
        <w:pStyle w:val="Compact"/>
      </w:pPr>
      <w:r>
        <w:t xml:space="preserve">Mantener secciones de evaluación separadas de los anexos I y III.</w:t>
      </w:r>
    </w:p>
    <w:p>
      <w:pPr>
        <w:numPr>
          <w:ilvl w:val="0"/>
          <w:numId w:val="1065"/>
        </w:numPr>
        <w:pStyle w:val="Compact"/>
      </w:pPr>
      <w:r>
        <w:t xml:space="preserve">Citar el artículo exacto, el punto anexo y la legislación sobre productos.</w:t>
      </w:r>
    </w:p>
    <w:p>
      <w:pPr>
        <w:numPr>
          <w:ilvl w:val="0"/>
          <w:numId w:val="1065"/>
        </w:numPr>
        <w:pStyle w:val="Compact"/>
      </w:pPr>
      <w:r>
        <w:t xml:space="preserve">Exigir especialistas en seguridad de los productos para las evaluaciones del anexo I.</w:t>
      </w:r>
    </w:p>
    <w:p>
      <w:pPr>
        <w:numPr>
          <w:ilvl w:val="0"/>
          <w:numId w:val="1065"/>
        </w:numPr>
        <w:pStyle w:val="Compact"/>
      </w:pPr>
      <w:r>
        <w:t xml:space="preserve">Exigir la aprobación legal de las excepciones del anexo III.</w:t>
      </w:r>
    </w:p>
    <w:p>
      <w:pPr>
        <w:numPr>
          <w:ilvl w:val="0"/>
          <w:numId w:val="1065"/>
        </w:numPr>
        <w:pStyle w:val="Compact"/>
      </w:pPr>
      <w:r>
        <w:t xml:space="preserve">Vincular la clasificación a la fecha de implementación correcta.</w:t>
      </w:r>
    </w:p>
    <w:p>
      <w:pPr>
        <w:numPr>
          <w:ilvl w:val="0"/>
          <w:numId w:val="1065"/>
        </w:numPr>
        <w:pStyle w:val="Compact"/>
      </w:pPr>
      <w:r>
        <w:t xml:space="preserve">Reevaluar después de cambios de propósito, producto, modelo, datos, flujo de trabajo, proveedor o jurisdicción.</w:t>
      </w:r>
    </w:p>
    <w:p>
      <w:pPr>
        <w:numPr>
          <w:ilvl w:val="0"/>
          <w:numId w:val="1065"/>
        </w:numPr>
        <w:pStyle w:val="Compact"/>
      </w:pPr>
      <w:r>
        <w:t xml:space="preserve">Reconciliar el análisis con documentación técnica, contratos, evaluaciones de riesgos y controles de despliegue.</w:t>
      </w:r>
    </w:p>
    <w:bookmarkEnd w:id="236"/>
    <w:bookmarkStart w:id="237" w:name="pruebas-20"/>
    <w:p>
      <w:pPr>
        <w:pStyle w:val="Heading2"/>
      </w:pPr>
      <w:r>
        <w:rPr>
          <w:rStyle w:val="SectionNumber"/>
        </w:rPr>
        <w:t xml:space="preserve">1.194</w:t>
      </w:r>
      <w:r>
        <w:tab/>
      </w:r>
      <w:r>
        <w:t xml:space="preserve">Pruebas</w:t>
      </w:r>
    </w:p>
    <w:p>
      <w:pPr>
        <w:numPr>
          <w:ilvl w:val="0"/>
          <w:numId w:val="1066"/>
        </w:numPr>
        <w:pStyle w:val="Compact"/>
      </w:pPr>
      <w:r>
        <w:t xml:space="preserve">mapeo de la legislación sobre productos del anexo I;</w:t>
      </w:r>
    </w:p>
    <w:p>
      <w:pPr>
        <w:numPr>
          <w:ilvl w:val="0"/>
          <w:numId w:val="1066"/>
        </w:numPr>
        <w:pStyle w:val="Compact"/>
      </w:pPr>
      <w:r>
        <w:t xml:space="preserve">la cartografía de casos de uso del anexo III;</w:t>
      </w:r>
    </w:p>
    <w:p>
      <w:pPr>
        <w:numPr>
          <w:ilvl w:val="0"/>
          <w:numId w:val="1066"/>
        </w:numPr>
        <w:pStyle w:val="Compact"/>
      </w:pPr>
      <w:r>
        <w:t xml:space="preserve">declaración de finalidad prevista;</w:t>
      </w:r>
    </w:p>
    <w:p>
      <w:pPr>
        <w:numPr>
          <w:ilvl w:val="0"/>
          <w:numId w:val="1066"/>
        </w:numPr>
        <w:pStyle w:val="Compact"/>
      </w:pPr>
      <w:r>
        <w:t xml:space="preserve">análisis de la evaluación de la conformidad;</w:t>
      </w:r>
    </w:p>
    <w:p>
      <w:pPr>
        <w:numPr>
          <w:ilvl w:val="0"/>
          <w:numId w:val="1066"/>
        </w:numPr>
        <w:pStyle w:val="Compact"/>
      </w:pPr>
      <w:r>
        <w:t xml:space="preserve">el registro de excepción del artículo 6, apartado 3;</w:t>
      </w:r>
    </w:p>
    <w:p>
      <w:pPr>
        <w:numPr>
          <w:ilvl w:val="0"/>
          <w:numId w:val="1066"/>
        </w:numPr>
        <w:pStyle w:val="Compact"/>
      </w:pPr>
      <w:r>
        <w:t xml:space="preserve">evaluación de perfiles;</w:t>
      </w:r>
    </w:p>
    <w:p>
      <w:pPr>
        <w:numPr>
          <w:ilvl w:val="0"/>
          <w:numId w:val="1066"/>
        </w:numPr>
        <w:pStyle w:val="Compact"/>
      </w:pPr>
      <w:r>
        <w:t xml:space="preserve">las aprobaciones legales y de seguridad de los productos;</w:t>
      </w:r>
    </w:p>
    <w:p>
      <w:pPr>
        <w:numPr>
          <w:ilvl w:val="0"/>
          <w:numId w:val="1066"/>
        </w:numPr>
        <w:pStyle w:val="Compact"/>
      </w:pPr>
      <w:r>
        <w:t xml:space="preserve">arquitectura del sistema y registros de flujo de trabajo;</w:t>
      </w:r>
    </w:p>
    <w:p>
      <w:pPr>
        <w:numPr>
          <w:ilvl w:val="0"/>
          <w:numId w:val="1066"/>
        </w:numPr>
        <w:pStyle w:val="Compact"/>
      </w:pPr>
      <w:r>
        <w:t xml:space="preserve">calendario de ejecución;</w:t>
      </w:r>
    </w:p>
    <w:p>
      <w:pPr>
        <w:numPr>
          <w:ilvl w:val="0"/>
          <w:numId w:val="1066"/>
        </w:numPr>
        <w:pStyle w:val="Compact"/>
      </w:pPr>
      <w:r>
        <w:t xml:space="preserve">Historial de reevaluación.</w:t>
      </w:r>
    </w:p>
    <w:bookmarkEnd w:id="237"/>
    <w:bookmarkStart w:id="238" w:name="pruebas-de-auditoría-2"/>
    <w:p>
      <w:pPr>
        <w:pStyle w:val="Heading2"/>
      </w:pPr>
      <w:r>
        <w:rPr>
          <w:rStyle w:val="SectionNumber"/>
        </w:rPr>
        <w:t xml:space="preserve">1.195</w:t>
      </w:r>
      <w:r>
        <w:tab/>
      </w:r>
      <w:r>
        <w:t xml:space="preserve">Pruebas de auditoría</w:t>
      </w:r>
    </w:p>
    <w:p>
      <w:pPr>
        <w:numPr>
          <w:ilvl w:val="0"/>
          <w:numId w:val="1067"/>
        </w:numPr>
        <w:pStyle w:val="Compact"/>
      </w:pPr>
      <w:r>
        <w:t xml:space="preserve">Verificar que los análisis de los anexos I y III estén separados.</w:t>
      </w:r>
    </w:p>
    <w:p>
      <w:pPr>
        <w:numPr>
          <w:ilvl w:val="0"/>
          <w:numId w:val="1067"/>
        </w:numPr>
        <w:pStyle w:val="Compact"/>
      </w:pPr>
      <w:r>
        <w:t xml:space="preserve">Traza las conclusiones del anexo I de la legislación aplicable sobre productos y las condiciones de conformidad.</w:t>
      </w:r>
    </w:p>
    <w:p>
      <w:pPr>
        <w:numPr>
          <w:ilvl w:val="0"/>
          <w:numId w:val="1067"/>
        </w:numPr>
        <w:pStyle w:val="Compact"/>
      </w:pPr>
      <w:r>
        <w:t xml:space="preserve">Traza las conclusiones del anexo III hasta el punto exacto y el propósito previsto.</w:t>
      </w:r>
    </w:p>
    <w:p>
      <w:pPr>
        <w:numPr>
          <w:ilvl w:val="0"/>
          <w:numId w:val="1067"/>
        </w:numPr>
        <w:pStyle w:val="Compact"/>
      </w:pPr>
      <w:r>
        <w:t xml:space="preserve">Revisar las excepciones del apartado 3 del artículo 6 para el análisis completo de pruebas y perfiles.</w:t>
      </w:r>
    </w:p>
    <w:p>
      <w:pPr>
        <w:numPr>
          <w:ilvl w:val="0"/>
          <w:numId w:val="1067"/>
        </w:numPr>
        <w:pStyle w:val="Compact"/>
      </w:pPr>
      <w:r>
        <w:t xml:space="preserve">Confirme que las fechas del 2 de diciembre de 2027 y del 2 de agosto de 2028 están asignadas correctamente.</w:t>
      </w:r>
    </w:p>
    <w:p>
      <w:pPr>
        <w:numPr>
          <w:ilvl w:val="0"/>
          <w:numId w:val="1067"/>
        </w:numPr>
        <w:pStyle w:val="Compact"/>
      </w:pPr>
      <w:r>
        <w:t xml:space="preserve">Verificar otras leyes aplicables y los deberes de AI Act no se aplazan incorrectamente.</w:t>
      </w:r>
    </w:p>
    <w:p>
      <w:pPr>
        <w:numPr>
          <w:ilvl w:val="0"/>
          <w:numId w:val="1067"/>
        </w:numPr>
        <w:pStyle w:val="Compact"/>
      </w:pPr>
      <w:r>
        <w:t xml:space="preserve">Comprobar si los cambios del sistema desencadenan una reevaluación.</w:t>
      </w:r>
    </w:p>
    <w:bookmarkEnd w:id="238"/>
    <w:bookmarkStart w:id="239" w:name="lista-de-verificación-de-gestión-2"/>
    <w:p>
      <w:pPr>
        <w:pStyle w:val="Heading2"/>
      </w:pPr>
      <w:r>
        <w:rPr>
          <w:rStyle w:val="SectionNumber"/>
        </w:rPr>
        <w:t xml:space="preserve">1.196</w:t>
      </w:r>
      <w:r>
        <w:tab/>
      </w:r>
      <w:r>
        <w:t xml:space="preserve">Lista de verificación de gestión</w:t>
      </w:r>
    </w:p>
    <w:p>
      <w:pPr>
        <w:numPr>
          <w:ilvl w:val="0"/>
          <w:numId w:val="1068"/>
        </w:numPr>
        <w:pStyle w:val="Compact"/>
      </w:pPr>
      <w:r>
        <w:t xml:space="preserve">¿Se consideran los anexos I y III como vías jurídicas diferentes?</w:t>
      </w:r>
    </w:p>
    <w:p>
      <w:pPr>
        <w:numPr>
          <w:ilvl w:val="0"/>
          <w:numId w:val="1068"/>
        </w:numPr>
        <w:pStyle w:val="Compact"/>
      </w:pPr>
      <w:r>
        <w:t xml:space="preserve">¿Está documentado el punto exacto del anexo?</w:t>
      </w:r>
    </w:p>
    <w:p>
      <w:pPr>
        <w:numPr>
          <w:ilvl w:val="0"/>
          <w:numId w:val="1068"/>
        </w:numPr>
        <w:pStyle w:val="Compact"/>
      </w:pPr>
      <w:r>
        <w:t xml:space="preserve">¿La evaluación refleja el propósito real previsto y el despliegue?</w:t>
      </w:r>
    </w:p>
    <w:p>
      <w:pPr>
        <w:numPr>
          <w:ilvl w:val="0"/>
          <w:numId w:val="1068"/>
        </w:numPr>
        <w:pStyle w:val="Compact"/>
      </w:pPr>
      <w:r>
        <w:t xml:space="preserve">¿Se apoya y aprueba plenamente alguna excepción?</w:t>
      </w:r>
    </w:p>
    <w:p>
      <w:pPr>
        <w:numPr>
          <w:ilvl w:val="0"/>
          <w:numId w:val="1068"/>
        </w:numPr>
        <w:pStyle w:val="Compact"/>
      </w:pPr>
      <w:r>
        <w:t xml:space="preserve">¿Las fechas de implementación están correctamente mapeadas?</w:t>
      </w:r>
    </w:p>
    <w:p>
      <w:pPr>
        <w:numPr>
          <w:ilvl w:val="0"/>
          <w:numId w:val="1068"/>
        </w:numPr>
        <w:pStyle w:val="Compact"/>
      </w:pPr>
      <w:r>
        <w:t xml:space="preserve">¿Se hace un seguimiento independiente de otras funciones?</w:t>
      </w:r>
    </w:p>
    <w:bookmarkEnd w:id="239"/>
    <w:bookmarkStart w:id="240" w:name="X41b378d442901ba4c579ddb1ca5ce1f117205e7"/>
    <w:p>
      <w:pPr>
        <w:pStyle w:val="Heading2"/>
      </w:pPr>
      <w:r>
        <w:rPr>
          <w:rStyle w:val="SectionNumber"/>
        </w:rPr>
        <w:t xml:space="preserve">1.197</w:t>
      </w:r>
      <w:r>
        <w:tab/>
      </w:r>
      <w:r>
        <w:t xml:space="preserve">Especificación de la figura: comparación entre los anexos I y III</w:t>
      </w:r>
    </w:p>
    <w:p>
      <w:pPr>
        <w:pStyle w:val="FirstParagraph"/>
      </w:pPr>
      <w:r>
        <w:t xml:space="preserve">La parte del anexo I debe mostrar el producto regulado, el componente de seguridad, la legislación sobre productos, la evaluación de la conformidad de terceros y la fecha del 2 de agosto de 2028. La parte del anexo III debe mostrar el caso de uso sensible, el propósito previsto, el análisis de excepciones del apartado 3 del artículo 6, la restricción de perfiles y la fecha del 2 de diciembre de 2027.</w:t>
      </w:r>
    </w:p>
    <w:p>
      <w:pPr>
        <w:pStyle w:val="BodyText"/>
      </w:pPr>
      <w:r>
        <w:rPr>
          <w:bCs/>
          <w:b/>
        </w:rPr>
        <w:t xml:space="preserve">Texto Alt:</w:t>
      </w:r>
      <w:r>
        <w:t xml:space="preserve"> </w:t>
      </w:r>
      <w:r>
        <w:t xml:space="preserve">Comparación de la IA de alto riesgo relacionada con el producto del anexo I y la IA de alto riesgo de uso sensible del anexo III, mostrando sus diferentes pruebas legales, vías de conformidad y excepción, fechas de implementación, requisitos de evidencia y controles de reevaluación.</w:t>
      </w:r>
    </w:p>
    <w:bookmarkEnd w:id="240"/>
    <w:bookmarkStart w:id="241" w:name="Xb48c56e792fd72d3dbe09f9f160a4c85ec4cc3e"/>
    <w:p>
      <w:pPr>
        <w:pStyle w:val="Heading2"/>
      </w:pPr>
      <w:r>
        <w:rPr>
          <w:rStyle w:val="SectionNumber"/>
        </w:rPr>
        <w:t xml:space="preserve">1.198</w:t>
      </w:r>
      <w:r>
        <w:tab/>
      </w:r>
      <w:r>
        <w:t xml:space="preserve">Capítulo 22 — Excepción y análisis de alto riesgo</w:t>
      </w:r>
    </w:p>
    <w:p>
      <w:pPr>
        <w:pStyle w:val="BlockText"/>
      </w:pPr>
      <w:r>
        <w:rPr>
          <w:bCs/>
          <w:b/>
        </w:rPr>
        <w:t xml:space="preserve">Estatus legal:</w:t>
      </w:r>
      <w:r>
        <w:t xml:space="preserve"> </w:t>
      </w:r>
      <w:r>
        <w:t xml:space="preserve">Maestro inglés corregido. El análisis de alto riesgo y cualquier análisis de excepción deben ser verificados con el texto consolidado actual, incluyendo la fecha de activación y aplicación legal específica.</w:t>
      </w:r>
    </w:p>
    <w:bookmarkEnd w:id="241"/>
    <w:bookmarkStart w:id="242" w:name="requisito-20"/>
    <w:p>
      <w:pPr>
        <w:pStyle w:val="Heading2"/>
      </w:pPr>
      <w:r>
        <w:rPr>
          <w:rStyle w:val="SectionNumber"/>
        </w:rPr>
        <w:t xml:space="preserve">1.199</w:t>
      </w:r>
      <w:r>
        <w:tab/>
      </w:r>
      <w:r>
        <w:t xml:space="preserve">Requisito</w:t>
      </w:r>
    </w:p>
    <w:p>
      <w:pPr>
        <w:pStyle w:val="FirstParagraph"/>
      </w:pPr>
      <w:r>
        <w:t xml:space="preserve">Evaluar si un sistema de IA pertenece a una categoría de alto riesgo y si se aplica alguna exclusión, limitación o excepción legalmente disponible.</w:t>
      </w:r>
    </w:p>
    <w:bookmarkEnd w:id="242"/>
    <w:bookmarkStart w:id="243" w:name="explicación-en-lenguaje-sencillo-17"/>
    <w:p>
      <w:pPr>
        <w:pStyle w:val="Heading2"/>
      </w:pPr>
      <w:r>
        <w:rPr>
          <w:rStyle w:val="SectionNumber"/>
        </w:rPr>
        <w:t xml:space="preserve">1.200</w:t>
      </w:r>
      <w:r>
        <w:tab/>
      </w:r>
      <w:r>
        <w:t xml:space="preserve">Explicación en lenguaje sencillo</w:t>
      </w:r>
    </w:p>
    <w:p>
      <w:pPr>
        <w:pStyle w:val="FirstParagraph"/>
      </w:pPr>
      <w:r>
        <w:t xml:space="preserve">Una descripción comercial por sí sola es insuficiente. El análisis debe conectar el propósito previsto y el uso real con el artículo pertinente y la entrada del anexo.</w:t>
      </w:r>
    </w:p>
    <w:bookmarkEnd w:id="243"/>
    <w:bookmarkStart w:id="244" w:name="ejemplo-de-globalway-16"/>
    <w:p>
      <w:pPr>
        <w:pStyle w:val="Heading2"/>
      </w:pPr>
      <w:r>
        <w:rPr>
          <w:rStyle w:val="SectionNumber"/>
        </w:rPr>
        <w:t xml:space="preserve">1.201</w:t>
      </w:r>
      <w:r>
        <w:tab/>
      </w:r>
      <w:r>
        <w:t xml:space="preserve">Ejemplo de GlobalWay</w:t>
      </w:r>
    </w:p>
    <w:p>
      <w:pPr>
        <w:pStyle w:val="FirstParagraph"/>
      </w:pPr>
      <w:r>
        <w:t xml:space="preserve">GlobalWay evalúa por separado una herramienta de clasificación de la contratación, una alerta de riesgo de viaje y un asistente de apoyo al cliente porque sus propósitos y efectos difieren.</w:t>
      </w:r>
    </w:p>
    <w:bookmarkEnd w:id="244"/>
    <w:bookmarkStart w:id="245" w:name="actividad-de-control-17"/>
    <w:p>
      <w:pPr>
        <w:pStyle w:val="Heading2"/>
      </w:pPr>
      <w:r>
        <w:rPr>
          <w:rStyle w:val="SectionNumber"/>
        </w:rPr>
        <w:t xml:space="preserve">1.202</w:t>
      </w:r>
      <w:r>
        <w:tab/>
      </w:r>
      <w:r>
        <w:t xml:space="preserve">Actividad de control</w:t>
      </w:r>
    </w:p>
    <w:p>
      <w:pPr>
        <w:pStyle w:val="FirstParagraph"/>
      </w:pPr>
      <w:r>
        <w:t xml:space="preserve">Exigir la revisión legal y de cumplimiento del análisis de alto riesgo antes del uso de la producción y después del cambio de material.</w:t>
      </w:r>
    </w:p>
    <w:bookmarkEnd w:id="245"/>
    <w:bookmarkStart w:id="246" w:name="pruebas-21"/>
    <w:p>
      <w:pPr>
        <w:pStyle w:val="Heading2"/>
      </w:pPr>
      <w:r>
        <w:rPr>
          <w:rStyle w:val="SectionNumber"/>
        </w:rPr>
        <w:t xml:space="preserve">1.203</w:t>
      </w:r>
      <w:r>
        <w:tab/>
      </w:r>
      <w:r>
        <w:t xml:space="preserve">Pruebas</w:t>
      </w:r>
    </w:p>
    <w:p>
      <w:pPr>
        <w:pStyle w:val="FirstParagraph"/>
      </w:pPr>
      <w:r>
        <w:t xml:space="preserve">Registro de propósito previsto, descripción del caso de uso, cartografía del anexo, justificación de la excepción, aprobaciones y fecha de revisión.</w:t>
      </w:r>
    </w:p>
    <w:bookmarkEnd w:id="246"/>
    <w:bookmarkStart w:id="247" w:name="prueba-de-auditoría-18"/>
    <w:p>
      <w:pPr>
        <w:pStyle w:val="Heading2"/>
      </w:pPr>
      <w:r>
        <w:rPr>
          <w:rStyle w:val="SectionNumber"/>
        </w:rPr>
        <w:t xml:space="preserve">1.204</w:t>
      </w:r>
      <w:r>
        <w:tab/>
      </w:r>
      <w:r>
        <w:t xml:space="preserve">Prueba de auditoría</w:t>
      </w:r>
    </w:p>
    <w:p>
      <w:pPr>
        <w:pStyle w:val="FirstParagraph"/>
      </w:pPr>
      <w:r>
        <w:t xml:space="preserve">Comprobar que las decisiones de la muestra identifican la disposición legal correcta, el actor, los hechos y las pruebas que respaldan el resultado.</w:t>
      </w:r>
    </w:p>
    <w:bookmarkEnd w:id="247"/>
    <w:bookmarkStart w:id="248" w:name="X18b95bdd9581fa834bcc2d693093c05555b771c"/>
    <w:p>
      <w:pPr>
        <w:pStyle w:val="Heading2"/>
      </w:pPr>
      <w:r>
        <w:rPr>
          <w:rStyle w:val="SectionNumber"/>
        </w:rPr>
        <w:t xml:space="preserve">1.205</w:t>
      </w:r>
      <w:r>
        <w:tab/>
      </w:r>
      <w:r>
        <w:t xml:space="preserve">Capítulo 23 — Revisión y aprobación de la clasificación</w:t>
      </w:r>
    </w:p>
    <w:p>
      <w:pPr>
        <w:pStyle w:val="BlockText"/>
      </w:pPr>
      <w:r>
        <w:rPr>
          <w:bCs/>
          <w:b/>
        </w:rPr>
        <w:t xml:space="preserve">Estatus legal:</w:t>
      </w:r>
      <w:r>
        <w:t xml:space="preserve"> </w:t>
      </w:r>
      <w:r>
        <w:t xml:space="preserve">Maestro inglés corregido. La aprobación de la clasificación es un control organizacional que apoya el cumplimiento; no reemplaza la prueba legal.</w:t>
      </w:r>
    </w:p>
    <w:bookmarkEnd w:id="248"/>
    <w:bookmarkStart w:id="249" w:name="requisito-21"/>
    <w:p>
      <w:pPr>
        <w:pStyle w:val="Heading2"/>
      </w:pPr>
      <w:r>
        <w:rPr>
          <w:rStyle w:val="SectionNumber"/>
        </w:rPr>
        <w:t xml:space="preserve">1.206</w:t>
      </w:r>
      <w:r>
        <w:tab/>
      </w:r>
      <w:r>
        <w:t xml:space="preserve">Requisito</w:t>
      </w:r>
    </w:p>
    <w:p>
      <w:pPr>
        <w:pStyle w:val="FirstParagraph"/>
      </w:pPr>
      <w:r>
        <w:t xml:space="preserve">Establecer un examen independiente y la aprobación documentada de las decisiones de clasificación de la IA.</w:t>
      </w:r>
    </w:p>
    <w:bookmarkEnd w:id="249"/>
    <w:bookmarkStart w:id="250" w:name="explicación-en-lenguaje-sencillo-18"/>
    <w:p>
      <w:pPr>
        <w:pStyle w:val="Heading2"/>
      </w:pPr>
      <w:r>
        <w:rPr>
          <w:rStyle w:val="SectionNumber"/>
        </w:rPr>
        <w:t xml:space="preserve">1.207</w:t>
      </w:r>
      <w:r>
        <w:tab/>
      </w:r>
      <w:r>
        <w:t xml:space="preserve">Explicación en lenguaje sencillo</w:t>
      </w:r>
    </w:p>
    <w:p>
      <w:pPr>
        <w:pStyle w:val="FirstParagraph"/>
      </w:pPr>
      <w:r>
        <w:t xml:space="preserve">La persona que propone un uso no debe ser la única persona que decida su categoría legal.</w:t>
      </w:r>
    </w:p>
    <w:bookmarkEnd w:id="250"/>
    <w:bookmarkStart w:id="251" w:name="ejemplo-de-globalway-17"/>
    <w:p>
      <w:pPr>
        <w:pStyle w:val="Heading2"/>
      </w:pPr>
      <w:r>
        <w:rPr>
          <w:rStyle w:val="SectionNumber"/>
        </w:rPr>
        <w:t xml:space="preserve">1.208</w:t>
      </w:r>
      <w:r>
        <w:tab/>
      </w:r>
      <w:r>
        <w:t xml:space="preserve">Ejemplo de GlobalWay</w:t>
      </w:r>
    </w:p>
    <w:p>
      <w:pPr>
        <w:pStyle w:val="FirstParagraph"/>
      </w:pPr>
      <w:r>
        <w:t xml:space="preserve">GlobalWay requiere revisión de negocios, legales, privacidad, seguridad y gobernanza de IA para sistemas de materiales.</w:t>
      </w:r>
    </w:p>
    <w:bookmarkEnd w:id="251"/>
    <w:bookmarkStart w:id="252" w:name="actividad-de-control-18"/>
    <w:p>
      <w:pPr>
        <w:pStyle w:val="Heading2"/>
      </w:pPr>
      <w:r>
        <w:rPr>
          <w:rStyle w:val="SectionNumber"/>
        </w:rPr>
        <w:t xml:space="preserve">1.209</w:t>
      </w:r>
      <w:r>
        <w:tab/>
      </w:r>
      <w:r>
        <w:t xml:space="preserve">Actividad de control</w:t>
      </w:r>
    </w:p>
    <w:p>
      <w:pPr>
        <w:pStyle w:val="FirstParagraph"/>
      </w:pPr>
      <w:r>
        <w:t xml:space="preserve">Utilice umbrales de aprobación definidos, reglas de escalada y controles de conflictos de intereses.</w:t>
      </w:r>
    </w:p>
    <w:bookmarkEnd w:id="252"/>
    <w:bookmarkStart w:id="253" w:name="pruebas-22"/>
    <w:p>
      <w:pPr>
        <w:pStyle w:val="Heading2"/>
      </w:pPr>
      <w:r>
        <w:rPr>
          <w:rStyle w:val="SectionNumber"/>
        </w:rPr>
        <w:t xml:space="preserve">1.210</w:t>
      </w:r>
      <w:r>
        <w:tab/>
      </w:r>
      <w:r>
        <w:t xml:space="preserve">Pruebas</w:t>
      </w:r>
    </w:p>
    <w:p>
      <w:pPr>
        <w:pStyle w:val="FirstParagraph"/>
      </w:pPr>
      <w:r>
        <w:t xml:space="preserve">Comentarios del revisor, registro de aprobación, cuestiones no resueltas, condiciones y fecha de revisión.</w:t>
      </w:r>
    </w:p>
    <w:bookmarkEnd w:id="253"/>
    <w:bookmarkStart w:id="254" w:name="prueba-de-auditoría-19"/>
    <w:p>
      <w:pPr>
        <w:pStyle w:val="Heading2"/>
      </w:pPr>
      <w:r>
        <w:rPr>
          <w:rStyle w:val="SectionNumber"/>
        </w:rPr>
        <w:t xml:space="preserve">1.211</w:t>
      </w:r>
      <w:r>
        <w:tab/>
      </w:r>
      <w:r>
        <w:t xml:space="preserve">Prueba de auditoría</w:t>
      </w:r>
    </w:p>
    <w:p>
      <w:pPr>
        <w:pStyle w:val="FirstParagraph"/>
      </w:pPr>
      <w:r>
        <w:t xml:space="preserve">Confirme que los sistemas de muestreo recibieron la revisión necesaria antes del despliegue.</w:t>
      </w:r>
    </w:p>
    <w:bookmarkEnd w:id="254"/>
    <w:bookmarkStart w:id="255" w:name="X39e1c4661dee160a9863e61a917761370a9706a"/>
    <w:p>
      <w:pPr>
        <w:pStyle w:val="Heading2"/>
      </w:pPr>
      <w:r>
        <w:rPr>
          <w:rStyle w:val="SectionNumber"/>
        </w:rPr>
        <w:t xml:space="preserve">1.212</w:t>
      </w:r>
      <w:r>
        <w:tab/>
      </w:r>
      <w:r>
        <w:t xml:space="preserve">Capítulo 24 — Activadores de reclasificación y cambio</w:t>
      </w:r>
    </w:p>
    <w:p>
      <w:pPr>
        <w:pStyle w:val="BlockText"/>
      </w:pPr>
      <w:r>
        <w:rPr>
          <w:bCs/>
          <w:b/>
        </w:rPr>
        <w:t xml:space="preserve">Estado legal:</w:t>
      </w:r>
      <w:r>
        <w:t xml:space="preserve"> </w:t>
      </w:r>
      <w:r>
        <w:t xml:space="preserve">Maestro inglés corregido. La reclasificación debe basarse en hechos y leyes actuales; los umbrales de activación internos son controles de gobernanza.</w:t>
      </w:r>
    </w:p>
    <w:bookmarkEnd w:id="255"/>
    <w:bookmarkStart w:id="256" w:name="requisito-22"/>
    <w:p>
      <w:pPr>
        <w:pStyle w:val="Heading2"/>
      </w:pPr>
      <w:r>
        <w:rPr>
          <w:rStyle w:val="SectionNumber"/>
        </w:rPr>
        <w:t xml:space="preserve">1.213</w:t>
      </w:r>
      <w:r>
        <w:tab/>
      </w:r>
      <w:r>
        <w:t xml:space="preserve">Requisito</w:t>
      </w:r>
    </w:p>
    <w:p>
      <w:pPr>
        <w:pStyle w:val="FirstParagraph"/>
      </w:pPr>
      <w:r>
        <w:t xml:space="preserve">Reevaluar la clasificación cuando cambien los requisitos de propósito, funcionalidad, modelo, datos, población de usuarios, jurisdicción, proveedor o requisitos legales.</w:t>
      </w:r>
    </w:p>
    <w:bookmarkEnd w:id="256"/>
    <w:bookmarkStart w:id="257" w:name="explicación-en-lenguaje-sencillo-19"/>
    <w:p>
      <w:pPr>
        <w:pStyle w:val="Heading2"/>
      </w:pPr>
      <w:r>
        <w:rPr>
          <w:rStyle w:val="SectionNumber"/>
        </w:rPr>
        <w:t xml:space="preserve">1.214</w:t>
      </w:r>
      <w:r>
        <w:tab/>
      </w:r>
      <w:r>
        <w:t xml:space="preserve">Explicación en lenguaje sencillo</w:t>
      </w:r>
    </w:p>
    <w:p>
      <w:pPr>
        <w:pStyle w:val="FirstParagraph"/>
      </w:pPr>
      <w:r>
        <w:t xml:space="preserve">Una decisión correcta puede quedar obsoleta después de un cambio material.</w:t>
      </w:r>
    </w:p>
    <w:bookmarkEnd w:id="257"/>
    <w:bookmarkStart w:id="258" w:name="ejemplo-de-globalway-18"/>
    <w:p>
      <w:pPr>
        <w:pStyle w:val="Heading2"/>
      </w:pPr>
      <w:r>
        <w:rPr>
          <w:rStyle w:val="SectionNumber"/>
        </w:rPr>
        <w:t xml:space="preserve">1.215</w:t>
      </w:r>
      <w:r>
        <w:tab/>
      </w:r>
      <w:r>
        <w:t xml:space="preserve">Ejemplo de GlobalWay</w:t>
      </w:r>
    </w:p>
    <w:p>
      <w:pPr>
        <w:pStyle w:val="FirstParagraph"/>
      </w:pPr>
      <w:r>
        <w:t xml:space="preserve">GlobalWay reabre la clasificación cuando un asistente de servicio al cliente está adaptado para clasificar a los solicitantes de empleo.</w:t>
      </w:r>
    </w:p>
    <w:bookmarkEnd w:id="258"/>
    <w:bookmarkStart w:id="259" w:name="actividad-de-control-19"/>
    <w:p>
      <w:pPr>
        <w:pStyle w:val="Heading2"/>
      </w:pPr>
      <w:r>
        <w:rPr>
          <w:rStyle w:val="SectionNumber"/>
        </w:rPr>
        <w:t xml:space="preserve">1.216</w:t>
      </w:r>
      <w:r>
        <w:tab/>
      </w:r>
      <w:r>
        <w:t xml:space="preserve">Actividad de control</w:t>
      </w:r>
    </w:p>
    <w:p>
      <w:pPr>
        <w:pStyle w:val="FirstParagraph"/>
      </w:pPr>
      <w:r>
        <w:t xml:space="preserve">Conecte la gestión del cambio a la revisión obligatoria de clasificación y bloqueo de liberación.</w:t>
      </w:r>
    </w:p>
    <w:bookmarkEnd w:id="259"/>
    <w:bookmarkStart w:id="260" w:name="pruebas-23"/>
    <w:p>
      <w:pPr>
        <w:pStyle w:val="Heading2"/>
      </w:pPr>
      <w:r>
        <w:rPr>
          <w:rStyle w:val="SectionNumber"/>
        </w:rPr>
        <w:t xml:space="preserve">1.217</w:t>
      </w:r>
      <w:r>
        <w:tab/>
      </w:r>
      <w:r>
        <w:t xml:space="preserve">Pruebas</w:t>
      </w:r>
    </w:p>
    <w:p>
      <w:pPr>
        <w:pStyle w:val="FirstParagraph"/>
      </w:pPr>
      <w:r>
        <w:t xml:space="preserve">Solicitud de cambio, análisis de impacto, clasificación revisada, aprobaciones y decisión de liberación.</w:t>
      </w:r>
    </w:p>
    <w:bookmarkEnd w:id="260"/>
    <w:bookmarkStart w:id="261" w:name="prueba-de-auditoría-20"/>
    <w:p>
      <w:pPr>
        <w:pStyle w:val="Heading2"/>
      </w:pPr>
      <w:r>
        <w:rPr>
          <w:rStyle w:val="SectionNumber"/>
        </w:rPr>
        <w:t xml:space="preserve">1.218</w:t>
      </w:r>
      <w:r>
        <w:tab/>
      </w:r>
      <w:r>
        <w:t xml:space="preserve">Prueba de auditoría</w:t>
      </w:r>
    </w:p>
    <w:p>
      <w:pPr>
        <w:pStyle w:val="FirstParagraph"/>
      </w:pPr>
      <w:r>
        <w:t xml:space="preserve">Cambios en el material de la muestra para la reclasificación completa antes de su despliegue.</w:t>
      </w:r>
    </w:p>
    <w:bookmarkEnd w:id="261"/>
    <w:bookmarkStart w:id="262" w:name="X2171ceea0c45df95d43274843fe0062e5feaa25"/>
    <w:p>
      <w:pPr>
        <w:pStyle w:val="Heading2"/>
      </w:pPr>
      <w:r>
        <w:rPr>
          <w:rStyle w:val="SectionNumber"/>
        </w:rPr>
        <w:t xml:space="preserve">1.219</w:t>
      </w:r>
      <w:r>
        <w:tab/>
      </w:r>
      <w:r>
        <w:t xml:space="preserve">Capítulo 25 — Registro de clasificación y presentación de informes</w:t>
      </w:r>
    </w:p>
    <w:p>
      <w:pPr>
        <w:pStyle w:val="BlockText"/>
      </w:pPr>
      <w:r>
        <w:rPr>
          <w:bCs/>
          <w:b/>
        </w:rPr>
        <w:t xml:space="preserve">Estatus legal:</w:t>
      </w:r>
      <w:r>
        <w:t xml:space="preserve"> </w:t>
      </w:r>
      <w:r>
        <w:t xml:space="preserve">Maestro inglés corregido. El registro es un control organizacional y no debe exagerar las conclusiones legales.</w:t>
      </w:r>
    </w:p>
    <w:bookmarkEnd w:id="262"/>
    <w:bookmarkStart w:id="263" w:name="requisito-23"/>
    <w:p>
      <w:pPr>
        <w:pStyle w:val="Heading2"/>
      </w:pPr>
      <w:r>
        <w:rPr>
          <w:rStyle w:val="SectionNumber"/>
        </w:rPr>
        <w:t xml:space="preserve">1.220</w:t>
      </w:r>
      <w:r>
        <w:tab/>
      </w:r>
      <w:r>
        <w:t xml:space="preserve">Requisito</w:t>
      </w:r>
    </w:p>
    <w:p>
      <w:pPr>
        <w:pStyle w:val="FirstParagraph"/>
      </w:pPr>
      <w:r>
        <w:t xml:space="preserve">Mantener un registro actual de clasificaciones de IA, propietarios, bases legales, condiciones y fechas de revisión.</w:t>
      </w:r>
    </w:p>
    <w:bookmarkEnd w:id="263"/>
    <w:bookmarkStart w:id="264" w:name="explicación-en-lenguaje-sencillo-20"/>
    <w:p>
      <w:pPr>
        <w:pStyle w:val="Heading2"/>
      </w:pPr>
      <w:r>
        <w:rPr>
          <w:rStyle w:val="SectionNumber"/>
        </w:rPr>
        <w:t xml:space="preserve">1.221</w:t>
      </w:r>
      <w:r>
        <w:tab/>
      </w:r>
      <w:r>
        <w:t xml:space="preserve">Explicación en lenguaje sencillo</w:t>
      </w:r>
    </w:p>
    <w:p>
      <w:pPr>
        <w:pStyle w:val="FirstParagraph"/>
      </w:pPr>
      <w:r>
        <w:t xml:space="preserve">La administración necesita una visión fiable de lo que se decidió, por qué y cuándo debe revisarse.</w:t>
      </w:r>
    </w:p>
    <w:bookmarkEnd w:id="264"/>
    <w:bookmarkStart w:id="265" w:name="ejemplo-de-globalway-19"/>
    <w:p>
      <w:pPr>
        <w:pStyle w:val="Heading2"/>
      </w:pPr>
      <w:r>
        <w:rPr>
          <w:rStyle w:val="SectionNumber"/>
        </w:rPr>
        <w:t xml:space="preserve">1.222</w:t>
      </w:r>
      <w:r>
        <w:tab/>
      </w:r>
      <w:r>
        <w:t xml:space="preserve">Ejemplo de GlobalWay</w:t>
      </w:r>
    </w:p>
    <w:p>
      <w:pPr>
        <w:pStyle w:val="FirstParagraph"/>
      </w:pPr>
      <w:r>
        <w:t xml:space="preserve">GlobalWay informa de clasificaciones no resueltas y exámenes atrasados a su comité de gobernanza de la IA.</w:t>
      </w:r>
    </w:p>
    <w:bookmarkEnd w:id="265"/>
    <w:bookmarkStart w:id="266" w:name="actividad-de-control-20"/>
    <w:p>
      <w:pPr>
        <w:pStyle w:val="Heading2"/>
      </w:pPr>
      <w:r>
        <w:rPr>
          <w:rStyle w:val="SectionNumber"/>
        </w:rPr>
        <w:t xml:space="preserve">1.223</w:t>
      </w:r>
      <w:r>
        <w:tab/>
      </w:r>
      <w:r>
        <w:t xml:space="preserve">Actividad de control</w:t>
      </w:r>
    </w:p>
    <w:p>
      <w:pPr>
        <w:pStyle w:val="FirstParagraph"/>
      </w:pPr>
      <w:r>
        <w:t xml:space="preserve">Reconcile el registro a inventarios de adquisiciones, arquitectura, privacidad, seguridad e producción.</w:t>
      </w:r>
    </w:p>
    <w:bookmarkEnd w:id="266"/>
    <w:bookmarkStart w:id="267" w:name="pruebas-24"/>
    <w:p>
      <w:pPr>
        <w:pStyle w:val="Heading2"/>
      </w:pPr>
      <w:r>
        <w:rPr>
          <w:rStyle w:val="SectionNumber"/>
        </w:rPr>
        <w:t xml:space="preserve">1.224</w:t>
      </w:r>
      <w:r>
        <w:tab/>
      </w:r>
      <w:r>
        <w:t xml:space="preserve">Pruebas</w:t>
      </w:r>
    </w:p>
    <w:p>
      <w:pPr>
        <w:pStyle w:val="FirstParagraph"/>
      </w:pPr>
      <w:r>
        <w:t xml:space="preserve">Registrar extractos, registros de conciliación, excepciones, tableros y aprobaciones.</w:t>
      </w:r>
    </w:p>
    <w:bookmarkEnd w:id="267"/>
    <w:bookmarkStart w:id="268" w:name="prueba-de-auditoría-21"/>
    <w:p>
      <w:pPr>
        <w:pStyle w:val="Heading2"/>
      </w:pPr>
      <w:r>
        <w:rPr>
          <w:rStyle w:val="SectionNumber"/>
        </w:rPr>
        <w:t xml:space="preserve">1.225</w:t>
      </w:r>
      <w:r>
        <w:tab/>
      </w:r>
      <w:r>
        <w:t xml:space="preserve">Prueba de auditoría</w:t>
      </w:r>
    </w:p>
    <w:p>
      <w:pPr>
        <w:pStyle w:val="FirstParagraph"/>
      </w:pPr>
      <w:r>
        <w:t xml:space="preserve">Comprobar la exhaustividad, exactitud y revisión oportuna de las entradas de registro de la muestra.</w:t>
      </w:r>
    </w:p>
    <w:bookmarkEnd w:id="268"/>
    <w:bookmarkStart w:id="269" w:name="X0d033669e9fde8d6e64a42f8b2044ce42f6f7e0"/>
    <w:p>
      <w:pPr>
        <w:pStyle w:val="Heading2"/>
      </w:pPr>
      <w:r>
        <w:rPr>
          <w:rStyle w:val="SectionNumber"/>
        </w:rPr>
        <w:t xml:space="preserve">1.226</w:t>
      </w:r>
      <w:r>
        <w:tab/>
      </w:r>
      <w:r>
        <w:t xml:space="preserve">Capítulo 26 — Información general sobre las prácticas prohibidas</w:t>
      </w:r>
    </w:p>
    <w:p>
      <w:pPr>
        <w:pStyle w:val="BlockText"/>
      </w:pPr>
      <w:r>
        <w:rPr>
          <w:bCs/>
          <w:b/>
        </w:rPr>
        <w:t xml:space="preserve">Estado legal:</w:t>
      </w:r>
      <w:r>
        <w:t xml:space="preserve"> </w:t>
      </w:r>
      <w:r>
        <w:t xml:space="preserve">Maestro inglés corregido. Las conclusiones de prácticas prohibidas deben ser verificadas con el texto consolidado actual del Artículo 5 y las fechas aplicables.</w:t>
      </w:r>
    </w:p>
    <w:bookmarkEnd w:id="269"/>
    <w:bookmarkStart w:id="270" w:name="requisito-24"/>
    <w:p>
      <w:pPr>
        <w:pStyle w:val="Heading2"/>
      </w:pPr>
      <w:r>
        <w:rPr>
          <w:rStyle w:val="SectionNumber"/>
        </w:rPr>
        <w:t xml:space="preserve">1.227</w:t>
      </w:r>
      <w:r>
        <w:tab/>
      </w:r>
      <w:r>
        <w:t xml:space="preserve">Requisito</w:t>
      </w:r>
    </w:p>
    <w:p>
      <w:pPr>
        <w:pStyle w:val="FirstParagraph"/>
      </w:pPr>
      <w:r>
        <w:t xml:space="preserve">Usos de IA de pantalla para prácticas prohibidas por la Ley de IA de la UE antes de la adquisición, desarrollo, pruebas o despliegue.</w:t>
      </w:r>
    </w:p>
    <w:bookmarkEnd w:id="270"/>
    <w:bookmarkStart w:id="271" w:name="explicación-en-lenguaje-sencillo-21"/>
    <w:p>
      <w:pPr>
        <w:pStyle w:val="Heading2"/>
      </w:pPr>
      <w:r>
        <w:rPr>
          <w:rStyle w:val="SectionNumber"/>
        </w:rPr>
        <w:t xml:space="preserve">1.228</w:t>
      </w:r>
      <w:r>
        <w:tab/>
      </w:r>
      <w:r>
        <w:t xml:space="preserve">Explicación en lenguaje sencillo</w:t>
      </w:r>
    </w:p>
    <w:p>
      <w:pPr>
        <w:pStyle w:val="FirstParagraph"/>
      </w:pPr>
      <w:r>
        <w:t xml:space="preserve">Algunos usos no pueden aprobarse mediante controles ordinarios de aceptación del riesgo o de compensación.</w:t>
      </w:r>
    </w:p>
    <w:bookmarkEnd w:id="271"/>
    <w:bookmarkStart w:id="272" w:name="ejemplo-de-globalway-20"/>
    <w:p>
      <w:pPr>
        <w:pStyle w:val="Heading2"/>
      </w:pPr>
      <w:r>
        <w:rPr>
          <w:rStyle w:val="SectionNumber"/>
        </w:rPr>
        <w:t xml:space="preserve">1.229</w:t>
      </w:r>
      <w:r>
        <w:tab/>
      </w:r>
      <w:r>
        <w:t xml:space="preserve">Ejemplo de GlobalWay</w:t>
      </w:r>
    </w:p>
    <w:p>
      <w:pPr>
        <w:pStyle w:val="FirstParagraph"/>
      </w:pPr>
      <w:r>
        <w:t xml:space="preserve">GlobalWay requiere exámenes de prácticas prohibidas para análisis de empleados, herramientas biométricas, puntuación de clientes y casos de uso de influencias conductuales.</w:t>
      </w:r>
    </w:p>
    <w:bookmarkEnd w:id="272"/>
    <w:bookmarkStart w:id="273" w:name="actividad-de-control-21"/>
    <w:p>
      <w:pPr>
        <w:pStyle w:val="Heading2"/>
      </w:pPr>
      <w:r>
        <w:rPr>
          <w:rStyle w:val="SectionNumber"/>
        </w:rPr>
        <w:t xml:space="preserve">1.230</w:t>
      </w:r>
      <w:r>
        <w:tab/>
      </w:r>
      <w:r>
        <w:t xml:space="preserve">Actividad de control</w:t>
      </w:r>
    </w:p>
    <w:p>
      <w:pPr>
        <w:pStyle w:val="FirstParagraph"/>
      </w:pPr>
      <w:r>
        <w:t xml:space="preserve">Aplicar una lista de comprobación de bloqueo de la liberación con escalada legal obligatoria de la incertidumbre.</w:t>
      </w:r>
    </w:p>
    <w:bookmarkEnd w:id="273"/>
    <w:bookmarkStart w:id="274" w:name="pruebas-25"/>
    <w:p>
      <w:pPr>
        <w:pStyle w:val="Heading2"/>
      </w:pPr>
      <w:r>
        <w:rPr>
          <w:rStyle w:val="SectionNumber"/>
        </w:rPr>
        <w:t xml:space="preserve">1.231</w:t>
      </w:r>
      <w:r>
        <w:tab/>
      </w:r>
      <w:r>
        <w:t xml:space="preserve">Pruebas</w:t>
      </w:r>
    </w:p>
    <w:p>
      <w:pPr>
        <w:pStyle w:val="FirstParagraph"/>
      </w:pPr>
      <w:r>
        <w:t xml:space="preserve">Descripción del caso de uso, resultado de la selección, análisis legal, decisión, restricciones y registro de monitoreo.</w:t>
      </w:r>
    </w:p>
    <w:bookmarkEnd w:id="274"/>
    <w:bookmarkStart w:id="275" w:name="prueba-de-auditoría-22"/>
    <w:p>
      <w:pPr>
        <w:pStyle w:val="Heading2"/>
      </w:pPr>
      <w:r>
        <w:rPr>
          <w:rStyle w:val="SectionNumber"/>
        </w:rPr>
        <w:t xml:space="preserve">1.232</w:t>
      </w:r>
      <w:r>
        <w:tab/>
      </w:r>
      <w:r>
        <w:t xml:space="preserve">Prueba de auditoría</w:t>
      </w:r>
    </w:p>
    <w:p>
      <w:pPr>
        <w:pStyle w:val="FirstParagraph"/>
      </w:pPr>
      <w:r>
        <w:t xml:space="preserve">Verificar que los sistemas muestreados se inspeccionaron antes de su uso y que los usos prohibidos se bloquearon o interrumpieron.</w:t>
      </w:r>
    </w:p>
    <w:bookmarkEnd w:id="275"/>
    <w:bookmarkStart w:id="276" w:name="X16aca9b09563b8653a058c633108ce7fbe320f7"/>
    <w:p>
      <w:pPr>
        <w:pStyle w:val="Heading2"/>
      </w:pPr>
      <w:r>
        <w:rPr>
          <w:rStyle w:val="SectionNumber"/>
        </w:rPr>
        <w:t xml:space="preserve">1.233</w:t>
      </w:r>
      <w:r>
        <w:tab/>
      </w:r>
      <w:r>
        <w:t xml:space="preserve">Capítulo 27 — Manipulación y técnicas subliminales</w:t>
      </w:r>
    </w:p>
    <w:p>
      <w:pPr>
        <w:pStyle w:val="BlockText"/>
      </w:pPr>
      <w:r>
        <w:rPr>
          <w:bCs/>
          <w:b/>
        </w:rPr>
        <w:t xml:space="preserve">Estatus legal:</w:t>
      </w:r>
      <w:r>
        <w:t xml:space="preserve"> </w:t>
      </w:r>
      <w:r>
        <w:t xml:space="preserve">Maestro inglés corregido. Evalúe los criterios consolidados actuales del Artículo 5, incluyendo la técnica, intención o efecto, personas afectadas, y el umbral de daño legalmente relevante.</w:t>
      </w:r>
    </w:p>
    <w:bookmarkEnd w:id="276"/>
    <w:bookmarkStart w:id="277" w:name="requisito-25"/>
    <w:p>
      <w:pPr>
        <w:pStyle w:val="Heading2"/>
      </w:pPr>
      <w:r>
        <w:rPr>
          <w:rStyle w:val="SectionNumber"/>
        </w:rPr>
        <w:t xml:space="preserve">1.234</w:t>
      </w:r>
      <w:r>
        <w:tab/>
      </w:r>
      <w:r>
        <w:t xml:space="preserve">Requisito</w:t>
      </w:r>
    </w:p>
    <w:p>
      <w:pPr>
        <w:pStyle w:val="FirstParagraph"/>
      </w:pPr>
      <w:r>
        <w:t xml:space="preserve">Prevenir los usos de IA que emplean técnicas manipulativas, engañosas o subliminales prohibidas.</w:t>
      </w:r>
    </w:p>
    <w:bookmarkEnd w:id="277"/>
    <w:bookmarkStart w:id="278" w:name="explicación-en-lenguaje-sencillo-22"/>
    <w:p>
      <w:pPr>
        <w:pStyle w:val="Heading2"/>
      </w:pPr>
      <w:r>
        <w:rPr>
          <w:rStyle w:val="SectionNumber"/>
        </w:rPr>
        <w:t xml:space="preserve">1.235</w:t>
      </w:r>
      <w:r>
        <w:tab/>
      </w:r>
      <w:r>
        <w:t xml:space="preserve">Explicación en lenguaje sencillo</w:t>
      </w:r>
    </w:p>
    <w:p>
      <w:pPr>
        <w:pStyle w:val="FirstParagraph"/>
      </w:pPr>
      <w:r>
        <w:t xml:space="preserve">La comercialización, la personalización o el diseño de interfaces no deben entrar en una influencia legalmente prohibida.</w:t>
      </w:r>
    </w:p>
    <w:bookmarkEnd w:id="278"/>
    <w:bookmarkStart w:id="279" w:name="ejemplo-de-globalway-21"/>
    <w:p>
      <w:pPr>
        <w:pStyle w:val="Heading2"/>
      </w:pPr>
      <w:r>
        <w:rPr>
          <w:rStyle w:val="SectionNumber"/>
        </w:rPr>
        <w:t xml:space="preserve">1.236</w:t>
      </w:r>
      <w:r>
        <w:tab/>
      </w:r>
      <w:r>
        <w:t xml:space="preserve">Ejemplo de GlobalWay</w:t>
      </w:r>
    </w:p>
    <w:p>
      <w:pPr>
        <w:pStyle w:val="FirstParagraph"/>
      </w:pPr>
      <w:r>
        <w:t xml:space="preserve">GlobalWay revisa las interfaces de recomendación y fijación de precios para presiones o explotación engañosas.</w:t>
      </w:r>
    </w:p>
    <w:bookmarkEnd w:id="279"/>
    <w:bookmarkStart w:id="280" w:name="actividad-de-control-22"/>
    <w:p>
      <w:pPr>
        <w:pStyle w:val="Heading2"/>
      </w:pPr>
      <w:r>
        <w:rPr>
          <w:rStyle w:val="SectionNumber"/>
        </w:rPr>
        <w:t xml:space="preserve">1.237</w:t>
      </w:r>
      <w:r>
        <w:tab/>
      </w:r>
      <w:r>
        <w:t xml:space="preserve">Actividad de control</w:t>
      </w:r>
    </w:p>
    <w:p>
      <w:pPr>
        <w:pStyle w:val="FirstParagraph"/>
      </w:pPr>
      <w:r>
        <w:t xml:space="preserve">Requerir revisión de diseño de comportamiento, pruebas, escalada legal y bloqueo de liberación.</w:t>
      </w:r>
    </w:p>
    <w:bookmarkEnd w:id="280"/>
    <w:bookmarkStart w:id="281" w:name="pruebas-26"/>
    <w:p>
      <w:pPr>
        <w:pStyle w:val="Heading2"/>
      </w:pPr>
      <w:r>
        <w:rPr>
          <w:rStyle w:val="SectionNumber"/>
        </w:rPr>
        <w:t xml:space="preserve">1.238</w:t>
      </w:r>
      <w:r>
        <w:tab/>
      </w:r>
      <w:r>
        <w:t xml:space="preserve">Pruebas</w:t>
      </w:r>
    </w:p>
    <w:p>
      <w:pPr>
        <w:pStyle w:val="FirstParagraph"/>
      </w:pPr>
      <w:r>
        <w:t xml:space="preserve">Diseño de registros, resultados de pruebas, revisión legal, aprobaciones y monitoreo.</w:t>
      </w:r>
    </w:p>
    <w:bookmarkEnd w:id="281"/>
    <w:bookmarkStart w:id="282" w:name="prueba-de-auditoría-23"/>
    <w:p>
      <w:pPr>
        <w:pStyle w:val="Heading2"/>
      </w:pPr>
      <w:r>
        <w:rPr>
          <w:rStyle w:val="SectionNumber"/>
        </w:rPr>
        <w:t xml:space="preserve">1.239</w:t>
      </w:r>
      <w:r>
        <w:tab/>
      </w:r>
      <w:r>
        <w:t xml:space="preserve">Prueba de auditoría</w:t>
      </w:r>
    </w:p>
    <w:p>
      <w:pPr>
        <w:pStyle w:val="FirstParagraph"/>
      </w:pPr>
      <w:r>
        <w:t xml:space="preserve">Inspeccione las interfaces de muestreo y verifique que se evaluaron y controlaron los riesgos de influencia prohibidos.</w:t>
      </w:r>
    </w:p>
    <w:bookmarkEnd w:id="282"/>
    <w:bookmarkStart w:id="283" w:name="X8eade7f0b621fe41a3d88f4572d583b5305c970"/>
    <w:p>
      <w:pPr>
        <w:pStyle w:val="Heading2"/>
      </w:pPr>
      <w:r>
        <w:rPr>
          <w:rStyle w:val="SectionNumber"/>
        </w:rPr>
        <w:t xml:space="preserve">1.240</w:t>
      </w:r>
      <w:r>
        <w:tab/>
      </w:r>
      <w:r>
        <w:t xml:space="preserve">Capítulo 28 — Explotación de las vulnerabilidades</w:t>
      </w:r>
    </w:p>
    <w:p>
      <w:pPr>
        <w:pStyle w:val="BlockText"/>
      </w:pPr>
      <w:r>
        <w:rPr>
          <w:bCs/>
          <w:b/>
        </w:rPr>
        <w:t xml:space="preserve">Estado legal:</w:t>
      </w:r>
      <w:r>
        <w:t xml:space="preserve"> </w:t>
      </w:r>
      <w:r>
        <w:t xml:space="preserve">master inglés corregido. Aplique la prueba consolidada actual del Artículo 5 a vulnerabilidad, explotación, distorsión material y daño.</w:t>
      </w:r>
    </w:p>
    <w:bookmarkEnd w:id="283"/>
    <w:bookmarkStart w:id="284" w:name="requisito-26"/>
    <w:p>
      <w:pPr>
        <w:pStyle w:val="Heading2"/>
      </w:pPr>
      <w:r>
        <w:rPr>
          <w:rStyle w:val="SectionNumber"/>
        </w:rPr>
        <w:t xml:space="preserve">1.241</w:t>
      </w:r>
      <w:r>
        <w:tab/>
      </w:r>
      <w:r>
        <w:t xml:space="preserve">Requisito</w:t>
      </w:r>
    </w:p>
    <w:p>
      <w:pPr>
        <w:pStyle w:val="FirstParagraph"/>
      </w:pPr>
      <w:r>
        <w:t xml:space="preserve">Prevenir los usos de IA que explotan ilegalmente vulnerabilidades asociadas con edad, discapacidad o circunstancias sociales o económicas.</w:t>
      </w:r>
    </w:p>
    <w:bookmarkEnd w:id="284"/>
    <w:bookmarkStart w:id="285" w:name="explicación-en-lenguaje-sencillo-23"/>
    <w:p>
      <w:pPr>
        <w:pStyle w:val="Heading2"/>
      </w:pPr>
      <w:r>
        <w:rPr>
          <w:rStyle w:val="SectionNumber"/>
        </w:rPr>
        <w:t xml:space="preserve">1.242</w:t>
      </w:r>
      <w:r>
        <w:tab/>
      </w:r>
      <w:r>
        <w:t xml:space="preserve">Explicación en lenguaje sencillo</w:t>
      </w:r>
    </w:p>
    <w:p>
      <w:pPr>
        <w:pStyle w:val="FirstParagraph"/>
      </w:pPr>
      <w:r>
        <w:t xml:space="preserve">Un sistema no debe aprovechar la vulnerabilidad de una persona de una manera que la ley prohíbe.</w:t>
      </w:r>
    </w:p>
    <w:bookmarkEnd w:id="285"/>
    <w:bookmarkStart w:id="286" w:name="ejemplo-de-globalway-22"/>
    <w:p>
      <w:pPr>
        <w:pStyle w:val="Heading2"/>
      </w:pPr>
      <w:r>
        <w:rPr>
          <w:rStyle w:val="SectionNumber"/>
        </w:rPr>
        <w:t xml:space="preserve">1.243</w:t>
      </w:r>
      <w:r>
        <w:tab/>
      </w:r>
      <w:r>
        <w:t xml:space="preserve">Ejemplo de GlobalWay</w:t>
      </w:r>
    </w:p>
    <w:p>
      <w:pPr>
        <w:pStyle w:val="FirstParagraph"/>
      </w:pPr>
      <w:r>
        <w:t xml:space="preserve">GlobalWay revisa las ofertas y herramientas de apoyo utilizadas con viajeros varados, menores de edad y personas que requieren asistencia de accesibilidad.</w:t>
      </w:r>
    </w:p>
    <w:bookmarkEnd w:id="286"/>
    <w:bookmarkStart w:id="287" w:name="actividad-de-control-23"/>
    <w:p>
      <w:pPr>
        <w:pStyle w:val="Heading2"/>
      </w:pPr>
      <w:r>
        <w:rPr>
          <w:rStyle w:val="SectionNumber"/>
        </w:rPr>
        <w:t xml:space="preserve">1.244</w:t>
      </w:r>
      <w:r>
        <w:tab/>
      </w:r>
      <w:r>
        <w:t xml:space="preserve">Actividad de control</w:t>
      </w:r>
    </w:p>
    <w:p>
      <w:pPr>
        <w:pStyle w:val="FirstParagraph"/>
      </w:pPr>
      <w:r>
        <w:t xml:space="preserve">Requiere revisión del impacto de las personas vulnerables, diseño accesible, monitoreo y escalada legal.</w:t>
      </w:r>
    </w:p>
    <w:bookmarkEnd w:id="287"/>
    <w:bookmarkStart w:id="288" w:name="pruebas-27"/>
    <w:p>
      <w:pPr>
        <w:pStyle w:val="Heading2"/>
      </w:pPr>
      <w:r>
        <w:rPr>
          <w:rStyle w:val="SectionNumber"/>
        </w:rPr>
        <w:t xml:space="preserve">1.245</w:t>
      </w:r>
      <w:r>
        <w:tab/>
      </w:r>
      <w:r>
        <w:t xml:space="preserve">Pruebas</w:t>
      </w:r>
    </w:p>
    <w:p>
      <w:pPr>
        <w:pStyle w:val="FirstParagraph"/>
      </w:pPr>
      <w:r>
        <w:t xml:space="preserve">Evaluación de impacto, revisión de diseño, pruebas, quejas, aprobaciones y acciones correctivas.</w:t>
      </w:r>
    </w:p>
    <w:bookmarkEnd w:id="288"/>
    <w:bookmarkStart w:id="289" w:name="prueba-de-auditoría-24"/>
    <w:p>
      <w:pPr>
        <w:pStyle w:val="Heading2"/>
      </w:pPr>
      <w:r>
        <w:rPr>
          <w:rStyle w:val="SectionNumber"/>
        </w:rPr>
        <w:t xml:space="preserve">1.246</w:t>
      </w:r>
      <w:r>
        <w:tab/>
      </w:r>
      <w:r>
        <w:t xml:space="preserve">Prueba de auditoría</w:t>
      </w:r>
    </w:p>
    <w:p>
      <w:pPr>
        <w:pStyle w:val="FirstParagraph"/>
      </w:pPr>
      <w:r>
        <w:t xml:space="preserve">Comprobar que los casos de uso de la muestra identifican a los grupos vulnerables y abordan el riesgo de explotación prohibido.</w:t>
      </w:r>
    </w:p>
    <w:bookmarkEnd w:id="289"/>
    <w:bookmarkStart w:id="290" w:name="capítulo-29-puntuación-social"/>
    <w:p>
      <w:pPr>
        <w:pStyle w:val="Heading2"/>
      </w:pPr>
      <w:r>
        <w:rPr>
          <w:rStyle w:val="SectionNumber"/>
        </w:rPr>
        <w:t xml:space="preserve">1.247</w:t>
      </w:r>
      <w:r>
        <w:tab/>
      </w:r>
      <w:r>
        <w:t xml:space="preserve">Capítulo 29 — Puntuación social</w:t>
      </w:r>
    </w:p>
    <w:p>
      <w:pPr>
        <w:pStyle w:val="BlockText"/>
      </w:pPr>
      <w:r>
        <w:rPr>
          <w:bCs/>
          <w:b/>
        </w:rPr>
        <w:t xml:space="preserve">Estado legal:</w:t>
      </w:r>
      <w:r>
        <w:t xml:space="preserve"> </w:t>
      </w:r>
      <w:r>
        <w:t xml:space="preserve">Maestro inglés corregido. Aplicar los actuales criterios consolidados del artículo 5 al propósito de puntuación, contexto de datos, tratamiento y perjuicio resultante.</w:t>
      </w:r>
    </w:p>
    <w:bookmarkEnd w:id="290"/>
    <w:bookmarkStart w:id="291" w:name="requisito-27"/>
    <w:p>
      <w:pPr>
        <w:pStyle w:val="Heading2"/>
      </w:pPr>
      <w:r>
        <w:rPr>
          <w:rStyle w:val="SectionNumber"/>
        </w:rPr>
        <w:t xml:space="preserve">1.248</w:t>
      </w:r>
      <w:r>
        <w:tab/>
      </w:r>
      <w:r>
        <w:t xml:space="preserve">Requisito</w:t>
      </w:r>
    </w:p>
    <w:p>
      <w:pPr>
        <w:pStyle w:val="FirstParagraph"/>
      </w:pPr>
      <w:r>
        <w:t xml:space="preserve">Prevenir las prácticas de puntuación social prohibidas.</w:t>
      </w:r>
    </w:p>
    <w:bookmarkEnd w:id="291"/>
    <w:bookmarkStart w:id="292" w:name="explicación-en-lenguaje-sencillo-24"/>
    <w:p>
      <w:pPr>
        <w:pStyle w:val="Heading2"/>
      </w:pPr>
      <w:r>
        <w:rPr>
          <w:rStyle w:val="SectionNumber"/>
        </w:rPr>
        <w:t xml:space="preserve">1.249</w:t>
      </w:r>
      <w:r>
        <w:tab/>
      </w:r>
      <w:r>
        <w:t xml:space="preserve">Explicación en lenguaje sencillo</w:t>
      </w:r>
    </w:p>
    <w:p>
      <w:pPr>
        <w:pStyle w:val="FirstParagraph"/>
      </w:pPr>
      <w:r>
        <w:t xml:space="preserve">Las organizaciones no deben utilizar un comportamiento amplio o puntuaciones características para imponer un trato no relacionado o desproporcionado legalmente prohibido.</w:t>
      </w:r>
    </w:p>
    <w:bookmarkEnd w:id="292"/>
    <w:bookmarkStart w:id="293" w:name="ejemplo-de-globalway-23"/>
    <w:p>
      <w:pPr>
        <w:pStyle w:val="Heading2"/>
      </w:pPr>
      <w:r>
        <w:rPr>
          <w:rStyle w:val="SectionNumber"/>
        </w:rPr>
        <w:t xml:space="preserve">1.250</w:t>
      </w:r>
      <w:r>
        <w:tab/>
      </w:r>
      <w:r>
        <w:t xml:space="preserve">Ejemplo de GlobalWay</w:t>
      </w:r>
    </w:p>
    <w:p>
      <w:pPr>
        <w:pStyle w:val="FirstParagraph"/>
      </w:pPr>
      <w:r>
        <w:t xml:space="preserve">GlobalWay prohíbe combinar el comportamiento del cliente no relacionado, la conducta de los empleados y el historial de viajes en una puntuación de confianza generalizada utilizada en todos los contextos.</w:t>
      </w:r>
    </w:p>
    <w:bookmarkEnd w:id="293"/>
    <w:bookmarkStart w:id="294" w:name="actividad-de-control-24"/>
    <w:p>
      <w:pPr>
        <w:pStyle w:val="Heading2"/>
      </w:pPr>
      <w:r>
        <w:rPr>
          <w:rStyle w:val="SectionNumber"/>
        </w:rPr>
        <w:t xml:space="preserve">1.251</w:t>
      </w:r>
      <w:r>
        <w:tab/>
      </w:r>
      <w:r>
        <w:t xml:space="preserve">Actividad de control</w:t>
      </w:r>
    </w:p>
    <w:p>
      <w:pPr>
        <w:pStyle w:val="FirstParagraph"/>
      </w:pPr>
      <w:r>
        <w:t xml:space="preserve">Requerir limitación de propósito, revisión de contexto de datos, pruebas de consecuencia y aprobación legal.</w:t>
      </w:r>
    </w:p>
    <w:bookmarkEnd w:id="294"/>
    <w:bookmarkStart w:id="295" w:name="pruebas-28"/>
    <w:p>
      <w:pPr>
        <w:pStyle w:val="Heading2"/>
      </w:pPr>
      <w:r>
        <w:rPr>
          <w:rStyle w:val="SectionNumber"/>
        </w:rPr>
        <w:t xml:space="preserve">1.252</w:t>
      </w:r>
      <w:r>
        <w:tab/>
      </w:r>
      <w:r>
        <w:t xml:space="preserve">Pruebas</w:t>
      </w:r>
    </w:p>
    <w:p>
      <w:pPr>
        <w:pStyle w:val="FirstParagraph"/>
      </w:pPr>
      <w:r>
        <w:t xml:space="preserve">Lógica de puntuación, inventario de datos, restricciones de uso, evaluación de impacto, aprobaciones y monitoreo.</w:t>
      </w:r>
    </w:p>
    <w:bookmarkEnd w:id="295"/>
    <w:bookmarkStart w:id="296" w:name="prueba-de-auditoría-25"/>
    <w:p>
      <w:pPr>
        <w:pStyle w:val="Heading2"/>
      </w:pPr>
      <w:r>
        <w:rPr>
          <w:rStyle w:val="SectionNumber"/>
        </w:rPr>
        <w:t xml:space="preserve">1.253</w:t>
      </w:r>
      <w:r>
        <w:tab/>
      </w:r>
      <w:r>
        <w:t xml:space="preserve">Prueba de auditoría</w:t>
      </w:r>
    </w:p>
    <w:p>
      <w:pPr>
        <w:pStyle w:val="FirstParagraph"/>
      </w:pPr>
      <w:r>
        <w:t xml:space="preserve">Rastrear las puntuaciones de la muestra a sus entradas, propósitos, consecuencias y controles.</w:t>
      </w:r>
    </w:p>
    <w:bookmarkEnd w:id="296"/>
    <w:bookmarkStart w:id="297" w:name="X7933f870e95e45a27d918c6601b2ca96dc0d6fa"/>
    <w:p>
      <w:pPr>
        <w:pStyle w:val="Heading2"/>
      </w:pPr>
      <w:r>
        <w:rPr>
          <w:rStyle w:val="SectionNumber"/>
        </w:rPr>
        <w:t xml:space="preserve">1.254</w:t>
      </w:r>
      <w:r>
        <w:tab/>
      </w:r>
      <w:r>
        <w:t xml:space="preserve">Capítulo 30 — Policía preventiva e inferencia de riesgo</w:t>
      </w:r>
    </w:p>
    <w:p>
      <w:pPr>
        <w:pStyle w:val="BlockText"/>
      </w:pPr>
      <w:r>
        <w:rPr>
          <w:bCs/>
          <w:b/>
        </w:rPr>
        <w:t xml:space="preserve">Estatus legal:</w:t>
      </w:r>
      <w:r>
        <w:t xml:space="preserve"> </w:t>
      </w:r>
      <w:r>
        <w:t xml:space="preserve">master inglés corregido. Aplicar las reglas consolidadas actuales del Artículo 5 y cualquier distinción de alcance legal al actor específico, propósito, datos y decisión.</w:t>
      </w:r>
    </w:p>
    <w:bookmarkEnd w:id="297"/>
    <w:bookmarkStart w:id="298" w:name="requisito-28"/>
    <w:p>
      <w:pPr>
        <w:pStyle w:val="Heading2"/>
      </w:pPr>
      <w:r>
        <w:rPr>
          <w:rStyle w:val="SectionNumber"/>
        </w:rPr>
        <w:t xml:space="preserve">1.255</w:t>
      </w:r>
      <w:r>
        <w:tab/>
      </w:r>
      <w:r>
        <w:t xml:space="preserve">Requisito</w:t>
      </w:r>
    </w:p>
    <w:p>
      <w:pPr>
        <w:pStyle w:val="FirstParagraph"/>
      </w:pPr>
      <w:r>
        <w:t xml:space="preserve">Prevenir los usos prohibidos de la prevención o de la inferencia de riesgo individual.</w:t>
      </w:r>
    </w:p>
    <w:bookmarkEnd w:id="298"/>
    <w:bookmarkStart w:id="299" w:name="explicación-en-lenguaje-sencillo-25"/>
    <w:p>
      <w:pPr>
        <w:pStyle w:val="Heading2"/>
      </w:pPr>
      <w:r>
        <w:rPr>
          <w:rStyle w:val="SectionNumber"/>
        </w:rPr>
        <w:t xml:space="preserve">1.256</w:t>
      </w:r>
      <w:r>
        <w:tab/>
      </w:r>
      <w:r>
        <w:t xml:space="preserve">Explicación en lenguaje sencillo</w:t>
      </w:r>
    </w:p>
    <w:p>
      <w:pPr>
        <w:pStyle w:val="FirstParagraph"/>
      </w:pPr>
      <w:r>
        <w:t xml:space="preserve">La evaluación legal depende de quién utiliza el sistema, lo que predice, las pruebas consideradas y cómo la salida afecta a una persona.</w:t>
      </w:r>
    </w:p>
    <w:bookmarkEnd w:id="299"/>
    <w:bookmarkStart w:id="300" w:name="ejemplo-de-globalway-24"/>
    <w:p>
      <w:pPr>
        <w:pStyle w:val="Heading2"/>
      </w:pPr>
      <w:r>
        <w:rPr>
          <w:rStyle w:val="SectionNumber"/>
        </w:rPr>
        <w:t xml:space="preserve">1.257</w:t>
      </w:r>
      <w:r>
        <w:tab/>
      </w:r>
      <w:r>
        <w:t xml:space="preserve">Ejemplo de GlobalWay</w:t>
      </w:r>
    </w:p>
    <w:p>
      <w:pPr>
        <w:pStyle w:val="FirstParagraph"/>
      </w:pPr>
      <w:r>
        <w:t xml:space="preserve">GlobalWay no reutiliza análisis de riesgo-viajero para la predicción de las fuerzas del orden sin autoridad legal separada y revisión.</w:t>
      </w:r>
    </w:p>
    <w:bookmarkEnd w:id="300"/>
    <w:bookmarkStart w:id="301" w:name="actividad-de-control-25"/>
    <w:p>
      <w:pPr>
        <w:pStyle w:val="Heading2"/>
      </w:pPr>
      <w:r>
        <w:rPr>
          <w:rStyle w:val="SectionNumber"/>
        </w:rPr>
        <w:t xml:space="preserve">1.258</w:t>
      </w:r>
      <w:r>
        <w:tab/>
      </w:r>
      <w:r>
        <w:t xml:space="preserve">Actividad de control</w:t>
      </w:r>
    </w:p>
    <w:p>
      <w:pPr>
        <w:pStyle w:val="FirstParagraph"/>
      </w:pPr>
      <w:r>
        <w:t xml:space="preserve">Bloquear el uso secundario fuera del propósito aprobado y requerir revisión legal para las solicitudes del gobierno o de las fuerzas del orden.</w:t>
      </w:r>
    </w:p>
    <w:bookmarkEnd w:id="301"/>
    <w:bookmarkStart w:id="302" w:name="pruebas-29"/>
    <w:p>
      <w:pPr>
        <w:pStyle w:val="Heading2"/>
      </w:pPr>
      <w:r>
        <w:rPr>
          <w:rStyle w:val="SectionNumber"/>
        </w:rPr>
        <w:t xml:space="preserve">1.259</w:t>
      </w:r>
      <w:r>
        <w:tab/>
      </w:r>
      <w:r>
        <w:t xml:space="preserve">Pruebas</w:t>
      </w:r>
    </w:p>
    <w:p>
      <w:pPr>
        <w:pStyle w:val="FirstParagraph"/>
      </w:pPr>
      <w:r>
        <w:t xml:space="preserve">Declaración de propósito, controles de acceso, registros de solicitud, revisión legal, aprobaciones y monitoreo.</w:t>
      </w:r>
    </w:p>
    <w:bookmarkEnd w:id="302"/>
    <w:bookmarkStart w:id="303" w:name="prueba-de-auditoría-26"/>
    <w:p>
      <w:pPr>
        <w:pStyle w:val="Heading2"/>
      </w:pPr>
      <w:r>
        <w:rPr>
          <w:rStyle w:val="SectionNumber"/>
        </w:rPr>
        <w:t xml:space="preserve">1.260</w:t>
      </w:r>
      <w:r>
        <w:tab/>
      </w:r>
      <w:r>
        <w:t xml:space="preserve">Prueba de auditoría</w:t>
      </w:r>
    </w:p>
    <w:p>
      <w:pPr>
        <w:pStyle w:val="FirstParagraph"/>
      </w:pPr>
      <w:r>
        <w:t xml:space="preserve">Verificar que las salidas no se reutilizan para predecir el riesgo individual prohibido.</w:t>
      </w:r>
    </w:p>
    <w:bookmarkEnd w:id="303"/>
    <w:bookmarkStart w:id="304" w:name="X2ed5ee7e488b32b3316648a8582f0d49d6b9ea9"/>
    <w:p>
      <w:pPr>
        <w:pStyle w:val="Heading2"/>
      </w:pPr>
      <w:r>
        <w:rPr>
          <w:rStyle w:val="SectionNumber"/>
        </w:rPr>
        <w:t xml:space="preserve">1.261</w:t>
      </w:r>
      <w:r>
        <w:tab/>
      </w:r>
      <w:r>
        <w:t xml:space="preserve">Capítulo 31 — Raspamiento de imágenes faciales y bases de datos biométricos</w:t>
      </w:r>
    </w:p>
    <w:p>
      <w:pPr>
        <w:pStyle w:val="BlockText"/>
      </w:pPr>
      <w:r>
        <w:rPr>
          <w:bCs/>
          <w:b/>
        </w:rPr>
        <w:t xml:space="preserve">Estado legal:</w:t>
      </w:r>
      <w:r>
        <w:t xml:space="preserve"> </w:t>
      </w:r>
      <w:r>
        <w:t xml:space="preserve">Maestro inglés corregido. Aplicar la actual prohibición consolidada del Artículo 5 y cualquier límite de alcance relevante al método de recolección, fuente, propósito y actor.</w:t>
      </w:r>
    </w:p>
    <w:bookmarkEnd w:id="304"/>
    <w:bookmarkStart w:id="305" w:name="requisito-29"/>
    <w:p>
      <w:pPr>
        <w:pStyle w:val="Heading2"/>
      </w:pPr>
      <w:r>
        <w:rPr>
          <w:rStyle w:val="SectionNumber"/>
        </w:rPr>
        <w:t xml:space="preserve">1.262</w:t>
      </w:r>
      <w:r>
        <w:tab/>
      </w:r>
      <w:r>
        <w:t xml:space="preserve">Requisito</w:t>
      </w:r>
    </w:p>
    <w:p>
      <w:pPr>
        <w:pStyle w:val="FirstParagraph"/>
      </w:pPr>
      <w:r>
        <w:t xml:space="preserve">Evitar el raspado no dirigido de imágenes faciales para crear o expandir bases de datos de reconocimiento facial.</w:t>
      </w:r>
    </w:p>
    <w:bookmarkEnd w:id="305"/>
    <w:bookmarkStart w:id="306" w:name="explicación-en-lenguaje-sencillo-26"/>
    <w:p>
      <w:pPr>
        <w:pStyle w:val="Heading2"/>
      </w:pPr>
      <w:r>
        <w:rPr>
          <w:rStyle w:val="SectionNumber"/>
        </w:rPr>
        <w:t xml:space="preserve">1.263</w:t>
      </w:r>
      <w:r>
        <w:tab/>
      </w:r>
      <w:r>
        <w:t xml:space="preserve">Explicación en lenguaje sencillo</w:t>
      </w:r>
    </w:p>
    <w:p>
      <w:pPr>
        <w:pStyle w:val="FirstParagraph"/>
      </w:pPr>
      <w:r>
        <w:t xml:space="preserve">Una fuente de datos conveniente no hace legal la recolección indiscriminada de imágenes faciales.</w:t>
      </w:r>
    </w:p>
    <w:bookmarkEnd w:id="306"/>
    <w:bookmarkStart w:id="307" w:name="ejemplo-de-globalway-25"/>
    <w:p>
      <w:pPr>
        <w:pStyle w:val="Heading2"/>
      </w:pPr>
      <w:r>
        <w:rPr>
          <w:rStyle w:val="SectionNumber"/>
        </w:rPr>
        <w:t xml:space="preserve">1.264</w:t>
      </w:r>
      <w:r>
        <w:tab/>
      </w:r>
      <w:r>
        <w:t xml:space="preserve">Ejemplo de GlobalWay</w:t>
      </w:r>
    </w:p>
    <w:p>
      <w:pPr>
        <w:pStyle w:val="FirstParagraph"/>
      </w:pPr>
      <w:r>
        <w:t xml:space="preserve">GlobalWay prohíbe a los proveedores raspar sitios web públicos o imágenes de vigilancia para crear bases de datos de viajeros o empleados.</w:t>
      </w:r>
    </w:p>
    <w:bookmarkEnd w:id="307"/>
    <w:bookmarkStart w:id="308" w:name="actividad-de-control-26"/>
    <w:p>
      <w:pPr>
        <w:pStyle w:val="Heading2"/>
      </w:pPr>
      <w:r>
        <w:rPr>
          <w:rStyle w:val="SectionNumber"/>
        </w:rPr>
        <w:t xml:space="preserve">1.265</w:t>
      </w:r>
      <w:r>
        <w:tab/>
      </w:r>
      <w:r>
        <w:t xml:space="preserve">Actividad de control</w:t>
      </w:r>
    </w:p>
    <w:p>
      <w:pPr>
        <w:pStyle w:val="FirstParagraph"/>
      </w:pPr>
      <w:r>
        <w:t xml:space="preserve">Requerir revisión de fuentes de datos biométricos, restricciones contractuales, bloqueo técnico y evidencia de proveedores.</w:t>
      </w:r>
    </w:p>
    <w:bookmarkEnd w:id="308"/>
    <w:bookmarkStart w:id="309" w:name="pruebas-30"/>
    <w:p>
      <w:pPr>
        <w:pStyle w:val="Heading2"/>
      </w:pPr>
      <w:r>
        <w:rPr>
          <w:rStyle w:val="SectionNumber"/>
        </w:rPr>
        <w:t xml:space="preserve">1.266</w:t>
      </w:r>
      <w:r>
        <w:tab/>
      </w:r>
      <w:r>
        <w:t xml:space="preserve">Pruebas</w:t>
      </w:r>
    </w:p>
    <w:p>
      <w:pPr>
        <w:pStyle w:val="FirstParagraph"/>
      </w:pPr>
      <w:r>
        <w:t xml:space="preserve">Registros de fuentes de datos, contratos, diligencia debida, controles de arquitectura, aprobaciones y monitoreo.</w:t>
      </w:r>
    </w:p>
    <w:bookmarkEnd w:id="309"/>
    <w:bookmarkStart w:id="310" w:name="prueba-de-auditoría-27"/>
    <w:p>
      <w:pPr>
        <w:pStyle w:val="Heading2"/>
      </w:pPr>
      <w:r>
        <w:rPr>
          <w:rStyle w:val="SectionNumber"/>
        </w:rPr>
        <w:t xml:space="preserve">1.267</w:t>
      </w:r>
      <w:r>
        <w:tab/>
      </w:r>
      <w:r>
        <w:t xml:space="preserve">Prueba de auditoría</w:t>
      </w:r>
    </w:p>
    <w:p>
      <w:pPr>
        <w:pStyle w:val="FirstParagraph"/>
      </w:pPr>
      <w:r>
        <w:t xml:space="preserve">Verifique la procedencia y la base de recolección legal de cualquier conjunto de datos de imagen facial.</w:t>
      </w:r>
    </w:p>
    <w:bookmarkEnd w:id="310"/>
    <w:bookmarkStart w:id="311" w:name="Xef211b20feb4b0bec9f82e3f27212d495f98e28"/>
    <w:p>
      <w:pPr>
        <w:pStyle w:val="Heading2"/>
      </w:pPr>
      <w:r>
        <w:rPr>
          <w:rStyle w:val="SectionNumber"/>
        </w:rPr>
        <w:t xml:space="preserve">1.268</w:t>
      </w:r>
      <w:r>
        <w:tab/>
      </w:r>
      <w:r>
        <w:t xml:space="preserve">Capítulo 32 — Restricciones a la emoción y el reconocimiento</w:t>
      </w:r>
    </w:p>
    <w:p>
      <w:pPr>
        <w:pStyle w:val="BlockText"/>
      </w:pPr>
      <w:r>
        <w:rPr>
          <w:bCs/>
          <w:b/>
        </w:rPr>
        <w:t xml:space="preserve">Estado legal:</w:t>
      </w:r>
      <w:r>
        <w:t xml:space="preserve"> </w:t>
      </w:r>
      <w:r>
        <w:t xml:space="preserve">Maestro inglés corregido. Aplicar las reglas consolidadas actuales del Artículo 5, contexto sectorial, excepciones, deberes de transparencia y fechas de aplicación.</w:t>
      </w:r>
    </w:p>
    <w:bookmarkEnd w:id="311"/>
    <w:bookmarkStart w:id="312" w:name="requisito-30"/>
    <w:p>
      <w:pPr>
        <w:pStyle w:val="Heading2"/>
      </w:pPr>
      <w:r>
        <w:rPr>
          <w:rStyle w:val="SectionNumber"/>
        </w:rPr>
        <w:t xml:space="preserve">1.269</w:t>
      </w:r>
      <w:r>
        <w:tab/>
      </w:r>
      <w:r>
        <w:t xml:space="preserve">Requisito</w:t>
      </w:r>
    </w:p>
    <w:p>
      <w:pPr>
        <w:pStyle w:val="FirstParagraph"/>
      </w:pPr>
      <w:r>
        <w:t xml:space="preserve">Evitar el uso prohibido del reconocimiento emocional y controlar cualquier uso que esté legalmente permitido.</w:t>
      </w:r>
    </w:p>
    <w:bookmarkEnd w:id="312"/>
    <w:bookmarkStart w:id="313" w:name="explicación-en-lenguaje-sencillo-27"/>
    <w:p>
      <w:pPr>
        <w:pStyle w:val="Heading2"/>
      </w:pPr>
      <w:r>
        <w:rPr>
          <w:rStyle w:val="SectionNumber"/>
        </w:rPr>
        <w:t xml:space="preserve">1.270</w:t>
      </w:r>
      <w:r>
        <w:tab/>
      </w:r>
      <w:r>
        <w:t xml:space="preserve">Explicación en lenguaje sencillo</w:t>
      </w:r>
    </w:p>
    <w:p>
      <w:pPr>
        <w:pStyle w:val="FirstParagraph"/>
      </w:pPr>
      <w:r>
        <w:t xml:space="preserve">Inferir emoción de señales biométricas o conductuales es legalmente sensible y dependiente del contexto.</w:t>
      </w:r>
    </w:p>
    <w:bookmarkEnd w:id="313"/>
    <w:bookmarkStart w:id="314" w:name="ejemplo-de-globalway-26"/>
    <w:p>
      <w:pPr>
        <w:pStyle w:val="Heading2"/>
      </w:pPr>
      <w:r>
        <w:rPr>
          <w:rStyle w:val="SectionNumber"/>
        </w:rPr>
        <w:t xml:space="preserve">1.271</w:t>
      </w:r>
      <w:r>
        <w:tab/>
      </w:r>
      <w:r>
        <w:t xml:space="preserve">Ejemplo de GlobalWay</w:t>
      </w:r>
    </w:p>
    <w:p>
      <w:pPr>
        <w:pStyle w:val="FirstParagraph"/>
      </w:pPr>
      <w:r>
        <w:t xml:space="preserve">GlobalWay bloquea el análisis de emociones en la supervisión del desempeño de los empleados y requiere revisión legal para cualquier propuesta relacionada con la seguridad.</w:t>
      </w:r>
    </w:p>
    <w:bookmarkEnd w:id="314"/>
    <w:bookmarkStart w:id="315" w:name="actividad-de-control-27"/>
    <w:p>
      <w:pPr>
        <w:pStyle w:val="Heading2"/>
      </w:pPr>
      <w:r>
        <w:rPr>
          <w:rStyle w:val="SectionNumber"/>
        </w:rPr>
        <w:t xml:space="preserve">1.272</w:t>
      </w:r>
      <w:r>
        <w:tab/>
      </w:r>
      <w:r>
        <w:t xml:space="preserve">Actividad de control</w:t>
      </w:r>
    </w:p>
    <w:p>
      <w:pPr>
        <w:pStyle w:val="FirstParagraph"/>
      </w:pPr>
      <w:r>
        <w:t xml:space="preserve">Requerir propósito, sector, excepción, precisión, necesidad, privacidad y transparencia antes de su uso.</w:t>
      </w:r>
    </w:p>
    <w:bookmarkEnd w:id="315"/>
    <w:bookmarkStart w:id="316" w:name="pruebas-31"/>
    <w:p>
      <w:pPr>
        <w:pStyle w:val="Heading2"/>
      </w:pPr>
      <w:r>
        <w:rPr>
          <w:rStyle w:val="SectionNumber"/>
        </w:rPr>
        <w:t xml:space="preserve">1.273</w:t>
      </w:r>
      <w:r>
        <w:tab/>
      </w:r>
      <w:r>
        <w:t xml:space="preserve">Pruebas</w:t>
      </w:r>
    </w:p>
    <w:p>
      <w:pPr>
        <w:pStyle w:val="FirstParagraph"/>
      </w:pPr>
      <w:r>
        <w:t xml:space="preserve">Registro de casos de uso, descripción técnica, análisis jurídico, evaluación de impacto, aprobaciones y supervisión.</w:t>
      </w:r>
    </w:p>
    <w:bookmarkEnd w:id="316"/>
    <w:bookmarkStart w:id="317" w:name="prueba-de-auditoría-28"/>
    <w:p>
      <w:pPr>
        <w:pStyle w:val="Heading2"/>
      </w:pPr>
      <w:r>
        <w:rPr>
          <w:rStyle w:val="SectionNumber"/>
        </w:rPr>
        <w:t xml:space="preserve">1.274</w:t>
      </w:r>
      <w:r>
        <w:tab/>
      </w:r>
      <w:r>
        <w:t xml:space="preserve">Prueba de auditoría</w:t>
      </w:r>
    </w:p>
    <w:p>
      <w:pPr>
        <w:pStyle w:val="FirstParagraph"/>
      </w:pPr>
      <w:r>
        <w:t xml:space="preserve">Comprobar que los usos de reconocimiento de emociones muestreados no están prohibidos y cumplen todas las condiciones aplicables.</w:t>
      </w:r>
    </w:p>
    <w:bookmarkEnd w:id="317"/>
    <w:bookmarkStart w:id="318" w:name="Xd9b7e177d8298f9afb054ad3ed6bfd0bec0c703"/>
    <w:p>
      <w:pPr>
        <w:pStyle w:val="Heading2"/>
      </w:pPr>
      <w:r>
        <w:rPr>
          <w:rStyle w:val="SectionNumber"/>
        </w:rPr>
        <w:t xml:space="preserve">1.275</w:t>
      </w:r>
      <w:r>
        <w:tab/>
      </w:r>
      <w:r>
        <w:t xml:space="preserve">Capítulo 33 — Restricciones de clasificación biométrica</w:t>
      </w:r>
    </w:p>
    <w:p>
      <w:pPr>
        <w:pStyle w:val="BlockText"/>
      </w:pPr>
      <w:r>
        <w:rPr>
          <w:bCs/>
          <w:b/>
        </w:rPr>
        <w:t xml:space="preserve">Estatus legal:</w:t>
      </w:r>
      <w:r>
        <w:t xml:space="preserve"> </w:t>
      </w:r>
      <w:r>
        <w:t xml:space="preserve">master inglés corregido. Aplicar las actuales reglas consolidadas del Artículo 5 a la categoría inferida, base biométrica, propósito, actor y cualquier excepción legalmente relevante.</w:t>
      </w:r>
    </w:p>
    <w:bookmarkEnd w:id="318"/>
    <w:bookmarkStart w:id="319" w:name="requisito-31"/>
    <w:p>
      <w:pPr>
        <w:pStyle w:val="Heading2"/>
      </w:pPr>
      <w:r>
        <w:rPr>
          <w:rStyle w:val="SectionNumber"/>
        </w:rPr>
        <w:t xml:space="preserve">1.276</w:t>
      </w:r>
      <w:r>
        <w:tab/>
      </w:r>
      <w:r>
        <w:t xml:space="preserve">Requisito</w:t>
      </w:r>
    </w:p>
    <w:p>
      <w:pPr>
        <w:pStyle w:val="FirstParagraph"/>
      </w:pPr>
      <w:r>
        <w:t xml:space="preserve">Evitar la categorización biométrica prohibida, especialmente cuando se infieren características sensibles o protegidas.</w:t>
      </w:r>
    </w:p>
    <w:bookmarkEnd w:id="319"/>
    <w:bookmarkStart w:id="320" w:name="explicación-en-lenguaje-sencillo-28"/>
    <w:p>
      <w:pPr>
        <w:pStyle w:val="Heading2"/>
      </w:pPr>
      <w:r>
        <w:rPr>
          <w:rStyle w:val="SectionNumber"/>
        </w:rPr>
        <w:t xml:space="preserve">1.277</w:t>
      </w:r>
      <w:r>
        <w:tab/>
      </w:r>
      <w:r>
        <w:t xml:space="preserve">Explicación en lenguaje sencillo</w:t>
      </w:r>
    </w:p>
    <w:p>
      <w:pPr>
        <w:pStyle w:val="FirstParagraph"/>
      </w:pPr>
      <w:r>
        <w:t xml:space="preserve">Un sistema no debe inferir características legalmente protegidas de datos biométricos cuando la ley prohíba esa práctica.</w:t>
      </w:r>
    </w:p>
    <w:bookmarkEnd w:id="320"/>
    <w:bookmarkStart w:id="321" w:name="ejemplo-de-globalway-27"/>
    <w:p>
      <w:pPr>
        <w:pStyle w:val="Heading2"/>
      </w:pPr>
      <w:r>
        <w:rPr>
          <w:rStyle w:val="SectionNumber"/>
        </w:rPr>
        <w:t xml:space="preserve">1.278</w:t>
      </w:r>
      <w:r>
        <w:tab/>
      </w:r>
      <w:r>
        <w:t xml:space="preserve">Ejemplo de GlobalWay</w:t>
      </w:r>
    </w:p>
    <w:p>
      <w:pPr>
        <w:pStyle w:val="FirstParagraph"/>
      </w:pPr>
      <w:r>
        <w:t xml:space="preserve">GlobalWay prohíbe clasificar a viajeros o empleados por etnia, religión, opinión política, orientación sexual u otros rasgos sensibles similares a partir de datos faciales o de voz.</w:t>
      </w:r>
    </w:p>
    <w:bookmarkEnd w:id="321"/>
    <w:bookmarkStart w:id="322" w:name="actividad-de-control-28"/>
    <w:p>
      <w:pPr>
        <w:pStyle w:val="Heading2"/>
      </w:pPr>
      <w:r>
        <w:rPr>
          <w:rStyle w:val="SectionNumber"/>
        </w:rPr>
        <w:t xml:space="preserve">1.279</w:t>
      </w:r>
      <w:r>
        <w:tab/>
      </w:r>
      <w:r>
        <w:t xml:space="preserve">Actividad de control</w:t>
      </w:r>
    </w:p>
    <w:p>
      <w:pPr>
        <w:pStyle w:val="FirstParagraph"/>
      </w:pPr>
      <w:r>
        <w:t xml:space="preserve">Requiere revisión de características biométricas, bloqueo de categorías prohibidas, restricciones a los proveedores y aprobación legal.</w:t>
      </w:r>
    </w:p>
    <w:bookmarkEnd w:id="322"/>
    <w:bookmarkStart w:id="323" w:name="pruebas-32"/>
    <w:p>
      <w:pPr>
        <w:pStyle w:val="Heading2"/>
      </w:pPr>
      <w:r>
        <w:rPr>
          <w:rStyle w:val="SectionNumber"/>
        </w:rPr>
        <w:t xml:space="preserve">1.280</w:t>
      </w:r>
      <w:r>
        <w:tab/>
      </w:r>
      <w:r>
        <w:t xml:space="preserve">Pruebas</w:t>
      </w:r>
    </w:p>
    <w:p>
      <w:pPr>
        <w:pStyle w:val="FirstParagraph"/>
      </w:pPr>
      <w:r>
        <w:t xml:space="preserve">Inventario de características, documentación de modelos, resultados de pruebas, contratos, aprobaciones y monitoreo.</w:t>
      </w:r>
    </w:p>
    <w:bookmarkEnd w:id="323"/>
    <w:bookmarkStart w:id="324" w:name="prueba-de-auditoría-29"/>
    <w:p>
      <w:pPr>
        <w:pStyle w:val="Heading2"/>
      </w:pPr>
      <w:r>
        <w:rPr>
          <w:rStyle w:val="SectionNumber"/>
        </w:rPr>
        <w:t xml:space="preserve">1.281</w:t>
      </w:r>
      <w:r>
        <w:tab/>
      </w:r>
      <w:r>
        <w:t xml:space="preserve">Prueba de auditoría</w:t>
      </w:r>
    </w:p>
    <w:p>
      <w:pPr>
        <w:pStyle w:val="FirstParagraph"/>
      </w:pPr>
      <w:r>
        <w:t xml:space="preserve">Verificar que los sistemas biométricos no generen o expongan salidas prohibidas de categorías sensibles.</w:t>
      </w:r>
    </w:p>
    <w:bookmarkEnd w:id="324"/>
    <w:bookmarkStart w:id="325" w:name="Xcf92934705311835d7264c23c66cda752366e1a"/>
    <w:p>
      <w:pPr>
        <w:pStyle w:val="Heading2"/>
      </w:pPr>
      <w:r>
        <w:rPr>
          <w:rStyle w:val="SectionNumber"/>
        </w:rPr>
        <w:t xml:space="preserve">1.282</w:t>
      </w:r>
      <w:r>
        <w:tab/>
      </w:r>
      <w:r>
        <w:t xml:space="preserve">Capítulo 34 — Nuevas prohibiciones de los contenidos íntimos no consensuados y de los materiales de abuso sexual infantil</w:t>
      </w:r>
    </w:p>
    <w:bookmarkEnd w:id="325"/>
    <w:bookmarkStart w:id="326" w:name="estado-de-la-publicación-3"/>
    <w:p>
      <w:pPr>
        <w:pStyle w:val="Heading2"/>
      </w:pPr>
      <w:r>
        <w:rPr>
          <w:rStyle w:val="SectionNumber"/>
        </w:rPr>
        <w:t xml:space="preserve">1.283</w:t>
      </w:r>
      <w:r>
        <w:tab/>
      </w:r>
      <w:r>
        <w:t xml:space="preserve">Estado de la publicación</w:t>
      </w:r>
    </w:p>
    <w:p>
      <w:pPr>
        <w:pStyle w:val="FirstParagraph"/>
      </w:pPr>
      <w:r>
        <w:rPr>
          <w:bCs/>
          <w:b/>
        </w:rPr>
        <w:t xml:space="preserve">Texto original en inglés corregido legalmente.</w:t>
      </w:r>
      <w:r>
        <w:t xml:space="preserve"> </w:t>
      </w:r>
      <w:r>
        <w:t xml:space="preserve">Este capítulo sustituye al texto en conflicto del capítulo 34 hasta que se concilian el borrador original, las cifras, los apéndices y las traducciones.</w:t>
      </w:r>
    </w:p>
    <w:bookmarkEnd w:id="326"/>
    <w:bookmarkStart w:id="327" w:name="finalidad-3"/>
    <w:p>
      <w:pPr>
        <w:pStyle w:val="Heading2"/>
      </w:pPr>
      <w:r>
        <w:rPr>
          <w:rStyle w:val="SectionNumber"/>
        </w:rPr>
        <w:t xml:space="preserve">1.284</w:t>
      </w:r>
      <w:r>
        <w:tab/>
      </w:r>
      <w:r>
        <w:t xml:space="preserve">Finalidad</w:t>
      </w:r>
    </w:p>
    <w:p>
      <w:pPr>
        <w:pStyle w:val="FirstParagraph"/>
      </w:pPr>
      <w:r>
        <w:t xml:space="preserve">Este capítulo explica las prácticas adicionales prohibidas de IA introducidas por el Reglamento (UE) 2026/1744 sobre sistemas de IA que generan contenido sexual explícito o íntimo no consensuado y material de abuso sexual infantil.</w:t>
      </w:r>
    </w:p>
    <w:bookmarkEnd w:id="327"/>
    <w:bookmarkStart w:id="328" w:name="base-jurídica-vinculante"/>
    <w:p>
      <w:pPr>
        <w:pStyle w:val="Heading2"/>
      </w:pPr>
      <w:r>
        <w:rPr>
          <w:rStyle w:val="SectionNumber"/>
        </w:rPr>
        <w:t xml:space="preserve">1.285</w:t>
      </w:r>
      <w:r>
        <w:tab/>
      </w:r>
      <w:r>
        <w:t xml:space="preserve">Base jurídica vinculante</w:t>
      </w:r>
    </w:p>
    <w:p>
      <w:pPr>
        <w:pStyle w:val="FirstParagraph"/>
      </w:pPr>
      <w:r>
        <w:t xml:space="preserve">El Reglamento (UE) 2026/1744 modificó el Reglamento (UE) 2024/1689 añadiendo nuevas prohibiciones del artículo 5. Estas disposiciones entraron en vigor con el Reglamento de modificación, pero se aplican a partir del</w:t>
      </w:r>
      <w:r>
        <w:t xml:space="preserve"> </w:t>
      </w:r>
      <w:r>
        <w:rPr>
          <w:bCs/>
          <w:b/>
        </w:rPr>
        <w:t xml:space="preserve">2 de diciembre de 2026</w:t>
      </w:r>
      <w:r>
        <w:t xml:space="preserve">.</w:t>
      </w:r>
    </w:p>
    <w:p>
      <w:pPr>
        <w:pStyle w:val="BodyText"/>
      </w:pPr>
      <w:r>
        <w:t xml:space="preserve">Las organizaciones deben distinguir:</w:t>
      </w:r>
    </w:p>
    <w:p>
      <w:pPr>
        <w:numPr>
          <w:ilvl w:val="0"/>
          <w:numId w:val="1069"/>
        </w:numPr>
        <w:pStyle w:val="Compact"/>
      </w:pPr>
      <w:r>
        <w:t xml:space="preserve">adopción y entrada en vigor de la enmienda;</w:t>
      </w:r>
    </w:p>
    <w:p>
      <w:pPr>
        <w:numPr>
          <w:ilvl w:val="0"/>
          <w:numId w:val="1069"/>
        </w:numPr>
        <w:pStyle w:val="Compact"/>
      </w:pPr>
      <w:r>
        <w:t xml:space="preserve">la fecha en que comienzan a aplicarse las nuevas prohibiciones;</w:t>
      </w:r>
    </w:p>
    <w:p>
      <w:pPr>
        <w:numPr>
          <w:ilvl w:val="0"/>
          <w:numId w:val="1069"/>
        </w:numPr>
        <w:pStyle w:val="Compact"/>
      </w:pPr>
      <w:r>
        <w:t xml:space="preserve">los elementos jurídicos separados de cada categoría prohibida;</w:t>
      </w:r>
    </w:p>
    <w:p>
      <w:pPr>
        <w:numPr>
          <w:ilvl w:val="0"/>
          <w:numId w:val="1069"/>
        </w:numPr>
        <w:pStyle w:val="Compact"/>
      </w:pPr>
      <w:r>
        <w:t xml:space="preserve">leyes penales, relacionadas con la protección de los niños, la privacidad, la plataforma, el empleo y la seguridad de los contenidos que ya pueden aplicarse de forma independiente.</w:t>
      </w:r>
    </w:p>
    <w:bookmarkEnd w:id="328"/>
    <w:bookmarkStart w:id="329" w:name="requisito-32"/>
    <w:p>
      <w:pPr>
        <w:pStyle w:val="Heading2"/>
      </w:pPr>
      <w:r>
        <w:rPr>
          <w:rStyle w:val="SectionNumber"/>
        </w:rPr>
        <w:t xml:space="preserve">1.286</w:t>
      </w:r>
      <w:r>
        <w:tab/>
      </w:r>
      <w:r>
        <w:t xml:space="preserve">Requisito</w:t>
      </w:r>
    </w:p>
    <w:p>
      <w:pPr>
        <w:pStyle w:val="FirstParagraph"/>
      </w:pPr>
      <w:r>
        <w:t xml:space="preserve">Una organización no debe comercializar, poner en servicio ni utilizar un sistema de IA de una manera prohibida por el artículo 5 enmendado. Debe realizar una evaluación jurídica elemento por elemento en lugar de basarse en una etiqueta amplia como</w:t>
      </w:r>
      <w:r>
        <w:t xml:space="preserve"> </w:t>
      </w:r>
      <w:r>
        <w:t xml:space="preserve">“</w:t>
      </w:r>
      <w:r>
        <w:t xml:space="preserve">contenido perjudicial</w:t>
      </w:r>
      <w:r>
        <w:t xml:space="preserve">”</w:t>
      </w:r>
      <w:r>
        <w:t xml:space="preserve">.</w:t>
      </w:r>
    </w:p>
    <w:bookmarkEnd w:id="329"/>
    <w:bookmarkStart w:id="330" w:name="explicación-en-lenguaje-sencillo-29"/>
    <w:p>
      <w:pPr>
        <w:pStyle w:val="Heading2"/>
      </w:pPr>
      <w:r>
        <w:rPr>
          <w:rStyle w:val="SectionNumber"/>
        </w:rPr>
        <w:t xml:space="preserve">1.287</w:t>
      </w:r>
      <w:r>
        <w:tab/>
      </w:r>
      <w:r>
        <w:t xml:space="preserve">Explicación en lenguaje sencillo</w:t>
      </w:r>
    </w:p>
    <w:p>
      <w:pPr>
        <w:pStyle w:val="FirstParagraph"/>
      </w:pPr>
      <w:r>
        <w:t xml:space="preserve">La enmienda se dirige a los sistemas de IA utilizados para generar dos categorías de material especialmente graves:</w:t>
      </w:r>
    </w:p>
    <w:p>
      <w:pPr>
        <w:numPr>
          <w:ilvl w:val="0"/>
          <w:numId w:val="1070"/>
        </w:numPr>
        <w:pStyle w:val="Compact"/>
      </w:pPr>
      <w:r>
        <w:t xml:space="preserve">contenido sexual explícito o íntimo no consensuado; y</w:t>
      </w:r>
    </w:p>
    <w:p>
      <w:pPr>
        <w:numPr>
          <w:ilvl w:val="0"/>
          <w:numId w:val="1070"/>
        </w:numPr>
        <w:pStyle w:val="Compact"/>
      </w:pPr>
      <w:r>
        <w:t xml:space="preserve">material de abuso sexual infantil.</w:t>
      </w:r>
    </w:p>
    <w:p>
      <w:pPr>
        <w:pStyle w:val="FirstParagraph"/>
      </w:pPr>
      <w:r>
        <w:t xml:space="preserve">La organización debe mantener estas categorías jurídicamente distintas, documentar los hechos que respaldan su conclusión, y evitar implicar que toda salida ofensiva, sexualizada o invasiva por la privacidad cae automáticamente dentro del mismo elemento estatutario.</w:t>
      </w:r>
    </w:p>
    <w:bookmarkEnd w:id="330"/>
    <w:bookmarkStart w:id="331" w:name="control-de-la-fecha-efectiva"/>
    <w:p>
      <w:pPr>
        <w:pStyle w:val="Heading2"/>
      </w:pPr>
      <w:r>
        <w:rPr>
          <w:rStyle w:val="SectionNumber"/>
        </w:rPr>
        <w:t xml:space="preserve">1.288</w:t>
      </w:r>
      <w:r>
        <w:tab/>
      </w:r>
      <w:r>
        <w:t xml:space="preserve">Control de la fecha efectiva</w:t>
      </w:r>
    </w:p>
    <w:p>
      <w:pPr>
        <w:pStyle w:val="FirstParagraph"/>
      </w:pPr>
      <w:r>
        <w:t xml:space="preserve">Antes del 2 de diciembre de 2026, las prohibiciones de la nueva Ley de IA deben ser tratadas como adoptadas, pero aún no son aplicables en virtud de su fecha de aplicación específica de la Ley de IA. Esto no autoriza la conducta.Otros Estados miembros de la UE, criminal, privacidad, seguridad del niño, plataforma, empleo o normas contractuales ya pueden prohibirla o restringirla.</w:t>
      </w:r>
    </w:p>
    <w:p>
      <w:pPr>
        <w:pStyle w:val="BodyText"/>
      </w:pPr>
      <w:r>
        <w:t xml:space="preserve">A partir del 2 de diciembre de 2026, las prohibiciones modificadas del artículo 5 se aplican directamente de acuerdo con su redacción legal.</w:t>
      </w:r>
    </w:p>
    <w:bookmarkEnd w:id="331"/>
    <w:bookmarkStart w:id="332" w:name="preguntas-de-selección"/>
    <w:p>
      <w:pPr>
        <w:pStyle w:val="Heading2"/>
      </w:pPr>
      <w:r>
        <w:rPr>
          <w:rStyle w:val="SectionNumber"/>
        </w:rPr>
        <w:t xml:space="preserve">1.289</w:t>
      </w:r>
      <w:r>
        <w:tab/>
      </w:r>
      <w:r>
        <w:t xml:space="preserve">Preguntas de selección</w:t>
      </w:r>
    </w:p>
    <w:p>
      <w:pPr>
        <w:pStyle w:val="FirstParagraph"/>
      </w:pPr>
      <w:r>
        <w:t xml:space="preserve">Para cada sistema o caso de uso pertinente, determine:</w:t>
      </w:r>
    </w:p>
    <w:p>
      <w:pPr>
        <w:numPr>
          <w:ilvl w:val="0"/>
          <w:numId w:val="1071"/>
        </w:numPr>
        <w:pStyle w:val="Compact"/>
      </w:pPr>
      <w:r>
        <w:t xml:space="preserve">si el sistema puede generar o transformar materialmente contenidos sexuales, íntimos o relacionados con el niño;</w:t>
      </w:r>
    </w:p>
    <w:p>
      <w:pPr>
        <w:numPr>
          <w:ilvl w:val="0"/>
          <w:numId w:val="1071"/>
        </w:numPr>
        <w:pStyle w:val="Compact"/>
      </w:pPr>
      <w:r>
        <w:t xml:space="preserve">si el uso involucra a una persona identificable o razonablemente identificable;</w:t>
      </w:r>
    </w:p>
    <w:p>
      <w:pPr>
        <w:numPr>
          <w:ilvl w:val="0"/>
          <w:numId w:val="1071"/>
        </w:numPr>
        <w:pStyle w:val="Compact"/>
      </w:pPr>
      <w:r>
        <w:t xml:space="preserve">si el consentimiento existe, es válido y abarca la generación y el uso específicos;</w:t>
      </w:r>
    </w:p>
    <w:p>
      <w:pPr>
        <w:numPr>
          <w:ilvl w:val="0"/>
          <w:numId w:val="1071"/>
        </w:numPr>
        <w:pStyle w:val="Compact"/>
      </w:pPr>
      <w:r>
        <w:t xml:space="preserve">si el contenido es sexualmente explícito o íntimo en el contexto jurídico aplicable;</w:t>
      </w:r>
    </w:p>
    <w:p>
      <w:pPr>
        <w:numPr>
          <w:ilvl w:val="0"/>
          <w:numId w:val="1071"/>
        </w:numPr>
        <w:pStyle w:val="Compact"/>
      </w:pPr>
      <w:r>
        <w:t xml:space="preserve">si el contenido constituye o puede constituir material de abuso sexual infantil;</w:t>
      </w:r>
    </w:p>
    <w:p>
      <w:pPr>
        <w:numPr>
          <w:ilvl w:val="0"/>
          <w:numId w:val="1071"/>
        </w:numPr>
        <w:pStyle w:val="Compact"/>
      </w:pPr>
      <w:r>
        <w:t xml:space="preserve">si los avisos, ajustes, herramientas, fuentes de recuperación, edición de imágenes o acciones de agentes permiten la conducta prohibida;</w:t>
      </w:r>
    </w:p>
    <w:p>
      <w:pPr>
        <w:numPr>
          <w:ilvl w:val="0"/>
          <w:numId w:val="1071"/>
        </w:numPr>
        <w:pStyle w:val="Compact"/>
      </w:pPr>
      <w:r>
        <w:t xml:space="preserve">si los empleados, contratistas, usuarios, clientes o vendedores pueden eludir las salvaguardias;</w:t>
      </w:r>
    </w:p>
    <w:p>
      <w:pPr>
        <w:numPr>
          <w:ilvl w:val="0"/>
          <w:numId w:val="1071"/>
        </w:numPr>
        <w:pStyle w:val="Compact"/>
      </w:pPr>
      <w:r>
        <w:t xml:space="preserve">si la organización es un proveedor, un despliegue, un distribuidor, un importador u otro agente pertinente;</w:t>
      </w:r>
    </w:p>
    <w:p>
      <w:pPr>
        <w:numPr>
          <w:ilvl w:val="0"/>
          <w:numId w:val="1071"/>
        </w:numPr>
        <w:pStyle w:val="Compact"/>
      </w:pPr>
      <w:r>
        <w:t xml:space="preserve">si es necesaria la suspensión inmediata, la preservación, la denuncia o la intensificación de la aplicación de la ley.</w:t>
      </w:r>
    </w:p>
    <w:bookmarkEnd w:id="332"/>
    <w:bookmarkStart w:id="333" w:name="detonantes-de-escalada-obligatorios"/>
    <w:p>
      <w:pPr>
        <w:pStyle w:val="Heading2"/>
      </w:pPr>
      <w:r>
        <w:rPr>
          <w:rStyle w:val="SectionNumber"/>
        </w:rPr>
        <w:t xml:space="preserve">1.290</w:t>
      </w:r>
      <w:r>
        <w:tab/>
      </w:r>
      <w:r>
        <w:t xml:space="preserve">Detonantes de escalada obligatorios</w:t>
      </w:r>
    </w:p>
    <w:p>
      <w:pPr>
        <w:pStyle w:val="FirstParagraph"/>
      </w:pPr>
      <w:r>
        <w:t xml:space="preserve">Incrementar inmediatamente cuando:</w:t>
      </w:r>
    </w:p>
    <w:p>
      <w:pPr>
        <w:numPr>
          <w:ilvl w:val="0"/>
          <w:numId w:val="1072"/>
        </w:numPr>
        <w:pStyle w:val="Compact"/>
      </w:pPr>
      <w:r>
        <w:t xml:space="preserve">un sistema está diseñado, comercializado o configurado para la</w:t>
      </w:r>
      <w:r>
        <w:t xml:space="preserve"> </w:t>
      </w:r>
      <w:r>
        <w:t xml:space="preserve">“</w:t>
      </w:r>
      <w:r>
        <w:t xml:space="preserve">nudificación</w:t>
      </w:r>
      <w:r>
        <w:t xml:space="preserve">”</w:t>
      </w:r>
      <w:r>
        <w:t xml:space="preserve"> </w:t>
      </w:r>
      <w:r>
        <w:t xml:space="preserve">de la IA o generación equivalente de contenidos íntimos no consensuales;</w:t>
      </w:r>
    </w:p>
    <w:p>
      <w:pPr>
        <w:numPr>
          <w:ilvl w:val="0"/>
          <w:numId w:val="1072"/>
        </w:numPr>
        <w:pStyle w:val="Compact"/>
      </w:pPr>
      <w:r>
        <w:t xml:space="preserve">un sistema puede generar representaciones sexualizadas de una persona real sin un consentimiento verificado;</w:t>
      </w:r>
    </w:p>
    <w:p>
      <w:pPr>
        <w:numPr>
          <w:ilvl w:val="0"/>
          <w:numId w:val="1072"/>
        </w:numPr>
        <w:pStyle w:val="Compact"/>
      </w:pPr>
      <w:r>
        <w:t xml:space="preserve">cualquier producto puede representar a un niño en material de abuso sexual;</w:t>
      </w:r>
    </w:p>
    <w:p>
      <w:pPr>
        <w:numPr>
          <w:ilvl w:val="0"/>
          <w:numId w:val="1072"/>
        </w:numPr>
        <w:pStyle w:val="Compact"/>
      </w:pPr>
      <w:r>
        <w:t xml:space="preserve">las salvaguardias se pasan por alto repetidamente;</w:t>
      </w:r>
    </w:p>
    <w:p>
      <w:pPr>
        <w:numPr>
          <w:ilvl w:val="0"/>
          <w:numId w:val="1072"/>
        </w:numPr>
        <w:pStyle w:val="Compact"/>
      </w:pPr>
      <w:r>
        <w:t xml:space="preserve">un proveedor se niegue a proporcionar controles adecuados, registros o apoyo para incidentes;</w:t>
      </w:r>
    </w:p>
    <w:p>
      <w:pPr>
        <w:numPr>
          <w:ilvl w:val="0"/>
          <w:numId w:val="1072"/>
        </w:numPr>
        <w:pStyle w:val="Compact"/>
      </w:pPr>
      <w:r>
        <w:t xml:space="preserve">la clasificación jurídica es incierta, pero el daño potencial es grave;</w:t>
      </w:r>
    </w:p>
    <w:p>
      <w:pPr>
        <w:numPr>
          <w:ilvl w:val="0"/>
          <w:numId w:val="1072"/>
        </w:numPr>
        <w:pStyle w:val="Compact"/>
      </w:pPr>
      <w:r>
        <w:t xml:space="preserve">La evidencia sugiere conducta criminal, peligro infantil, coacción, extorsión, acoso o explotación.</w:t>
      </w:r>
    </w:p>
    <w:bookmarkEnd w:id="333"/>
    <w:bookmarkStart w:id="334" w:name="Xf8a08c51d09ff77f149102eb6ac4633c7d1f77c"/>
    <w:p>
      <w:pPr>
        <w:pStyle w:val="Heading2"/>
      </w:pPr>
      <w:r>
        <w:rPr>
          <w:rStyle w:val="SectionNumber"/>
        </w:rPr>
        <w:t xml:space="preserve">1.291</w:t>
      </w:r>
      <w:r>
        <w:tab/>
      </w:r>
      <w:r>
        <w:t xml:space="preserve">Ejemplo de servicios de viajes de GlobalWay</w:t>
      </w:r>
    </w:p>
    <w:p>
      <w:pPr>
        <w:pStyle w:val="FirstParagraph"/>
      </w:pPr>
      <w:r>
        <w:t xml:space="preserve">El equipo de marketing de GlobalWay propone una herramienta de edición de imágenes para campañas de viajes personalizadas. Las pruebas muestran que los usuarios pueden subir fotografías e impulsar la herramienta para quitar ropa o generar versiones sexualizadas de personas reales.</w:t>
      </w:r>
    </w:p>
    <w:p>
      <w:pPr>
        <w:pStyle w:val="BodyText"/>
      </w:pPr>
      <w:r>
        <w:t xml:space="preserve">GlobalWay bloquea inmediatamente la función, preserva la evidencia de pruebas, aumenta a Legal, Seguridad, Privacidad y administración ejecutiva, y requiere que el proveedor demuestre restricciones técnicas efectivas.El sistema no está aprobado para su implementación.El registro de la decisión analiza por separado contenido íntimo no consensuado, posible exposición a la seguridad infantil, privacidad, empleo y problemas de derecho penal.</w:t>
      </w:r>
    </w:p>
    <w:bookmarkEnd w:id="334"/>
    <w:bookmarkStart w:id="335" w:name="actividades-de-control-3"/>
    <w:p>
      <w:pPr>
        <w:pStyle w:val="Heading2"/>
      </w:pPr>
      <w:r>
        <w:rPr>
          <w:rStyle w:val="SectionNumber"/>
        </w:rPr>
        <w:t xml:space="preserve">1.292</w:t>
      </w:r>
      <w:r>
        <w:tab/>
      </w:r>
      <w:r>
        <w:t xml:space="preserve">Actividades de control</w:t>
      </w:r>
    </w:p>
    <w:p>
      <w:pPr>
        <w:numPr>
          <w:ilvl w:val="0"/>
          <w:numId w:val="1073"/>
        </w:numPr>
        <w:pStyle w:val="Compact"/>
      </w:pPr>
      <w:r>
        <w:t xml:space="preserve">Añádanse las dos categorías prohibidas enmendadas a la admisión y a las pruebas de detección de prácticas prohibidas.</w:t>
      </w:r>
    </w:p>
    <w:p>
      <w:pPr>
        <w:numPr>
          <w:ilvl w:val="0"/>
          <w:numId w:val="1073"/>
        </w:numPr>
        <w:pStyle w:val="Compact"/>
      </w:pPr>
      <w:r>
        <w:t xml:space="preserve">Bloquear avisos de alto riesgo, transformaciones, modelos, herramientas y flujos de trabajo en múltiples capas de control.</w:t>
      </w:r>
    </w:p>
    <w:p>
      <w:pPr>
        <w:numPr>
          <w:ilvl w:val="0"/>
          <w:numId w:val="1073"/>
        </w:numPr>
        <w:pStyle w:val="Compact"/>
      </w:pPr>
      <w:r>
        <w:t xml:space="preserve">Prohibir la comercialización o las descripciones de productos que alienten usos prohibidos.</w:t>
      </w:r>
    </w:p>
    <w:p>
      <w:pPr>
        <w:numPr>
          <w:ilvl w:val="0"/>
          <w:numId w:val="1073"/>
        </w:numPr>
        <w:pStyle w:val="Compact"/>
      </w:pPr>
      <w:r>
        <w:t xml:space="preserve">Exigir controles verificados del consentimiento, cuando proceda, sin tratar el consentimiento como suficiente para el material de abuso sexual infantil.</w:t>
      </w:r>
    </w:p>
    <w:p>
      <w:pPr>
        <w:numPr>
          <w:ilvl w:val="0"/>
          <w:numId w:val="1073"/>
        </w:numPr>
        <w:pStyle w:val="Compact"/>
      </w:pPr>
      <w:r>
        <w:t xml:space="preserve">Aplicar controles relacionados con la edad y la seguridad de los niños proporcionados al caso de uso.</w:t>
      </w:r>
    </w:p>
    <w:p>
      <w:pPr>
        <w:numPr>
          <w:ilvl w:val="0"/>
          <w:numId w:val="1073"/>
        </w:numPr>
        <w:pStyle w:val="Compact"/>
      </w:pPr>
      <w:r>
        <w:t xml:space="preserve">Preservar avisos, salidas, registros, versiones de modelos, identificadores de usuario y eventos de control después de un incidente.</w:t>
      </w:r>
    </w:p>
    <w:p>
      <w:pPr>
        <w:numPr>
          <w:ilvl w:val="0"/>
          <w:numId w:val="1073"/>
        </w:numPr>
        <w:pStyle w:val="Compact"/>
      </w:pPr>
      <w:r>
        <w:t xml:space="preserve">Definir la suspensión inmediata, la restricción de cuentas, la escalada de proveedores y los procedimientos legales.</w:t>
      </w:r>
    </w:p>
    <w:p>
      <w:pPr>
        <w:numPr>
          <w:ilvl w:val="0"/>
          <w:numId w:val="1073"/>
        </w:numPr>
        <w:pStyle w:val="Compact"/>
      </w:pPr>
      <w:r>
        <w:t xml:space="preserve">Capacitar al personal en la fecha de aplicación del 2 de diciembre de 2026 y en las leyes de aplicación independiente.</w:t>
      </w:r>
    </w:p>
    <w:p>
      <w:pPr>
        <w:numPr>
          <w:ilvl w:val="0"/>
          <w:numId w:val="1073"/>
        </w:numPr>
        <w:pStyle w:val="Compact"/>
      </w:pPr>
      <w:r>
        <w:t xml:space="preserve">Reevalua las capacidades de código abierto, afinadas, edición de imágenes, generación de vídeo y agentes después de los cambios.</w:t>
      </w:r>
    </w:p>
    <w:bookmarkEnd w:id="335"/>
    <w:bookmarkStart w:id="336" w:name="pruebas-33"/>
    <w:p>
      <w:pPr>
        <w:pStyle w:val="Heading2"/>
      </w:pPr>
      <w:r>
        <w:rPr>
          <w:rStyle w:val="SectionNumber"/>
        </w:rPr>
        <w:t xml:space="preserve">1.293</w:t>
      </w:r>
      <w:r>
        <w:tab/>
      </w:r>
      <w:r>
        <w:t xml:space="preserve">Pruebas</w:t>
      </w:r>
    </w:p>
    <w:p>
      <w:pPr>
        <w:numPr>
          <w:ilvl w:val="0"/>
          <w:numId w:val="1074"/>
        </w:numPr>
        <w:pStyle w:val="Compact"/>
      </w:pPr>
      <w:r>
        <w:t xml:space="preserve">evaluación de prácticas prohibidas;</w:t>
      </w:r>
    </w:p>
    <w:p>
      <w:pPr>
        <w:numPr>
          <w:ilvl w:val="0"/>
          <w:numId w:val="1074"/>
        </w:numPr>
        <w:pStyle w:val="Compact"/>
      </w:pPr>
      <w:r>
        <w:t xml:space="preserve">citación de artículos y enmiendas;</w:t>
      </w:r>
    </w:p>
    <w:p>
      <w:pPr>
        <w:numPr>
          <w:ilvl w:val="0"/>
          <w:numId w:val="1074"/>
        </w:numPr>
        <w:pStyle w:val="Compact"/>
      </w:pPr>
      <w:r>
        <w:t xml:space="preserve">el consentimiento y los registros de diseño de control de identidad;</w:t>
      </w:r>
    </w:p>
    <w:p>
      <w:pPr>
        <w:numPr>
          <w:ilvl w:val="0"/>
          <w:numId w:val="1074"/>
        </w:numPr>
        <w:pStyle w:val="Compact"/>
      </w:pPr>
      <w:r>
        <w:t xml:space="preserve">políticas de seguridad y configuraciones de modelos;</w:t>
      </w:r>
    </w:p>
    <w:p>
      <w:pPr>
        <w:numPr>
          <w:ilvl w:val="0"/>
          <w:numId w:val="1074"/>
        </w:numPr>
        <w:pStyle w:val="Compact"/>
      </w:pPr>
      <w:r>
        <w:t xml:space="preserve">resultados de ensayos rápidos y de salida;</w:t>
      </w:r>
    </w:p>
    <w:p>
      <w:pPr>
        <w:numPr>
          <w:ilvl w:val="0"/>
          <w:numId w:val="1074"/>
        </w:numPr>
        <w:pStyle w:val="Compact"/>
      </w:pPr>
      <w:r>
        <w:t xml:space="preserve">pruebas de equipos rojos y casos de abuso;</w:t>
      </w:r>
    </w:p>
    <w:p>
      <w:pPr>
        <w:numPr>
          <w:ilvl w:val="0"/>
          <w:numId w:val="1074"/>
        </w:numPr>
        <w:pStyle w:val="Compact"/>
      </w:pPr>
      <w:r>
        <w:t xml:space="preserve">registros de eventos bloqueados;</w:t>
      </w:r>
    </w:p>
    <w:p>
      <w:pPr>
        <w:numPr>
          <w:ilvl w:val="0"/>
          <w:numId w:val="1074"/>
        </w:numPr>
        <w:pStyle w:val="Compact"/>
      </w:pPr>
      <w:r>
        <w:t xml:space="preserve">registros de incidentes y escalada;</w:t>
      </w:r>
    </w:p>
    <w:p>
      <w:pPr>
        <w:numPr>
          <w:ilvl w:val="0"/>
          <w:numId w:val="1074"/>
        </w:numPr>
        <w:pStyle w:val="Compact"/>
      </w:pPr>
      <w:r>
        <w:t xml:space="preserve">correspondencia con el vendedor y pruebas de reparación;</w:t>
      </w:r>
    </w:p>
    <w:p>
      <w:pPr>
        <w:numPr>
          <w:ilvl w:val="0"/>
          <w:numId w:val="1074"/>
        </w:numPr>
        <w:pStyle w:val="Compact"/>
      </w:pPr>
      <w:r>
        <w:t xml:space="preserve">suspensión, rechazo o aprobación de desmantelamiento;</w:t>
      </w:r>
    </w:p>
    <w:p>
      <w:pPr>
        <w:numPr>
          <w:ilvl w:val="0"/>
          <w:numId w:val="1074"/>
        </w:numPr>
        <w:pStyle w:val="Compact"/>
      </w:pPr>
      <w:r>
        <w:t xml:space="preserve">registros legales y de informes.</w:t>
      </w:r>
    </w:p>
    <w:bookmarkEnd w:id="336"/>
    <w:bookmarkStart w:id="337" w:name="pruebas-de-auditoría-3"/>
    <w:p>
      <w:pPr>
        <w:pStyle w:val="Heading2"/>
      </w:pPr>
      <w:r>
        <w:rPr>
          <w:rStyle w:val="SectionNumber"/>
        </w:rPr>
        <w:t xml:space="preserve">1.294</w:t>
      </w:r>
      <w:r>
        <w:tab/>
      </w:r>
      <w:r>
        <w:t xml:space="preserve">Pruebas de auditoría</w:t>
      </w:r>
    </w:p>
    <w:p>
      <w:pPr>
        <w:numPr>
          <w:ilvl w:val="0"/>
          <w:numId w:val="1075"/>
        </w:numPr>
        <w:pStyle w:val="Compact"/>
      </w:pPr>
      <w:r>
        <w:t xml:space="preserve">Confirme que la organización distingue las dos categorías prohibidas enmendadas.</w:t>
      </w:r>
    </w:p>
    <w:p>
      <w:pPr>
        <w:numPr>
          <w:ilvl w:val="0"/>
          <w:numId w:val="1075"/>
        </w:numPr>
        <w:pStyle w:val="Compact"/>
      </w:pPr>
      <w:r>
        <w:t xml:space="preserve">Verificar la fecha de solicitud del 2 de diciembre de 2026 se establece de manera consistente.</w:t>
      </w:r>
    </w:p>
    <w:p>
      <w:pPr>
        <w:numPr>
          <w:ilvl w:val="0"/>
          <w:numId w:val="1075"/>
        </w:numPr>
        <w:pStyle w:val="Compact"/>
      </w:pPr>
      <w:r>
        <w:t xml:space="preserve">Pruebe si los usuarios pueden eludir las salvaguardias a través de avisos, subidas, edición, herramientas o API.</w:t>
      </w:r>
    </w:p>
    <w:p>
      <w:pPr>
        <w:numPr>
          <w:ilvl w:val="0"/>
          <w:numId w:val="1075"/>
        </w:numPr>
        <w:pStyle w:val="Compact"/>
      </w:pPr>
      <w:r>
        <w:t xml:space="preserve">Revise si los acontecimientos relacionados con la seguridad de los niños reciben una escalada inmediata y la preservación de pruebas.</w:t>
      </w:r>
    </w:p>
    <w:p>
      <w:pPr>
        <w:numPr>
          <w:ilvl w:val="0"/>
          <w:numId w:val="1075"/>
        </w:numPr>
        <w:pStyle w:val="Compact"/>
      </w:pPr>
      <w:r>
        <w:t xml:space="preserve">Confirmar los controles de consentimiento no se tratan como una defensa para el material de abuso sexual infantil.</w:t>
      </w:r>
    </w:p>
    <w:p>
      <w:pPr>
        <w:numPr>
          <w:ilvl w:val="0"/>
          <w:numId w:val="1075"/>
        </w:numPr>
        <w:pStyle w:val="Compact"/>
      </w:pPr>
      <w:r>
        <w:t xml:space="preserve">Rastreo de usos rechazados o suspendidos de decisiones legales y ejecutivas documentadas.</w:t>
      </w:r>
    </w:p>
    <w:p>
      <w:pPr>
        <w:numPr>
          <w:ilvl w:val="0"/>
          <w:numId w:val="1075"/>
        </w:numPr>
        <w:pStyle w:val="Compact"/>
      </w:pPr>
      <w:r>
        <w:t xml:space="preserve">Verifique que los apéndices, la capacitación, los gráficos y los controles de los proveedores estén alineados.</w:t>
      </w:r>
    </w:p>
    <w:bookmarkEnd w:id="337"/>
    <w:bookmarkStart w:id="338" w:name="lista-de-verificación-de-gestión-3"/>
    <w:p>
      <w:pPr>
        <w:pStyle w:val="Heading2"/>
      </w:pPr>
      <w:r>
        <w:rPr>
          <w:rStyle w:val="SectionNumber"/>
        </w:rPr>
        <w:t xml:space="preserve">1.295</w:t>
      </w:r>
      <w:r>
        <w:tab/>
      </w:r>
      <w:r>
        <w:t xml:space="preserve">Lista de verificación de gestión</w:t>
      </w:r>
    </w:p>
    <w:p>
      <w:pPr>
        <w:numPr>
          <w:ilvl w:val="0"/>
          <w:numId w:val="1076"/>
        </w:numPr>
        <w:pStyle w:val="Compact"/>
      </w:pPr>
      <w:r>
        <w:t xml:space="preserve">¿Hemos examinado todos los sistemas generativos de imagen, audio, vídeo y edición?</w:t>
      </w:r>
    </w:p>
    <w:p>
      <w:pPr>
        <w:numPr>
          <w:ilvl w:val="0"/>
          <w:numId w:val="1076"/>
        </w:numPr>
        <w:pStyle w:val="Compact"/>
      </w:pPr>
      <w:r>
        <w:t xml:space="preserve">¿Puede el sistema sexualizar o exponer a una persona real sin un consentimiento válido?</w:t>
      </w:r>
    </w:p>
    <w:p>
      <w:pPr>
        <w:numPr>
          <w:ilvl w:val="0"/>
          <w:numId w:val="1076"/>
        </w:numPr>
        <w:pStyle w:val="Compact"/>
      </w:pPr>
      <w:r>
        <w:t xml:space="preserve">¿Puede algún flujo de trabajo generar material de abuso sexual infantil?</w:t>
      </w:r>
    </w:p>
    <w:p>
      <w:pPr>
        <w:numPr>
          <w:ilvl w:val="0"/>
          <w:numId w:val="1076"/>
        </w:numPr>
        <w:pStyle w:val="Compact"/>
      </w:pPr>
      <w:r>
        <w:t xml:space="preserve">¿Se detectan e intensifican los intentos de derivación?</w:t>
      </w:r>
    </w:p>
    <w:p>
      <w:pPr>
        <w:numPr>
          <w:ilvl w:val="0"/>
          <w:numId w:val="1076"/>
        </w:numPr>
        <w:pStyle w:val="Compact"/>
      </w:pPr>
      <w:r>
        <w:t xml:space="preserve">¿Está registrada correctamente la fecha de aplicación del 2 de diciembre de 2026?</w:t>
      </w:r>
    </w:p>
    <w:p>
      <w:pPr>
        <w:numPr>
          <w:ilvl w:val="0"/>
          <w:numId w:val="1076"/>
        </w:numPr>
        <w:pStyle w:val="Compact"/>
      </w:pPr>
      <w:r>
        <w:t xml:space="preserve">¿Se evalúan por separado otras leyes ya aplicables?</w:t>
      </w:r>
    </w:p>
    <w:bookmarkEnd w:id="338"/>
    <w:bookmarkStart w:id="339" w:name="Xe961cb2cd0673c66b6abc29609ce104e511ecce"/>
    <w:p>
      <w:pPr>
        <w:pStyle w:val="Heading2"/>
      </w:pPr>
      <w:r>
        <w:rPr>
          <w:rStyle w:val="SectionNumber"/>
        </w:rPr>
        <w:t xml:space="preserve">1.296</w:t>
      </w:r>
      <w:r>
        <w:tab/>
      </w:r>
      <w:r>
        <w:t xml:space="preserve">Especificación de la figura: ruta prohibida para la decisión de contenidos íntimos</w:t>
      </w:r>
    </w:p>
    <w:p>
      <w:pPr>
        <w:pStyle w:val="FirstParagraph"/>
      </w:pPr>
      <w:r>
        <w:t xml:space="preserve">Crear un flujo de decisiones comenzando con la capacidad del sistema y el uso previsto, luego separar las ramas para contenido sexual explícito o íntimo no consensuado y material de abuso sexual infantil. Mostrar análisis de consentimiento sólo en la rama adulto de contenido íntimo, detener y aumentar inmediatamente el posible material de abuso sexual infantil, y la preservación de pruebas para ambas ramas.</w:t>
      </w:r>
    </w:p>
    <w:p>
      <w:pPr>
        <w:pStyle w:val="BodyText"/>
      </w:pPr>
      <w:r>
        <w:rPr>
          <w:bCs/>
          <w:b/>
        </w:rPr>
        <w:t xml:space="preserve">Texto Alt:</w:t>
      </w:r>
      <w:r>
        <w:t xml:space="preserve"> </w:t>
      </w:r>
      <w:r>
        <w:t xml:space="preserve">Ruta de decisión para sistemas de IA capaces de generar contenido sexual o íntimo, separando el análisis de contenido íntimo no consensuado de adultos de la detención inmediata y escalada de posibles materiales de abuso sexual infantil, con preservación de evidencia y revisión legal.</w:t>
      </w:r>
    </w:p>
    <w:bookmarkEnd w:id="339"/>
    <w:bookmarkStart w:id="340" w:name="X8c6076e1ab486fb08a13516f52acf695e170137"/>
    <w:p>
      <w:pPr>
        <w:pStyle w:val="Heading2"/>
      </w:pPr>
      <w:r>
        <w:rPr>
          <w:rStyle w:val="SectionNumber"/>
        </w:rPr>
        <w:t xml:space="preserve">1.297</w:t>
      </w:r>
      <w:r>
        <w:tab/>
      </w:r>
      <w:r>
        <w:t xml:space="preserve">Capítulo 35 — Gobernanza y garantía de prácticas prohibidas</w:t>
      </w:r>
    </w:p>
    <w:p>
      <w:pPr>
        <w:pStyle w:val="BlockText"/>
      </w:pPr>
      <w:r>
        <w:rPr>
          <w:bCs/>
          <w:b/>
        </w:rPr>
        <w:t xml:space="preserve">Estatus legal:</w:t>
      </w:r>
      <w:r>
        <w:t xml:space="preserve"> </w:t>
      </w:r>
      <w:r>
        <w:t xml:space="preserve">master inglés corregido. Los controles de gobierno apoyan el cumplimiento, pero no pueden autorizar una práctica prohibida o reemplazar el análisis legal actual.</w:t>
      </w:r>
    </w:p>
    <w:bookmarkEnd w:id="340"/>
    <w:bookmarkStart w:id="341" w:name="requisito-33"/>
    <w:p>
      <w:pPr>
        <w:pStyle w:val="Heading2"/>
      </w:pPr>
      <w:r>
        <w:rPr>
          <w:rStyle w:val="SectionNumber"/>
        </w:rPr>
        <w:t xml:space="preserve">1.298</w:t>
      </w:r>
      <w:r>
        <w:tab/>
      </w:r>
      <w:r>
        <w:t xml:space="preserve">Requisito</w:t>
      </w:r>
    </w:p>
    <w:p>
      <w:pPr>
        <w:pStyle w:val="FirstParagraph"/>
      </w:pPr>
      <w:r>
        <w:t xml:space="preserve">Mantener controles empresariales para identificar, bloquear, escalar, monitorear y reparar las prácticas prohibidas de IA.</w:t>
      </w:r>
    </w:p>
    <w:bookmarkEnd w:id="341"/>
    <w:bookmarkStart w:id="342" w:name="explicación-en-lenguaje-sencillo-30"/>
    <w:p>
      <w:pPr>
        <w:pStyle w:val="Heading2"/>
      </w:pPr>
      <w:r>
        <w:rPr>
          <w:rStyle w:val="SectionNumber"/>
        </w:rPr>
        <w:t xml:space="preserve">1.299</w:t>
      </w:r>
      <w:r>
        <w:tab/>
      </w:r>
      <w:r>
        <w:t xml:space="preserve">Explicación en lenguaje sencillo</w:t>
      </w:r>
    </w:p>
    <w:p>
      <w:pPr>
        <w:pStyle w:val="FirstParagraph"/>
      </w:pPr>
      <w:r>
        <w:t xml:space="preserve">El cumplimiento de las prácticas prohibidas debe abarcar la recepción, la adquisición, el desarrollo, el cambio, el despliegue, la supervisión y la respuesta a los incidentes.</w:t>
      </w:r>
    </w:p>
    <w:bookmarkEnd w:id="342"/>
    <w:bookmarkStart w:id="343" w:name="ejemplo-de-globalway-28"/>
    <w:p>
      <w:pPr>
        <w:pStyle w:val="Heading2"/>
      </w:pPr>
      <w:r>
        <w:rPr>
          <w:rStyle w:val="SectionNumber"/>
        </w:rPr>
        <w:t xml:space="preserve">1.300</w:t>
      </w:r>
      <w:r>
        <w:tab/>
      </w:r>
      <w:r>
        <w:t xml:space="preserve">Ejemplo de GlobalWay</w:t>
      </w:r>
    </w:p>
    <w:p>
      <w:pPr>
        <w:pStyle w:val="FirstParagraph"/>
      </w:pPr>
      <w:r>
        <w:t xml:space="preserve">GlobalWay combina puertas de liberación, cláusulas de proveedores, capacitación de empleados, canales de denuncia y escalada ejecutiva para prevenir usos prohibidos.</w:t>
      </w:r>
    </w:p>
    <w:bookmarkEnd w:id="343"/>
    <w:bookmarkStart w:id="344" w:name="actividad-de-control-29"/>
    <w:p>
      <w:pPr>
        <w:pStyle w:val="Heading2"/>
      </w:pPr>
      <w:r>
        <w:rPr>
          <w:rStyle w:val="SectionNumber"/>
        </w:rPr>
        <w:t xml:space="preserve">1.301</w:t>
      </w:r>
      <w:r>
        <w:tab/>
      </w:r>
      <w:r>
        <w:t xml:space="preserve">Actividad de control</w:t>
      </w:r>
    </w:p>
    <w:p>
      <w:pPr>
        <w:pStyle w:val="FirstParagraph"/>
      </w:pPr>
      <w:r>
        <w:t xml:space="preserve">Asignar a los propietarios responsables, mantener una lista de control de prohibición, probar controles, preservar pruebas y exigir la suspensión inmediata cuando sea necesario.</w:t>
      </w:r>
    </w:p>
    <w:bookmarkEnd w:id="344"/>
    <w:bookmarkStart w:id="345" w:name="pruebas-34"/>
    <w:p>
      <w:pPr>
        <w:pStyle w:val="Heading2"/>
      </w:pPr>
      <w:r>
        <w:rPr>
          <w:rStyle w:val="SectionNumber"/>
        </w:rPr>
        <w:t xml:space="preserve">1.302</w:t>
      </w:r>
      <w:r>
        <w:tab/>
      </w:r>
      <w:r>
        <w:t xml:space="preserve">Pruebas</w:t>
      </w:r>
    </w:p>
    <w:p>
      <w:pPr>
        <w:pStyle w:val="FirstParagraph"/>
      </w:pPr>
      <w:r>
        <w:t xml:space="preserve">Políticas, exámenes, capacitación, contratos, bloqueos de sistemas, seguimiento de resultados, incidentes, acciones correctivas e informes de auditoría.</w:t>
      </w:r>
    </w:p>
    <w:bookmarkEnd w:id="345"/>
    <w:bookmarkStart w:id="346" w:name="prueba-de-auditoría-30"/>
    <w:p>
      <w:pPr>
        <w:pStyle w:val="Heading2"/>
      </w:pPr>
      <w:r>
        <w:rPr>
          <w:rStyle w:val="SectionNumber"/>
        </w:rPr>
        <w:t xml:space="preserve">1.303</w:t>
      </w:r>
      <w:r>
        <w:tab/>
      </w:r>
      <w:r>
        <w:t xml:space="preserve">Prueba de auditoría</w:t>
      </w:r>
    </w:p>
    <w:p>
      <w:pPr>
        <w:pStyle w:val="FirstParagraph"/>
      </w:pPr>
      <w:r>
        <w:t xml:space="preserve">Prueba el diseño y la eficacia operativa en una muestra de sistemas, cambios, proveedores y preocupaciones reportadas.</w:t>
      </w:r>
    </w:p>
    <w:bookmarkEnd w:id="346"/>
    <w:bookmarkStart w:id="347" w:name="X387853de991689b1f2ab47203f70ebe0fd8e61a"/>
    <w:p>
      <w:pPr>
        <w:pStyle w:val="Heading2"/>
      </w:pPr>
      <w:r>
        <w:rPr>
          <w:rStyle w:val="SectionNumber"/>
        </w:rPr>
        <w:t xml:space="preserve">1.304</w:t>
      </w:r>
      <w:r>
        <w:tab/>
      </w:r>
      <w:r>
        <w:t xml:space="preserve">Capítulo 36 — Sistema de gestión de la calidad de alto riesgo</w:t>
      </w:r>
    </w:p>
    <w:p>
      <w:pPr>
        <w:pStyle w:val="BlockText"/>
      </w:pPr>
      <w:r>
        <w:rPr>
          <w:bCs/>
          <w:b/>
        </w:rPr>
        <w:t xml:space="preserve">Estatus legal:</w:t>
      </w:r>
      <w:r>
        <w:t xml:space="preserve"> </w:t>
      </w:r>
      <w:r>
        <w:t xml:space="preserve">Corregido Maestro Inglés para la consolidación. Este archivo controla el lenguaje de borrador del Capítulo 36 anterior en conflicto.</w:t>
      </w:r>
    </w:p>
    <w:bookmarkEnd w:id="347"/>
    <w:bookmarkStart w:id="348" w:name="requisito-34"/>
    <w:p>
      <w:pPr>
        <w:pStyle w:val="Heading2"/>
      </w:pPr>
      <w:r>
        <w:rPr>
          <w:rStyle w:val="SectionNumber"/>
        </w:rPr>
        <w:t xml:space="preserve">1.305</w:t>
      </w:r>
      <w:r>
        <w:tab/>
      </w:r>
      <w:r>
        <w:t xml:space="preserve">Requisito</w:t>
      </w:r>
    </w:p>
    <w:p>
      <w:pPr>
        <w:pStyle w:val="FirstParagraph"/>
      </w:pPr>
      <w:r>
        <w:t xml:space="preserve">Los proveedores de sistemas de IA de alto riesgo deben establecer, documentar, implementar, mantener y mejorar continuamente un sistema de gestión de la calidad proporcionado a la organización y al sistema. El sistema debe abarcar los elementos exigidos por el artículo 17 del Reglamento (UE) 2024/1689, en su versión modificada.</w:t>
      </w:r>
    </w:p>
    <w:bookmarkEnd w:id="348"/>
    <w:bookmarkStart w:id="349" w:name="explicación-en-lenguaje-sencillo-31"/>
    <w:p>
      <w:pPr>
        <w:pStyle w:val="Heading2"/>
      </w:pPr>
      <w:r>
        <w:rPr>
          <w:rStyle w:val="SectionNumber"/>
        </w:rPr>
        <w:t xml:space="preserve">1.306</w:t>
      </w:r>
      <w:r>
        <w:tab/>
      </w:r>
      <w:r>
        <w:t xml:space="preserve">Explicación en lenguaje sencillo</w:t>
      </w:r>
    </w:p>
    <w:p>
      <w:pPr>
        <w:pStyle w:val="FirstParagraph"/>
      </w:pPr>
      <w:r>
        <w:t xml:space="preserve">Un sistema de gestión de la calidad es el marco operativo que hace que el cumplimiento sea repetible. Conecta políticas, rendición de cuentas, diseño, pruebas, gobernanza de datos, documentación, gestión de riesgos, supervisión, incidentes, medidas correctivas, controles de proveedores y mantenimiento de registros. No se puede reducir a una declaración de política o un examen de una sola vez.</w:t>
      </w:r>
    </w:p>
    <w:p>
      <w:pPr>
        <w:pStyle w:val="BodyText"/>
      </w:pPr>
      <w:r>
        <w:t xml:space="preserve">La certificación de ISO/IEC 42001 u otra norma puede apoyar el entorno de control de la organización, pero la certificación por sí sola no establece la conformidad con la Ley de IA. La organización todavía debe demostrar que se cumplen los requisitos legales aplicables al sistema específico de IA de alto riesgo.</w:t>
      </w:r>
    </w:p>
    <w:bookmarkEnd w:id="349"/>
    <w:bookmarkStart w:id="350" w:name="elementos-del-sistema-necesarios"/>
    <w:p>
      <w:pPr>
        <w:pStyle w:val="Heading2"/>
      </w:pPr>
      <w:r>
        <w:rPr>
          <w:rStyle w:val="SectionNumber"/>
        </w:rPr>
        <w:t xml:space="preserve">1.307</w:t>
      </w:r>
      <w:r>
        <w:tab/>
      </w:r>
      <w:r>
        <w:t xml:space="preserve">Elementos del sistema necesarios</w:t>
      </w:r>
    </w:p>
    <w:p>
      <w:pPr>
        <w:pStyle w:val="FirstParagraph"/>
      </w:pPr>
      <w:r>
        <w:t xml:space="preserve">El sistema documentado deberá abordar, según proceda:</w:t>
      </w:r>
    </w:p>
    <w:p>
      <w:pPr>
        <w:numPr>
          <w:ilvl w:val="0"/>
          <w:numId w:val="1077"/>
        </w:numPr>
        <w:pStyle w:val="Compact"/>
      </w:pPr>
      <w:r>
        <w:t xml:space="preserve">estrategia de cumplimiento de la normativa;</w:t>
      </w:r>
    </w:p>
    <w:p>
      <w:pPr>
        <w:numPr>
          <w:ilvl w:val="0"/>
          <w:numId w:val="1077"/>
        </w:numPr>
        <w:pStyle w:val="Compact"/>
      </w:pPr>
      <w:r>
        <w:t xml:space="preserve">procedimientos de diseño, desarrollo y control del diseño;</w:t>
      </w:r>
    </w:p>
    <w:p>
      <w:pPr>
        <w:numPr>
          <w:ilvl w:val="0"/>
          <w:numId w:val="1077"/>
        </w:numPr>
        <w:pStyle w:val="Compact"/>
      </w:pPr>
      <w:r>
        <w:t xml:space="preserve">examen, ensayo y validación antes, durante y después del desarrollo;</w:t>
      </w:r>
    </w:p>
    <w:p>
      <w:pPr>
        <w:numPr>
          <w:ilvl w:val="0"/>
          <w:numId w:val="1077"/>
        </w:numPr>
        <w:pStyle w:val="Compact"/>
      </w:pPr>
      <w:r>
        <w:t xml:space="preserve">especificaciones técnicas y normas utilizadas;</w:t>
      </w:r>
    </w:p>
    <w:p>
      <w:pPr>
        <w:numPr>
          <w:ilvl w:val="0"/>
          <w:numId w:val="1077"/>
        </w:numPr>
        <w:pStyle w:val="Compact"/>
      </w:pPr>
      <w:r>
        <w:t xml:space="preserve">sistemas y procedimientos de gestión de datos;</w:t>
      </w:r>
    </w:p>
    <w:p>
      <w:pPr>
        <w:numPr>
          <w:ilvl w:val="0"/>
          <w:numId w:val="1077"/>
        </w:numPr>
        <w:pStyle w:val="Compact"/>
      </w:pPr>
      <w:r>
        <w:t xml:space="preserve">la gestión de riesgos con arreglo al artículo 9;</w:t>
      </w:r>
    </w:p>
    <w:p>
      <w:pPr>
        <w:numPr>
          <w:ilvl w:val="0"/>
          <w:numId w:val="1077"/>
        </w:numPr>
        <w:pStyle w:val="Compact"/>
      </w:pPr>
      <w:r>
        <w:t xml:space="preserve">seguimiento posterior a la comercialización con arreglo al artículo 72;</w:t>
      </w:r>
    </w:p>
    <w:p>
      <w:pPr>
        <w:numPr>
          <w:ilvl w:val="0"/>
          <w:numId w:val="1077"/>
        </w:numPr>
        <w:pStyle w:val="Compact"/>
      </w:pPr>
      <w:r>
        <w:t xml:space="preserve">notificación de incidentes graves y mal funcionamiento;</w:t>
      </w:r>
    </w:p>
    <w:p>
      <w:pPr>
        <w:numPr>
          <w:ilvl w:val="0"/>
          <w:numId w:val="1077"/>
        </w:numPr>
        <w:pStyle w:val="Compact"/>
      </w:pPr>
      <w:r>
        <w:t xml:space="preserve">la comunicación con las autoridades, los organismos notificados, los operadores, los clientes y otras partes interesadas;</w:t>
      </w:r>
    </w:p>
    <w:p>
      <w:pPr>
        <w:numPr>
          <w:ilvl w:val="0"/>
          <w:numId w:val="1077"/>
        </w:numPr>
        <w:pStyle w:val="Compact"/>
      </w:pPr>
      <w:r>
        <w:t xml:space="preserve">mantenimiento de registros y control de documentos;</w:t>
      </w:r>
    </w:p>
    <w:p>
      <w:pPr>
        <w:numPr>
          <w:ilvl w:val="0"/>
          <w:numId w:val="1077"/>
        </w:numPr>
        <w:pStyle w:val="Compact"/>
      </w:pPr>
      <w:r>
        <w:t xml:space="preserve">gestión de recursos, competencia y rendición de cuentas;</w:t>
      </w:r>
    </w:p>
    <w:p>
      <w:pPr>
        <w:numPr>
          <w:ilvl w:val="0"/>
          <w:numId w:val="1077"/>
        </w:numPr>
        <w:pStyle w:val="Compact"/>
      </w:pPr>
      <w:r>
        <w:t xml:space="preserve">medidas correctoras y verificación de la eficacia;</w:t>
      </w:r>
    </w:p>
    <w:p>
      <w:pPr>
        <w:numPr>
          <w:ilvl w:val="0"/>
          <w:numId w:val="1077"/>
        </w:numPr>
        <w:pStyle w:val="Compact"/>
      </w:pPr>
      <w:r>
        <w:t xml:space="preserve">mecanismos para la revisión de la gestión y la mejora continua.</w:t>
      </w:r>
    </w:p>
    <w:bookmarkEnd w:id="350"/>
    <w:bookmarkStart w:id="351" w:name="ejemplo-de-globalway-29"/>
    <w:p>
      <w:pPr>
        <w:pStyle w:val="Heading2"/>
      </w:pPr>
      <w:r>
        <w:rPr>
          <w:rStyle w:val="SectionNumber"/>
        </w:rPr>
        <w:t xml:space="preserve">1.308</w:t>
      </w:r>
      <w:r>
        <w:tab/>
      </w:r>
      <w:r>
        <w:t xml:space="preserve">Ejemplo de GlobalWay</w:t>
      </w:r>
    </w:p>
    <w:p>
      <w:pPr>
        <w:pStyle w:val="FirstParagraph"/>
      </w:pPr>
      <w:r>
        <w:t xml:space="preserve">GlobalWay desarrolla un sistema de selección de reclutamiento de alto riesgo para su uso bajo su propia marca. Su sistema de gestión de calidad vincula la clasificación legal, normas de desarrollo aprobadas, revisiones de datos, pruebas de sesgo y precisión, documentación técnica, diseño de supervisión humana, aprobación de liberaciones, controles de proveedores, seguimiento posterior a la comercialización, escalada de incidentes y registros de medidas correctivas.</w:t>
      </w:r>
    </w:p>
    <w:bookmarkEnd w:id="351"/>
    <w:bookmarkStart w:id="352" w:name="actividad-de-control-30"/>
    <w:p>
      <w:pPr>
        <w:pStyle w:val="Heading2"/>
      </w:pPr>
      <w:r>
        <w:rPr>
          <w:rStyle w:val="SectionNumber"/>
        </w:rPr>
        <w:t xml:space="preserve">1.309</w:t>
      </w:r>
      <w:r>
        <w:tab/>
      </w:r>
      <w:r>
        <w:t xml:space="preserve">Actividad de control</w:t>
      </w:r>
    </w:p>
    <w:p>
      <w:pPr>
        <w:pStyle w:val="FirstParagraph"/>
      </w:pPr>
      <w:r>
        <w:t xml:space="preserve">El proveedor responsable debe mantener un manual de gestión de la calidad aprobado y un plan de cumplimiento específico del sistema. Cada proceso requerido debe tener un propietario, procedimiento, requisito de evidencia, frecuencia de revisión, ruta de escalada y mecanismo de revisión de la gestión.</w:t>
      </w:r>
    </w:p>
    <w:bookmarkEnd w:id="352"/>
    <w:bookmarkStart w:id="353" w:name="pruebas-35"/>
    <w:p>
      <w:pPr>
        <w:pStyle w:val="Heading2"/>
      </w:pPr>
      <w:r>
        <w:rPr>
          <w:rStyle w:val="SectionNumber"/>
        </w:rPr>
        <w:t xml:space="preserve">1.310</w:t>
      </w:r>
      <w:r>
        <w:tab/>
      </w:r>
      <w:r>
        <w:t xml:space="preserve">Pruebas</w:t>
      </w:r>
    </w:p>
    <w:p>
      <w:pPr>
        <w:numPr>
          <w:ilvl w:val="0"/>
          <w:numId w:val="1078"/>
        </w:numPr>
        <w:pStyle w:val="Compact"/>
      </w:pPr>
      <w:r>
        <w:t xml:space="preserve">manual de gestión de la calidad;</w:t>
      </w:r>
    </w:p>
    <w:p>
      <w:pPr>
        <w:numPr>
          <w:ilvl w:val="0"/>
          <w:numId w:val="1078"/>
        </w:numPr>
        <w:pStyle w:val="Compact"/>
      </w:pPr>
      <w:r>
        <w:t xml:space="preserve">mapa de proceso y RACI;</w:t>
      </w:r>
    </w:p>
    <w:p>
      <w:pPr>
        <w:numPr>
          <w:ilvl w:val="0"/>
          <w:numId w:val="1078"/>
        </w:numPr>
        <w:pStyle w:val="Compact"/>
      </w:pPr>
      <w:r>
        <w:t xml:space="preserve">el plan de cumplimiento reglamentario;</w:t>
      </w:r>
    </w:p>
    <w:p>
      <w:pPr>
        <w:numPr>
          <w:ilvl w:val="0"/>
          <w:numId w:val="1078"/>
        </w:numPr>
        <w:pStyle w:val="Compact"/>
      </w:pPr>
      <w:r>
        <w:t xml:space="preserve">procedimientos de diseño y ensayo;</w:t>
      </w:r>
    </w:p>
    <w:p>
      <w:pPr>
        <w:numPr>
          <w:ilvl w:val="0"/>
          <w:numId w:val="1078"/>
        </w:numPr>
        <w:pStyle w:val="Compact"/>
      </w:pPr>
      <w:r>
        <w:t xml:space="preserve">los registros de gestión de riesgos;</w:t>
      </w:r>
    </w:p>
    <w:p>
      <w:pPr>
        <w:numPr>
          <w:ilvl w:val="0"/>
          <w:numId w:val="1078"/>
        </w:numPr>
        <w:pStyle w:val="Compact"/>
      </w:pPr>
      <w:r>
        <w:t xml:space="preserve">registros de gobernanza de datos;</w:t>
      </w:r>
    </w:p>
    <w:p>
      <w:pPr>
        <w:numPr>
          <w:ilvl w:val="0"/>
          <w:numId w:val="1078"/>
        </w:numPr>
        <w:pStyle w:val="Compact"/>
      </w:pPr>
      <w:r>
        <w:t xml:space="preserve">índice de documentación técnica;</w:t>
      </w:r>
    </w:p>
    <w:p>
      <w:pPr>
        <w:numPr>
          <w:ilvl w:val="0"/>
          <w:numId w:val="1078"/>
        </w:numPr>
        <w:pStyle w:val="Compact"/>
      </w:pPr>
      <w:r>
        <w:t xml:space="preserve">el plan de seguimiento posterior a la comercialización;</w:t>
      </w:r>
    </w:p>
    <w:p>
      <w:pPr>
        <w:numPr>
          <w:ilvl w:val="0"/>
          <w:numId w:val="1078"/>
        </w:numPr>
        <w:pStyle w:val="Compact"/>
      </w:pPr>
      <w:r>
        <w:t xml:space="preserve">procedimientos de incidentes y medidas correctivas;</w:t>
      </w:r>
    </w:p>
    <w:p>
      <w:pPr>
        <w:numPr>
          <w:ilvl w:val="0"/>
          <w:numId w:val="1078"/>
        </w:numPr>
        <w:pStyle w:val="Compact"/>
      </w:pPr>
      <w:r>
        <w:t xml:space="preserve">actas de gestión-revisión;</w:t>
      </w:r>
    </w:p>
    <w:p>
      <w:pPr>
        <w:numPr>
          <w:ilvl w:val="0"/>
          <w:numId w:val="1078"/>
        </w:numPr>
        <w:pStyle w:val="Compact"/>
      </w:pPr>
      <w:r>
        <w:t xml:space="preserve">la competencia y los registros de formación.</w:t>
      </w:r>
    </w:p>
    <w:bookmarkEnd w:id="353"/>
    <w:bookmarkStart w:id="354" w:name="prueba-de-auditoría-31"/>
    <w:p>
      <w:pPr>
        <w:pStyle w:val="Heading2"/>
      </w:pPr>
      <w:r>
        <w:rPr>
          <w:rStyle w:val="SectionNumber"/>
        </w:rPr>
        <w:t xml:space="preserve">1.311</w:t>
      </w:r>
      <w:r>
        <w:tab/>
      </w:r>
      <w:r>
        <w:t xml:space="preserve">Prueba de auditoría</w:t>
      </w:r>
    </w:p>
    <w:p>
      <w:pPr>
        <w:pStyle w:val="FirstParagraph"/>
      </w:pPr>
      <w:r>
        <w:t xml:space="preserve">Seleccione un sistema de IA de alto riesgo. Trace cada elemento de gestión de la calidad del artículo 17 a un proceso aprobado, propietario responsable, evidencia operativa y revisión de la gestión. Confirme que el sistema se mantiene en la práctica y no simplemente documentado.</w:t>
      </w:r>
    </w:p>
    <w:bookmarkEnd w:id="354"/>
    <w:bookmarkStart w:id="355" w:name="referencias-jurídicas-primarias-4"/>
    <w:p>
      <w:pPr>
        <w:pStyle w:val="Heading2"/>
      </w:pPr>
      <w:r>
        <w:rPr>
          <w:rStyle w:val="SectionNumber"/>
        </w:rPr>
        <w:t xml:space="preserve">1.312</w:t>
      </w:r>
      <w:r>
        <w:tab/>
      </w:r>
      <w:r>
        <w:t xml:space="preserve">Referencias jurídicas primarias</w:t>
      </w:r>
    </w:p>
    <w:p>
      <w:pPr>
        <w:numPr>
          <w:ilvl w:val="0"/>
          <w:numId w:val="1079"/>
        </w:numPr>
        <w:pStyle w:val="Compact"/>
      </w:pPr>
      <w:r>
        <w:t xml:space="preserve">Reglamento (UE) 2024/1689, modificado: artículo 17.</w:t>
      </w:r>
    </w:p>
    <w:p>
      <w:pPr>
        <w:numPr>
          <w:ilvl w:val="0"/>
          <w:numId w:val="1079"/>
        </w:numPr>
        <w:pStyle w:val="Compact"/>
      </w:pPr>
      <w:r>
        <w:t xml:space="preserve">Reglamento (UE) 2026/1744 para las fechas de solicitud modificadas y las disposiciones de simplificación correspondientes.</w:t>
      </w:r>
    </w:p>
    <w:p>
      <w:pPr>
        <w:numPr>
          <w:ilvl w:val="0"/>
          <w:numId w:val="1079"/>
        </w:numPr>
        <w:pStyle w:val="Compact"/>
      </w:pPr>
      <w:r>
        <w:t xml:space="preserve">Los actuales controles consolidados de texto EUR-Lex sobre los resúmenes antiguos.</w:t>
      </w:r>
    </w:p>
    <w:bookmarkEnd w:id="355"/>
    <w:bookmarkStart w:id="356" w:name="capítulo-37-gestión-continua-del-riesgo"/>
    <w:p>
      <w:pPr>
        <w:pStyle w:val="Heading2"/>
      </w:pPr>
      <w:r>
        <w:rPr>
          <w:rStyle w:val="SectionNumber"/>
        </w:rPr>
        <w:t xml:space="preserve">1.313</w:t>
      </w:r>
      <w:r>
        <w:tab/>
      </w:r>
      <w:r>
        <w:t xml:space="preserve">Capítulo 37 — Gestión continua del riesgo</w:t>
      </w:r>
    </w:p>
    <w:p>
      <w:pPr>
        <w:pStyle w:val="BlockText"/>
      </w:pPr>
      <w:r>
        <w:rPr>
          <w:bCs/>
          <w:b/>
        </w:rPr>
        <w:t xml:space="preserve">Estatus legal:</w:t>
      </w:r>
      <w:r>
        <w:t xml:space="preserve"> </w:t>
      </w:r>
      <w:r>
        <w:t xml:space="preserve">Corregido Maestro Inglés para la consolidación. Este archivo controla el lenguaje de borrador anterior del Capítulo 37 en conflicto.</w:t>
      </w:r>
    </w:p>
    <w:bookmarkEnd w:id="356"/>
    <w:bookmarkStart w:id="357" w:name="requisito-35"/>
    <w:p>
      <w:pPr>
        <w:pStyle w:val="Heading2"/>
      </w:pPr>
      <w:r>
        <w:rPr>
          <w:rStyle w:val="SectionNumber"/>
        </w:rPr>
        <w:t xml:space="preserve">1.314</w:t>
      </w:r>
      <w:r>
        <w:tab/>
      </w:r>
      <w:r>
        <w:t xml:space="preserve">Requisito</w:t>
      </w:r>
    </w:p>
    <w:p>
      <w:pPr>
        <w:pStyle w:val="FirstParagraph"/>
      </w:pPr>
      <w:r>
        <w:t xml:space="preserve">Un proveedor de un sistema de IA de alto riesgo debe establecer, implementar, documentar y mantener el sistema continuo e iterativo de gestión de riesgos requerido por el Artículo 9 durante todo el ciclo de vida del sistema.</w:t>
      </w:r>
    </w:p>
    <w:bookmarkEnd w:id="357"/>
    <w:bookmarkStart w:id="358" w:name="explicación-en-lenguaje-sencillo-32"/>
    <w:p>
      <w:pPr>
        <w:pStyle w:val="Heading2"/>
      </w:pPr>
      <w:r>
        <w:rPr>
          <w:rStyle w:val="SectionNumber"/>
        </w:rPr>
        <w:t xml:space="preserve">1.315</w:t>
      </w:r>
      <w:r>
        <w:tab/>
      </w:r>
      <w:r>
        <w:t xml:space="preserve">Explicación en lenguaje sencillo</w:t>
      </w:r>
    </w:p>
    <w:p>
      <w:pPr>
        <w:pStyle w:val="FirstParagraph"/>
      </w:pPr>
      <w:r>
        <w:t xml:space="preserve">La gestión de riesgos no es una lista de verificación de lanzamiento. El proveedor debe identificar, estimar, evaluar, controlar, probar, monitorear y reevaluar repetidamente los riesgos para la salud, la seguridad y los derechos fundamentales. El análisis debe abordar el uso previsto, el uso indebido razonablemente previsible, la información de seguimiento post-comercialización, y si el riesgo residual es aceptable cuando se compara con los beneficios previstos del sistema.</w:t>
      </w:r>
    </w:p>
    <w:bookmarkEnd w:id="358"/>
    <w:bookmarkStart w:id="359" w:name="proceso-requerido"/>
    <w:p>
      <w:pPr>
        <w:pStyle w:val="Heading2"/>
      </w:pPr>
      <w:r>
        <w:rPr>
          <w:rStyle w:val="SectionNumber"/>
        </w:rPr>
        <w:t xml:space="preserve">1.316</w:t>
      </w:r>
      <w:r>
        <w:tab/>
      </w:r>
      <w:r>
        <w:t xml:space="preserve">Proceso requerido</w:t>
      </w:r>
    </w:p>
    <w:p>
      <w:pPr>
        <w:pStyle w:val="FirstParagraph"/>
      </w:pPr>
      <w:r>
        <w:t xml:space="preserve">El proceso debe incluir:</w:t>
      </w:r>
    </w:p>
    <w:p>
      <w:pPr>
        <w:numPr>
          <w:ilvl w:val="0"/>
          <w:numId w:val="1080"/>
        </w:numPr>
        <w:pStyle w:val="Compact"/>
      </w:pPr>
      <w:r>
        <w:t xml:space="preserve">identificación y análisis de riesgos conocidos y razonablemente previsibles durante el uso previsto;</w:t>
      </w:r>
    </w:p>
    <w:p>
      <w:pPr>
        <w:numPr>
          <w:ilvl w:val="0"/>
          <w:numId w:val="1080"/>
        </w:numPr>
        <w:pStyle w:val="Compact"/>
      </w:pPr>
      <w:r>
        <w:t xml:space="preserve">estimación y evaluación de los riesgos derivados del uso previsto y del uso indebido razonablemente previsible;</w:t>
      </w:r>
    </w:p>
    <w:p>
      <w:pPr>
        <w:numPr>
          <w:ilvl w:val="0"/>
          <w:numId w:val="1080"/>
        </w:numPr>
        <w:pStyle w:val="Compact"/>
      </w:pPr>
      <w:r>
        <w:t xml:space="preserve">evaluación de los riesgos adicionales detectados mediante el seguimiento posterior a la comercialización;</w:t>
      </w:r>
    </w:p>
    <w:p>
      <w:pPr>
        <w:numPr>
          <w:ilvl w:val="0"/>
          <w:numId w:val="1080"/>
        </w:numPr>
        <w:pStyle w:val="Compact"/>
      </w:pPr>
      <w:r>
        <w:t xml:space="preserve">la adopción de medidas específicas de control del riesgo;</w:t>
      </w:r>
    </w:p>
    <w:p>
      <w:pPr>
        <w:numPr>
          <w:ilvl w:val="0"/>
          <w:numId w:val="1080"/>
        </w:numPr>
        <w:pStyle w:val="Compact"/>
      </w:pPr>
      <w:r>
        <w:t xml:space="preserve">ensayos para identificar los controles más adecuados y verificar la eficacia;</w:t>
      </w:r>
    </w:p>
    <w:p>
      <w:pPr>
        <w:numPr>
          <w:ilvl w:val="0"/>
          <w:numId w:val="1080"/>
        </w:numPr>
        <w:pStyle w:val="Compact"/>
      </w:pPr>
      <w:r>
        <w:t xml:space="preserve">revisión del riesgo residual y del riesgo residual global;</w:t>
      </w:r>
    </w:p>
    <w:p>
      <w:pPr>
        <w:numPr>
          <w:ilvl w:val="0"/>
          <w:numId w:val="1080"/>
        </w:numPr>
        <w:pStyle w:val="Compact"/>
      </w:pPr>
      <w:r>
        <w:t xml:space="preserve">consideración de los efectos sobre los niños y otros grupos vulnerables, cuando proceda;</w:t>
      </w:r>
    </w:p>
    <w:p>
      <w:pPr>
        <w:numPr>
          <w:ilvl w:val="0"/>
          <w:numId w:val="1080"/>
        </w:numPr>
        <w:pStyle w:val="Compact"/>
      </w:pPr>
      <w:r>
        <w:t xml:space="preserve">revisión y actualización sistemáticas a lo largo de todo el ciclo de vida.</w:t>
      </w:r>
    </w:p>
    <w:p>
      <w:pPr>
        <w:pStyle w:val="FirstParagraph"/>
      </w:pPr>
      <w:r>
        <w:t xml:space="preserve">Los controles de riesgos deben seguir una jerarquía defendible: eliminar o reducir el riesgo mediante el diseño, cuando sea posible, aplicar salvaguardias técnicas y organizativas, y proporcionar información y capacitación sobre los riesgos restantes.</w:t>
      </w:r>
    </w:p>
    <w:bookmarkEnd w:id="359"/>
    <w:bookmarkStart w:id="360" w:name="ejemplo-de-globalway-30"/>
    <w:p>
      <w:pPr>
        <w:pStyle w:val="Heading2"/>
      </w:pPr>
      <w:r>
        <w:rPr>
          <w:rStyle w:val="SectionNumber"/>
        </w:rPr>
        <w:t xml:space="preserve">1.317</w:t>
      </w:r>
      <w:r>
        <w:tab/>
      </w:r>
      <w:r>
        <w:t xml:space="preserve">Ejemplo de GlobalWay</w:t>
      </w:r>
    </w:p>
    <w:p>
      <w:pPr>
        <w:pStyle w:val="FirstParagraph"/>
      </w:pPr>
      <w:r>
        <w:t xml:space="preserve">El sistema de selección de reclutamiento de GlobalWay puede crear discriminación, sesgo de automatización, calidad de los datos, privacidad y riesgos de ciberseguridad. El proveedor documenta escenarios de riesgo, prueba controles alternativos, limita la clasificación automatizada, requiere una revisión humana capacitada, monitorea las disparidades en la tasa de selección y reabre la evaluación después de cambios de modelo, datos, umbral o familia de empleo.</w:t>
      </w:r>
    </w:p>
    <w:bookmarkEnd w:id="360"/>
    <w:bookmarkStart w:id="361" w:name="actividad-de-control-31"/>
    <w:p>
      <w:pPr>
        <w:pStyle w:val="Heading2"/>
      </w:pPr>
      <w:r>
        <w:rPr>
          <w:rStyle w:val="SectionNumber"/>
        </w:rPr>
        <w:t xml:space="preserve">1.318</w:t>
      </w:r>
      <w:r>
        <w:tab/>
      </w:r>
      <w:r>
        <w:t xml:space="preserve">Actividad de control</w:t>
      </w:r>
    </w:p>
    <w:p>
      <w:pPr>
        <w:pStyle w:val="FirstParagraph"/>
      </w:pPr>
      <w:r>
        <w:t xml:space="preserve">El propietario del sistema y la función de riesgo deben mantener un archivo de riesgo controlado por versiones vinculado a los requisitos, pruebas, supervisión humana, seguimiento posterior a la comercialización, incidentes y gestión del cambio. La aprobación de la liberación está prohibida cuando los controles de riesgo requeridos están ausentes o el riesgo residual carece de aceptación autorizada.</w:t>
      </w:r>
    </w:p>
    <w:bookmarkEnd w:id="361"/>
    <w:bookmarkStart w:id="362" w:name="pruebas-36"/>
    <w:p>
      <w:pPr>
        <w:pStyle w:val="Heading2"/>
      </w:pPr>
      <w:r>
        <w:rPr>
          <w:rStyle w:val="SectionNumber"/>
        </w:rPr>
        <w:t xml:space="preserve">1.319</w:t>
      </w:r>
      <w:r>
        <w:tab/>
      </w:r>
      <w:r>
        <w:t xml:space="preserve">Pruebas</w:t>
      </w:r>
    </w:p>
    <w:p>
      <w:pPr>
        <w:numPr>
          <w:ilvl w:val="0"/>
          <w:numId w:val="1081"/>
        </w:numPr>
        <w:pStyle w:val="Compact"/>
      </w:pPr>
      <w:r>
        <w:t xml:space="preserve">plan de gestión del riesgo del ciclo de vida;</w:t>
      </w:r>
    </w:p>
    <w:p>
      <w:pPr>
        <w:numPr>
          <w:ilvl w:val="0"/>
          <w:numId w:val="1081"/>
        </w:numPr>
        <w:pStyle w:val="Compact"/>
      </w:pPr>
      <w:r>
        <w:t xml:space="preserve">registro de riesgos en materia de peligrosidad y derechos fundamentales;</w:t>
      </w:r>
    </w:p>
    <w:p>
      <w:pPr>
        <w:numPr>
          <w:ilvl w:val="0"/>
          <w:numId w:val="1081"/>
        </w:numPr>
        <w:pStyle w:val="Compact"/>
      </w:pPr>
      <w:r>
        <w:t xml:space="preserve">análisis de uso previsto y de uso indebido previsible;</w:t>
      </w:r>
    </w:p>
    <w:p>
      <w:pPr>
        <w:numPr>
          <w:ilvl w:val="0"/>
          <w:numId w:val="1081"/>
        </w:numPr>
        <w:pStyle w:val="Compact"/>
      </w:pPr>
      <w:r>
        <w:t xml:space="preserve">justificación de la selección de control;</w:t>
      </w:r>
    </w:p>
    <w:p>
      <w:pPr>
        <w:numPr>
          <w:ilvl w:val="0"/>
          <w:numId w:val="1081"/>
        </w:numPr>
        <w:pStyle w:val="Compact"/>
      </w:pPr>
      <w:r>
        <w:t xml:space="preserve">los planes y resultados de los ensayos;</w:t>
      </w:r>
    </w:p>
    <w:p>
      <w:pPr>
        <w:numPr>
          <w:ilvl w:val="0"/>
          <w:numId w:val="1081"/>
        </w:numPr>
        <w:pStyle w:val="Compact"/>
      </w:pPr>
      <w:r>
        <w:t xml:space="preserve">la decisión sobre el riesgo residual;</w:t>
      </w:r>
    </w:p>
    <w:p>
      <w:pPr>
        <w:numPr>
          <w:ilvl w:val="0"/>
          <w:numId w:val="1081"/>
        </w:numPr>
        <w:pStyle w:val="Compact"/>
      </w:pPr>
      <w:r>
        <w:t xml:space="preserve">análisis de grupos vulnerables;</w:t>
      </w:r>
    </w:p>
    <w:p>
      <w:pPr>
        <w:numPr>
          <w:ilvl w:val="0"/>
          <w:numId w:val="1081"/>
        </w:numPr>
        <w:pStyle w:val="Compact"/>
      </w:pPr>
      <w:r>
        <w:t xml:space="preserve">actualizaciones posteriores a la comercialización;</w:t>
      </w:r>
    </w:p>
    <w:p>
      <w:pPr>
        <w:numPr>
          <w:ilvl w:val="0"/>
          <w:numId w:val="1081"/>
        </w:numPr>
        <w:pStyle w:val="Compact"/>
      </w:pPr>
      <w:r>
        <w:t xml:space="preserve">reevaluaciones impulsadas por el cambio;</w:t>
      </w:r>
    </w:p>
    <w:p>
      <w:pPr>
        <w:numPr>
          <w:ilvl w:val="0"/>
          <w:numId w:val="1081"/>
        </w:numPr>
        <w:pStyle w:val="Compact"/>
      </w:pPr>
      <w:r>
        <w:t xml:space="preserve">aprobaciones y excepciones.</w:t>
      </w:r>
    </w:p>
    <w:bookmarkEnd w:id="362"/>
    <w:bookmarkStart w:id="363" w:name="prueba-de-auditoría-32"/>
    <w:p>
      <w:pPr>
        <w:pStyle w:val="Heading2"/>
      </w:pPr>
      <w:r>
        <w:rPr>
          <w:rStyle w:val="SectionNumber"/>
        </w:rPr>
        <w:t xml:space="preserve">1.320</w:t>
      </w:r>
      <w:r>
        <w:tab/>
      </w:r>
      <w:r>
        <w:t xml:space="preserve">Prueba de auditoría</w:t>
      </w:r>
    </w:p>
    <w:p>
      <w:pPr>
        <w:pStyle w:val="FirstParagraph"/>
      </w:pPr>
      <w:r>
        <w:t xml:space="preserve">En el caso de un sistema de IA de alto riesgo de muestra, confirme que la gestión del riesgo comenzó antes de su despliegue, aborde todos los pasos del artículo 9, esté vinculada a pruebas y pruebas posteriores a la comercialización y se haya actualizado después de cambios, incidentes o riesgos emergentes pertinentes.</w:t>
      </w:r>
    </w:p>
    <w:bookmarkEnd w:id="363"/>
    <w:bookmarkStart w:id="364" w:name="referencias-jurídicas-primarias-5"/>
    <w:p>
      <w:pPr>
        <w:pStyle w:val="Heading2"/>
      </w:pPr>
      <w:r>
        <w:rPr>
          <w:rStyle w:val="SectionNumber"/>
        </w:rPr>
        <w:t xml:space="preserve">1.321</w:t>
      </w:r>
      <w:r>
        <w:tab/>
      </w:r>
      <w:r>
        <w:t xml:space="preserve">Referencias jurídicas primarias</w:t>
      </w:r>
    </w:p>
    <w:p>
      <w:pPr>
        <w:numPr>
          <w:ilvl w:val="0"/>
          <w:numId w:val="1082"/>
        </w:numPr>
        <w:pStyle w:val="Compact"/>
      </w:pPr>
      <w:r>
        <w:t xml:space="preserve">Reglamento (UE) 2024/1689, modificado: artículo 9.</w:t>
      </w:r>
    </w:p>
    <w:p>
      <w:pPr>
        <w:numPr>
          <w:ilvl w:val="0"/>
          <w:numId w:val="1082"/>
        </w:numPr>
        <w:pStyle w:val="Compact"/>
      </w:pPr>
      <w:r>
        <w:t xml:space="preserve">Artículo 72 para la gestión del riesgo de alimentación de la información posterior a la comercialización.</w:t>
      </w:r>
    </w:p>
    <w:p>
      <w:pPr>
        <w:numPr>
          <w:ilvl w:val="0"/>
          <w:numId w:val="1082"/>
        </w:numPr>
        <w:pStyle w:val="Compact"/>
      </w:pPr>
      <w:r>
        <w:t xml:space="preserve">Los actuales controles consolidados de texto EUR-Lex sobre los resúmenes antiguos.</w:t>
      </w:r>
    </w:p>
    <w:bookmarkEnd w:id="364"/>
    <w:bookmarkStart w:id="365" w:name="capítulo-38-gobernanza-de-los-datos"/>
    <w:p>
      <w:pPr>
        <w:pStyle w:val="Heading2"/>
      </w:pPr>
      <w:r>
        <w:rPr>
          <w:rStyle w:val="SectionNumber"/>
        </w:rPr>
        <w:t xml:space="preserve">1.322</w:t>
      </w:r>
      <w:r>
        <w:tab/>
      </w:r>
      <w:r>
        <w:t xml:space="preserve">Capítulo 38 — Gobernanza de los datos</w:t>
      </w:r>
    </w:p>
    <w:p>
      <w:pPr>
        <w:pStyle w:val="BlockText"/>
      </w:pPr>
      <w:r>
        <w:rPr>
          <w:bCs/>
          <w:b/>
        </w:rPr>
        <w:t xml:space="preserve">Estatus legal:</w:t>
      </w:r>
      <w:r>
        <w:t xml:space="preserve"> </w:t>
      </w:r>
      <w:r>
        <w:t xml:space="preserve">Corregido Maestro Inglés para la consolidación. Este archivo controla el lenguaje de borrador anterior del Capítulo 38 en conflicto.</w:t>
      </w:r>
    </w:p>
    <w:bookmarkEnd w:id="365"/>
    <w:bookmarkStart w:id="366" w:name="requisito-36"/>
    <w:p>
      <w:pPr>
        <w:pStyle w:val="Heading2"/>
      </w:pPr>
      <w:r>
        <w:rPr>
          <w:rStyle w:val="SectionNumber"/>
        </w:rPr>
        <w:t xml:space="preserve">1.323</w:t>
      </w:r>
      <w:r>
        <w:tab/>
      </w:r>
      <w:r>
        <w:t xml:space="preserve">Requisito</w:t>
      </w:r>
    </w:p>
    <w:p>
      <w:pPr>
        <w:pStyle w:val="FirstParagraph"/>
      </w:pPr>
      <w:r>
        <w:t xml:space="preserve">Cuando un sistema de IA de alto riesgo utilice conjuntos de datos de formación, validación o ensayo, el proveedor deberá aplicar los requisitos de gobernanza de datos y de datos del artículo 10 del Reglamento (UE) 2024/1689, en su versión modificada.</w:t>
      </w:r>
    </w:p>
    <w:bookmarkEnd w:id="366"/>
    <w:bookmarkStart w:id="367" w:name="explicación-en-lenguaje-sencillo-33"/>
    <w:p>
      <w:pPr>
        <w:pStyle w:val="Heading2"/>
      </w:pPr>
      <w:r>
        <w:rPr>
          <w:rStyle w:val="SectionNumber"/>
        </w:rPr>
        <w:t xml:space="preserve">1.324</w:t>
      </w:r>
      <w:r>
        <w:tab/>
      </w:r>
      <w:r>
        <w:t xml:space="preserve">Explicación en lenguaje sencillo</w:t>
      </w:r>
    </w:p>
    <w:p>
      <w:pPr>
        <w:pStyle w:val="FirstParagraph"/>
      </w:pPr>
      <w:r>
        <w:t xml:space="preserve">El objetivo legal no es datos perfectos, es una gobernanza de datos disciplinada y documentada adecuada al propósito y riesgo previstos, el proveedor debe entender de dónde provienen los datos, por qué son adecuados, cómo se preparó, qué limitaciones o errores existen, si los grupos afectados están adecuadamente representados y si el sistema puede crear o reforzar sesgos.</w:t>
      </w:r>
    </w:p>
    <w:p>
      <w:pPr>
        <w:pStyle w:val="BodyText"/>
      </w:pPr>
      <w:r>
        <w:t xml:space="preserve">El artículo 10 no crea de manera independiente una base legal para el tratamiento de datos personales o de categorías especiales. El RGPD y otros requisitos de privacidad aplicables deben evaluarse por separado.</w:t>
      </w:r>
    </w:p>
    <w:bookmarkEnd w:id="367"/>
    <w:bookmarkStart w:id="368" w:name="ámbitos-de-gobernanza-necesarios"/>
    <w:p>
      <w:pPr>
        <w:pStyle w:val="Heading2"/>
      </w:pPr>
      <w:r>
        <w:rPr>
          <w:rStyle w:val="SectionNumber"/>
        </w:rPr>
        <w:t xml:space="preserve">1.325</w:t>
      </w:r>
      <w:r>
        <w:tab/>
      </w:r>
      <w:r>
        <w:t xml:space="preserve">Ámbitos de gobernanza necesarios</w:t>
      </w:r>
    </w:p>
    <w:p>
      <w:pPr>
        <w:pStyle w:val="FirstParagraph"/>
      </w:pPr>
      <w:r>
        <w:t xml:space="preserve">El proveedor debe documentar, según proceda:</w:t>
      </w:r>
    </w:p>
    <w:p>
      <w:pPr>
        <w:numPr>
          <w:ilvl w:val="0"/>
          <w:numId w:val="1083"/>
        </w:numPr>
        <w:pStyle w:val="Compact"/>
      </w:pPr>
      <w:r>
        <w:t xml:space="preserve">opciones de diseño de datos y procesos de recogida;</w:t>
      </w:r>
    </w:p>
    <w:p>
      <w:pPr>
        <w:numPr>
          <w:ilvl w:val="0"/>
          <w:numId w:val="1083"/>
        </w:numPr>
        <w:pStyle w:val="Compact"/>
      </w:pPr>
      <w:r>
        <w:t xml:space="preserve">origen, procedencia y finalidad original de los datos;</w:t>
      </w:r>
    </w:p>
    <w:p>
      <w:pPr>
        <w:numPr>
          <w:ilvl w:val="0"/>
          <w:numId w:val="1083"/>
        </w:numPr>
        <w:pStyle w:val="Compact"/>
      </w:pPr>
      <w:r>
        <w:t xml:space="preserve">preparación de datos, anotación, etiquetado, limpieza, enriquecimiento y agregación;</w:t>
      </w:r>
    </w:p>
    <w:p>
      <w:pPr>
        <w:numPr>
          <w:ilvl w:val="0"/>
          <w:numId w:val="1083"/>
        </w:numPr>
        <w:pStyle w:val="Compact"/>
      </w:pPr>
      <w:r>
        <w:t xml:space="preserve">suposiciones sobre lo que los datos miden o representan;</w:t>
      </w:r>
    </w:p>
    <w:p>
      <w:pPr>
        <w:numPr>
          <w:ilvl w:val="0"/>
          <w:numId w:val="1083"/>
        </w:numPr>
        <w:pStyle w:val="Compact"/>
      </w:pPr>
      <w:r>
        <w:t xml:space="preserve">disponibilidad, cantidad e idoneidad de los conjuntos de datos;</w:t>
      </w:r>
    </w:p>
    <w:p>
      <w:pPr>
        <w:numPr>
          <w:ilvl w:val="0"/>
          <w:numId w:val="1083"/>
        </w:numPr>
        <w:pStyle w:val="Compact"/>
      </w:pPr>
      <w:r>
        <w:t xml:space="preserve">el examen de posibles sesgos y sus efectos en la salud, la seguridad o los derechos fundamentales;</w:t>
      </w:r>
    </w:p>
    <w:p>
      <w:pPr>
        <w:numPr>
          <w:ilvl w:val="0"/>
          <w:numId w:val="1083"/>
        </w:numPr>
        <w:pStyle w:val="Compact"/>
      </w:pPr>
      <w:r>
        <w:t xml:space="preserve">medidas para detectar, prevenir y mitigar los sesgos;</w:t>
      </w:r>
    </w:p>
    <w:p>
      <w:pPr>
        <w:numPr>
          <w:ilvl w:val="0"/>
          <w:numId w:val="1083"/>
        </w:numPr>
        <w:pStyle w:val="Compact"/>
      </w:pPr>
      <w:r>
        <w:t xml:space="preserve">pertinencia, representatividad, exhaustividad y características de error;</w:t>
      </w:r>
    </w:p>
    <w:p>
      <w:pPr>
        <w:numPr>
          <w:ilvl w:val="0"/>
          <w:numId w:val="1083"/>
        </w:numPr>
        <w:pStyle w:val="Compact"/>
      </w:pPr>
      <w:r>
        <w:t xml:space="preserve">las propiedades estadísticas y la idoneidad para las personas, grupos, geografía, contexto y condiciones de uso previstos;</w:t>
      </w:r>
    </w:p>
    <w:p>
      <w:pPr>
        <w:numPr>
          <w:ilvl w:val="0"/>
          <w:numId w:val="1083"/>
        </w:numPr>
        <w:pStyle w:val="Compact"/>
      </w:pPr>
      <w:r>
        <w:t xml:space="preserve">controles de las lagunas de datos, la deriva, las fugas, la duplicación, la contaminación y el uso no autorizado;</w:t>
      </w:r>
    </w:p>
    <w:p>
      <w:pPr>
        <w:numPr>
          <w:ilvl w:val="0"/>
          <w:numId w:val="1083"/>
        </w:numPr>
        <w:pStyle w:val="Compact"/>
      </w:pPr>
      <w:r>
        <w:t xml:space="preserve">separación y gobernanza de los conjuntos de datos de formación, validación y ensayo, cuando proceda;</w:t>
      </w:r>
    </w:p>
    <w:p>
      <w:pPr>
        <w:numPr>
          <w:ilvl w:val="0"/>
          <w:numId w:val="1083"/>
        </w:numPr>
        <w:pStyle w:val="Compact"/>
      </w:pPr>
      <w:r>
        <w:t xml:space="preserve">excepciones, limitaciones y riesgos residuales documentados.</w:t>
      </w:r>
    </w:p>
    <w:bookmarkEnd w:id="368"/>
    <w:bookmarkStart w:id="369" w:name="ejemplo-de-globalway-31"/>
    <w:p>
      <w:pPr>
        <w:pStyle w:val="Heading2"/>
      </w:pPr>
      <w:r>
        <w:rPr>
          <w:rStyle w:val="SectionNumber"/>
        </w:rPr>
        <w:t xml:space="preserve">1.326</w:t>
      </w:r>
      <w:r>
        <w:tab/>
      </w:r>
      <w:r>
        <w:t xml:space="preserve">Ejemplo de GlobalWay</w:t>
      </w:r>
    </w:p>
    <w:p>
      <w:pPr>
        <w:pStyle w:val="FirstParagraph"/>
      </w:pPr>
      <w:r>
        <w:t xml:space="preserve">GlobalWay desarrolla un sistema de selección de contrataciones utilizando datos históricos de aplicaciones y contrataciones. La revisión de gobernanza de datos identifica una representación insuficiente en ciertas familias de empleos, etiquetas históricas inconsistentes, variables proxy para características protegidas y diferencias geográficas. GlobalWay elimina características inapropiadas, mejora la documentación, prueba el desempeño de subgrupos, limita el uso previsto y requiere revisión humana.</w:t>
      </w:r>
    </w:p>
    <w:bookmarkEnd w:id="369"/>
    <w:bookmarkStart w:id="370" w:name="actividad-de-control-32"/>
    <w:p>
      <w:pPr>
        <w:pStyle w:val="Heading2"/>
      </w:pPr>
      <w:r>
        <w:rPr>
          <w:rStyle w:val="SectionNumber"/>
        </w:rPr>
        <w:t xml:space="preserve">1.327</w:t>
      </w:r>
      <w:r>
        <w:tab/>
      </w:r>
      <w:r>
        <w:t xml:space="preserve">Actividad de control</w:t>
      </w:r>
    </w:p>
    <w:p>
      <w:pPr>
        <w:pStyle w:val="FirstParagraph"/>
      </w:pPr>
      <w:r>
        <w:t xml:space="preserve">El proveedor debe aprobar un plan de gobernanza de datos específico del sistema antes del desarrollo de modelos o readiestramiento de materiales. Las versiones de conjuntos de datos, transformaciones, controles de calidad, análisis de sesgos, controles de acceso y aprobaciones deben ser rastreables a la versión del modelo o sistema liberada.</w:t>
      </w:r>
    </w:p>
    <w:bookmarkEnd w:id="370"/>
    <w:bookmarkStart w:id="371" w:name="pruebas-37"/>
    <w:p>
      <w:pPr>
        <w:pStyle w:val="Heading2"/>
      </w:pPr>
      <w:r>
        <w:rPr>
          <w:rStyle w:val="SectionNumber"/>
        </w:rPr>
        <w:t xml:space="preserve">1.328</w:t>
      </w:r>
      <w:r>
        <w:tab/>
      </w:r>
      <w:r>
        <w:t xml:space="preserve">Pruebas</w:t>
      </w:r>
    </w:p>
    <w:p>
      <w:pPr>
        <w:numPr>
          <w:ilvl w:val="0"/>
          <w:numId w:val="1084"/>
        </w:numPr>
        <w:pStyle w:val="Compact"/>
      </w:pPr>
      <w:r>
        <w:t xml:space="preserve">el plan de gobernanza de los datos;</w:t>
      </w:r>
    </w:p>
    <w:p>
      <w:pPr>
        <w:numPr>
          <w:ilvl w:val="0"/>
          <w:numId w:val="1084"/>
        </w:numPr>
        <w:pStyle w:val="Compact"/>
      </w:pPr>
      <w:r>
        <w:t xml:space="preserve">registro de datos y registros de procedencia;</w:t>
      </w:r>
    </w:p>
    <w:p>
      <w:pPr>
        <w:numPr>
          <w:ilvl w:val="0"/>
          <w:numId w:val="1084"/>
        </w:numPr>
        <w:pStyle w:val="Compact"/>
      </w:pPr>
      <w:r>
        <w:t xml:space="preserve">procedimientos de tratamiento y anotación de datos;</w:t>
      </w:r>
    </w:p>
    <w:p>
      <w:pPr>
        <w:numPr>
          <w:ilvl w:val="0"/>
          <w:numId w:val="1084"/>
        </w:numPr>
        <w:pStyle w:val="Compact"/>
      </w:pPr>
      <w:r>
        <w:t xml:space="preserve">análisis de la calidad y representatividad de los datos;</w:t>
      </w:r>
    </w:p>
    <w:p>
      <w:pPr>
        <w:numPr>
          <w:ilvl w:val="0"/>
          <w:numId w:val="1084"/>
        </w:numPr>
        <w:pStyle w:val="Compact"/>
      </w:pPr>
      <w:r>
        <w:t xml:space="preserve">pruebas de sesgo y subgrupo;</w:t>
      </w:r>
    </w:p>
    <w:p>
      <w:pPr>
        <w:numPr>
          <w:ilvl w:val="0"/>
          <w:numId w:val="1084"/>
        </w:numPr>
        <w:pStyle w:val="Compact"/>
      </w:pPr>
      <w:r>
        <w:t xml:space="preserve">la privacidad y la evaluación de las bases legales;</w:t>
      </w:r>
    </w:p>
    <w:p>
      <w:pPr>
        <w:numPr>
          <w:ilvl w:val="0"/>
          <w:numId w:val="1084"/>
        </w:numPr>
        <w:pStyle w:val="Compact"/>
      </w:pPr>
      <w:r>
        <w:t xml:space="preserve">historial de la versión del conjunto de datos;</w:t>
      </w:r>
    </w:p>
    <w:p>
      <w:pPr>
        <w:numPr>
          <w:ilvl w:val="0"/>
          <w:numId w:val="1084"/>
        </w:numPr>
        <w:pStyle w:val="Compact"/>
      </w:pPr>
      <w:r>
        <w:t xml:space="preserve">acceso y cambio de registros;</w:t>
      </w:r>
    </w:p>
    <w:p>
      <w:pPr>
        <w:numPr>
          <w:ilvl w:val="0"/>
          <w:numId w:val="1084"/>
        </w:numPr>
        <w:pStyle w:val="Compact"/>
      </w:pPr>
      <w:r>
        <w:t xml:space="preserve">limitaciones y registro de riesgos residuales;</w:t>
      </w:r>
    </w:p>
    <w:p>
      <w:pPr>
        <w:numPr>
          <w:ilvl w:val="0"/>
          <w:numId w:val="1084"/>
        </w:numPr>
        <w:pStyle w:val="Compact"/>
      </w:pPr>
      <w:r>
        <w:t xml:space="preserve">los registros de aprobación.</w:t>
      </w:r>
    </w:p>
    <w:bookmarkEnd w:id="371"/>
    <w:bookmarkStart w:id="372" w:name="prueba-de-auditoría-33"/>
    <w:p>
      <w:pPr>
        <w:pStyle w:val="Heading2"/>
      </w:pPr>
      <w:r>
        <w:rPr>
          <w:rStyle w:val="SectionNumber"/>
        </w:rPr>
        <w:t xml:space="preserve">1.329</w:t>
      </w:r>
      <w:r>
        <w:tab/>
      </w:r>
      <w:r>
        <w:t xml:space="preserve">Prueba de auditoría</w:t>
      </w:r>
    </w:p>
    <w:p>
      <w:pPr>
        <w:pStyle w:val="FirstParagraph"/>
      </w:pPr>
      <w:r>
        <w:t xml:space="preserve">Seleccione una versión del sistema de IA de alto riesgo publicada y tracela a los conjuntos de datos exactos de entrenamiento, validación y pruebas. Confirme que la idoneidad, procedencia, calidad, representatividad, sesgo, privacidad, transformaciones y limitaciones fueron evaluadas y aprobadas antes de su lanzamiento.</w:t>
      </w:r>
    </w:p>
    <w:bookmarkEnd w:id="372"/>
    <w:bookmarkStart w:id="373" w:name="referencias-jurídicas-primarias-6"/>
    <w:p>
      <w:pPr>
        <w:pStyle w:val="Heading2"/>
      </w:pPr>
      <w:r>
        <w:rPr>
          <w:rStyle w:val="SectionNumber"/>
        </w:rPr>
        <w:t xml:space="preserve">1.330</w:t>
      </w:r>
      <w:r>
        <w:tab/>
      </w:r>
      <w:r>
        <w:t xml:space="preserve">Referencias jurídicas primarias</w:t>
      </w:r>
    </w:p>
    <w:p>
      <w:pPr>
        <w:numPr>
          <w:ilvl w:val="0"/>
          <w:numId w:val="1085"/>
        </w:numPr>
        <w:pStyle w:val="Compact"/>
      </w:pPr>
      <w:r>
        <w:t xml:space="preserve">Reglamento (UE) 2024/1689, modificado: artículo 10.</w:t>
      </w:r>
    </w:p>
    <w:p>
      <w:pPr>
        <w:numPr>
          <w:ilvl w:val="0"/>
          <w:numId w:val="1085"/>
        </w:numPr>
        <w:pStyle w:val="Compact"/>
      </w:pPr>
      <w:r>
        <w:t xml:space="preserve">El RGPD y la legislación aplicable del Estado miembro o del sector siguen siendo de aplicación independiente.</w:t>
      </w:r>
    </w:p>
    <w:p>
      <w:pPr>
        <w:numPr>
          <w:ilvl w:val="0"/>
          <w:numId w:val="1085"/>
        </w:numPr>
        <w:pStyle w:val="Compact"/>
      </w:pPr>
      <w:r>
        <w:t xml:space="preserve">Los actuales controles consolidados de texto EUR-Lex sobre los resúmenes antiguos.</w:t>
      </w:r>
    </w:p>
    <w:bookmarkEnd w:id="373"/>
    <w:bookmarkStart w:id="374" w:name="capítulo-39-documentación-técnica"/>
    <w:p>
      <w:pPr>
        <w:pStyle w:val="Heading2"/>
      </w:pPr>
      <w:r>
        <w:rPr>
          <w:rStyle w:val="SectionNumber"/>
        </w:rPr>
        <w:t xml:space="preserve">1.331</w:t>
      </w:r>
      <w:r>
        <w:tab/>
      </w:r>
      <w:r>
        <w:t xml:space="preserve">Capítulo 39 — Documentación técnica</w:t>
      </w:r>
    </w:p>
    <w:p>
      <w:pPr>
        <w:pStyle w:val="BlockText"/>
      </w:pPr>
      <w:r>
        <w:rPr>
          <w:bCs/>
          <w:b/>
        </w:rPr>
        <w:t xml:space="preserve">Estatus legal:</w:t>
      </w:r>
      <w:r>
        <w:t xml:space="preserve"> </w:t>
      </w:r>
      <w:r>
        <w:t xml:space="preserve">Corregido Maestro Inglés para la consolidación. Este archivo controla el lenguaje de borrador del Capítulo 39 anterior.</w:t>
      </w:r>
    </w:p>
    <w:bookmarkEnd w:id="374"/>
    <w:bookmarkStart w:id="375" w:name="requisito-37"/>
    <w:p>
      <w:pPr>
        <w:pStyle w:val="Heading2"/>
      </w:pPr>
      <w:r>
        <w:rPr>
          <w:rStyle w:val="SectionNumber"/>
        </w:rPr>
        <w:t xml:space="preserve">1.332</w:t>
      </w:r>
      <w:r>
        <w:tab/>
      </w:r>
      <w:r>
        <w:t xml:space="preserve">Requisito</w:t>
      </w:r>
    </w:p>
    <w:p>
      <w:pPr>
        <w:pStyle w:val="FirstParagraph"/>
      </w:pPr>
      <w:r>
        <w:t xml:space="preserve">Antes de la comercialización o puesta en servicio de un sistema de IA de alto riesgo, el proveedor deberá preparar y mantener documentación técnica que demuestre el cumplimiento de los requisitos aplicables. La documentación deberá referirse al artículo 11 y al anexo IV del Reglamento (UE) 2024/1689, en su versión modificada, y mantenerse actualizada durante todo el ciclo de vida.</w:t>
      </w:r>
    </w:p>
    <w:bookmarkEnd w:id="375"/>
    <w:bookmarkStart w:id="376" w:name="explicación-en-lenguaje-sencillo-34"/>
    <w:p>
      <w:pPr>
        <w:pStyle w:val="Heading2"/>
      </w:pPr>
      <w:r>
        <w:rPr>
          <w:rStyle w:val="SectionNumber"/>
        </w:rPr>
        <w:t xml:space="preserve">1.333</w:t>
      </w:r>
      <w:r>
        <w:tab/>
      </w:r>
      <w:r>
        <w:t xml:space="preserve">Explicación en lenguaje sencillo</w:t>
      </w:r>
    </w:p>
    <w:p>
      <w:pPr>
        <w:pStyle w:val="FirstParagraph"/>
      </w:pPr>
      <w:r>
        <w:t xml:space="preserve">La documentación técnica es el paquete de pruebas que explica lo que es el sistema, cómo se desarrolló, qué datos y métodos se utilizaron, cómo funciona, qué riesgos y limitaciones existen, cómo funciona la supervisión humana y por qué el proveedor cree que se cumplen los requisitos legales. Debe ser suficientemente específica para que las autoridades, los organismos notificados, cuando proceda, y los examinadores internos evalúen la conformidad.</w:t>
      </w:r>
    </w:p>
    <w:p>
      <w:pPr>
        <w:pStyle w:val="BodyText"/>
      </w:pPr>
      <w:r>
        <w:t xml:space="preserve">Las tarjetas modelo, las tarjetas del sistema, los documentos de arquitectura y los informes de prueba pueden soportar el paquete, pero ninguno de ellos por sí solo satisface necesariamente el anexo IV.</w:t>
      </w:r>
    </w:p>
    <w:bookmarkEnd w:id="376"/>
    <w:bookmarkStart w:id="377" w:name="ámbitos-de-documentación-necesarios"/>
    <w:p>
      <w:pPr>
        <w:pStyle w:val="Heading2"/>
      </w:pPr>
      <w:r>
        <w:rPr>
          <w:rStyle w:val="SectionNumber"/>
        </w:rPr>
        <w:t xml:space="preserve">1.334</w:t>
      </w:r>
      <w:r>
        <w:tab/>
      </w:r>
      <w:r>
        <w:t xml:space="preserve">Ámbitos de documentación necesarios</w:t>
      </w:r>
    </w:p>
    <w:p>
      <w:pPr>
        <w:pStyle w:val="FirstParagraph"/>
      </w:pPr>
      <w:r>
        <w:t xml:space="preserve">El paquete debería abarcar, según proceda:</w:t>
      </w:r>
    </w:p>
    <w:p>
      <w:pPr>
        <w:numPr>
          <w:ilvl w:val="0"/>
          <w:numId w:val="1086"/>
        </w:numPr>
        <w:pStyle w:val="Compact"/>
      </w:pPr>
      <w:r>
        <w:t xml:space="preserve">una descripción general, la finalidad prevista, la versión del sistema y la información del proveedor;</w:t>
      </w:r>
    </w:p>
    <w:p>
      <w:pPr>
        <w:numPr>
          <w:ilvl w:val="0"/>
          <w:numId w:val="1086"/>
        </w:numPr>
        <w:pStyle w:val="Compact"/>
      </w:pPr>
      <w:r>
        <w:t xml:space="preserve">arquitectura del sistema, componentes, dependencias, interfaces y recursos computacionales;</w:t>
      </w:r>
    </w:p>
    <w:p>
      <w:pPr>
        <w:numPr>
          <w:ilvl w:val="0"/>
          <w:numId w:val="1086"/>
        </w:numPr>
        <w:pStyle w:val="Compact"/>
      </w:pPr>
      <w:r>
        <w:t xml:space="preserve">métodos de diseño y desarrollo;</w:t>
      </w:r>
    </w:p>
    <w:p>
      <w:pPr>
        <w:numPr>
          <w:ilvl w:val="0"/>
          <w:numId w:val="1086"/>
        </w:numPr>
        <w:pStyle w:val="Compact"/>
      </w:pPr>
      <w:r>
        <w:t xml:space="preserve">requisitos de datos, conjuntos de datos, procedencia, preparación y gobernanza;</w:t>
      </w:r>
    </w:p>
    <w:p>
      <w:pPr>
        <w:numPr>
          <w:ilvl w:val="0"/>
          <w:numId w:val="1086"/>
        </w:numPr>
        <w:pStyle w:val="Compact"/>
      </w:pPr>
      <w:r>
        <w:t xml:space="preserve">opciones de modelos o algoritmos, parámetros y supuestos pertinentes;</w:t>
      </w:r>
    </w:p>
    <w:p>
      <w:pPr>
        <w:numPr>
          <w:ilvl w:val="0"/>
          <w:numId w:val="1086"/>
        </w:numPr>
        <w:pStyle w:val="Compact"/>
      </w:pPr>
      <w:r>
        <w:t xml:space="preserve">métodos de validación y ensayo, métricas, umbrales, entornos y resultados;</w:t>
      </w:r>
    </w:p>
    <w:p>
      <w:pPr>
        <w:numPr>
          <w:ilvl w:val="0"/>
          <w:numId w:val="1086"/>
        </w:numPr>
        <w:pStyle w:val="Compact"/>
      </w:pPr>
      <w:r>
        <w:t xml:space="preserve">el proceso de gestión de riesgos y las conclusiones sobre riesgos residuales;</w:t>
      </w:r>
    </w:p>
    <w:p>
      <w:pPr>
        <w:numPr>
          <w:ilvl w:val="0"/>
          <w:numId w:val="1086"/>
        </w:numPr>
        <w:pStyle w:val="Compact"/>
      </w:pPr>
      <w:r>
        <w:t xml:space="preserve">medidas de supervisión humana;</w:t>
      </w:r>
    </w:p>
    <w:p>
      <w:pPr>
        <w:numPr>
          <w:ilvl w:val="0"/>
          <w:numId w:val="1086"/>
        </w:numPr>
        <w:pStyle w:val="Compact"/>
      </w:pPr>
      <w:r>
        <w:t xml:space="preserve">precisión, robustez, seguridad cibernética y limitaciones previsibles;</w:t>
      </w:r>
    </w:p>
    <w:p>
      <w:pPr>
        <w:numPr>
          <w:ilvl w:val="0"/>
          <w:numId w:val="1086"/>
        </w:numPr>
        <w:pStyle w:val="Compact"/>
      </w:pPr>
      <w:r>
        <w:t xml:space="preserve">capacidades de tala y arreglos de mantenimiento de registros;</w:t>
      </w:r>
    </w:p>
    <w:p>
      <w:pPr>
        <w:numPr>
          <w:ilvl w:val="0"/>
          <w:numId w:val="1086"/>
        </w:numPr>
        <w:pStyle w:val="Compact"/>
      </w:pPr>
      <w:r>
        <w:t xml:space="preserve">la vía de evaluación de la conformidad, las normas, las especificaciones comunes y las desviaciones;</w:t>
      </w:r>
    </w:p>
    <w:p>
      <w:pPr>
        <w:numPr>
          <w:ilvl w:val="0"/>
          <w:numId w:val="1086"/>
        </w:numPr>
        <w:pStyle w:val="Compact"/>
      </w:pPr>
      <w:r>
        <w:t xml:space="preserve">mecanismos de seguimiento, incidencia y medidas correctoras posteriores a la comercialización;</w:t>
      </w:r>
    </w:p>
    <w:p>
      <w:pPr>
        <w:numPr>
          <w:ilvl w:val="0"/>
          <w:numId w:val="1086"/>
        </w:numPr>
        <w:pStyle w:val="Compact"/>
      </w:pPr>
      <w:r>
        <w:t xml:space="preserve">cambios, actualizaciones e historial de versiones;</w:t>
      </w:r>
    </w:p>
    <w:p>
      <w:pPr>
        <w:numPr>
          <w:ilvl w:val="0"/>
          <w:numId w:val="1086"/>
        </w:numPr>
        <w:pStyle w:val="Compact"/>
      </w:pPr>
      <w:r>
        <w:t xml:space="preserve">instrucciones de uso y otra información facilitada a los operadores.</w:t>
      </w:r>
    </w:p>
    <w:bookmarkEnd w:id="377"/>
    <w:bookmarkStart w:id="378" w:name="ejemplo-de-globalway-32"/>
    <w:p>
      <w:pPr>
        <w:pStyle w:val="Heading2"/>
      </w:pPr>
      <w:r>
        <w:rPr>
          <w:rStyle w:val="SectionNumber"/>
        </w:rPr>
        <w:t xml:space="preserve">1.335</w:t>
      </w:r>
      <w:r>
        <w:tab/>
      </w:r>
      <w:r>
        <w:t xml:space="preserve">Ejemplo de GlobalWay</w:t>
      </w:r>
    </w:p>
    <w:p>
      <w:pPr>
        <w:pStyle w:val="FirstParagraph"/>
      </w:pPr>
      <w:r>
        <w:t xml:space="preserve">Para su sistema de selección de reclutamiento de alto riesgo, GlobalWay mantiene un índice del anexo IV que vincula el propósito previsto, la arquitectura, los conjuntos de datos, las pruebas de subgrupos, los límites de rendimiento, el flujo de trabajo de revisión humana, las pruebas de ciberseguridad, los controles de riesgo, los registros de conformidad y el plan de seguimiento posterior a la comercialización con la versión exacta de producción.</w:t>
      </w:r>
    </w:p>
    <w:bookmarkEnd w:id="378"/>
    <w:bookmarkStart w:id="379" w:name="actividad-de-control-33"/>
    <w:p>
      <w:pPr>
        <w:pStyle w:val="Heading2"/>
      </w:pPr>
      <w:r>
        <w:rPr>
          <w:rStyle w:val="SectionNumber"/>
        </w:rPr>
        <w:t xml:space="preserve">1.336</w:t>
      </w:r>
      <w:r>
        <w:tab/>
      </w:r>
      <w:r>
        <w:t xml:space="preserve">Actividad de control</w:t>
      </w:r>
    </w:p>
    <w:p>
      <w:pPr>
        <w:pStyle w:val="FirstParagraph"/>
      </w:pPr>
      <w:r>
        <w:t xml:space="preserve">El proveedor debe mantener un repositorio controlado de documentación técnica con un índice aprobado del Anexo IV. No se podrá proceder a ninguna publicación a menos que los documentos requeridos sean completos, coherentes internamente, vinculados a versiones, revisados y aprobados.</w:t>
      </w:r>
    </w:p>
    <w:bookmarkEnd w:id="379"/>
    <w:bookmarkStart w:id="380" w:name="pruebas-38"/>
    <w:p>
      <w:pPr>
        <w:pStyle w:val="Heading2"/>
      </w:pPr>
      <w:r>
        <w:rPr>
          <w:rStyle w:val="SectionNumber"/>
        </w:rPr>
        <w:t xml:space="preserve">1.337</w:t>
      </w:r>
      <w:r>
        <w:tab/>
      </w:r>
      <w:r>
        <w:t xml:space="preserve">Pruebas</w:t>
      </w:r>
    </w:p>
    <w:p>
      <w:pPr>
        <w:numPr>
          <w:ilvl w:val="0"/>
          <w:numId w:val="1087"/>
        </w:numPr>
        <w:pStyle w:val="Compact"/>
      </w:pPr>
      <w:r>
        <w:t xml:space="preserve">el índice de documentación del anexo IV;</w:t>
      </w:r>
    </w:p>
    <w:p>
      <w:pPr>
        <w:numPr>
          <w:ilvl w:val="0"/>
          <w:numId w:val="1087"/>
        </w:numPr>
        <w:pStyle w:val="Compact"/>
      </w:pPr>
      <w:r>
        <w:t xml:space="preserve">descripción y arquitectura del sistema;</w:t>
      </w:r>
    </w:p>
    <w:p>
      <w:pPr>
        <w:numPr>
          <w:ilvl w:val="0"/>
          <w:numId w:val="1087"/>
        </w:numPr>
        <w:pStyle w:val="Compact"/>
      </w:pPr>
      <w:r>
        <w:t xml:space="preserve">desarrollo y documentación de datos;</w:t>
      </w:r>
    </w:p>
    <w:p>
      <w:pPr>
        <w:numPr>
          <w:ilvl w:val="0"/>
          <w:numId w:val="1087"/>
        </w:numPr>
        <w:pStyle w:val="Compact"/>
      </w:pPr>
      <w:r>
        <w:t xml:space="preserve">los planes de ensayo, las métricas y los resultados;</w:t>
      </w:r>
    </w:p>
    <w:p>
      <w:pPr>
        <w:numPr>
          <w:ilvl w:val="0"/>
          <w:numId w:val="1087"/>
        </w:numPr>
        <w:pStyle w:val="Compact"/>
      </w:pPr>
      <w:r>
        <w:t xml:space="preserve">el archivo de gestión de riesgos;</w:t>
      </w:r>
    </w:p>
    <w:p>
      <w:pPr>
        <w:numPr>
          <w:ilvl w:val="0"/>
          <w:numId w:val="1087"/>
        </w:numPr>
        <w:pStyle w:val="Compact"/>
      </w:pPr>
      <w:r>
        <w:t xml:space="preserve">plan de supervisión humana;</w:t>
      </w:r>
    </w:p>
    <w:p>
      <w:pPr>
        <w:numPr>
          <w:ilvl w:val="0"/>
          <w:numId w:val="1087"/>
        </w:numPr>
        <w:pStyle w:val="Compact"/>
      </w:pPr>
      <w:r>
        <w:t xml:space="preserve">pruebas de seguridad cibernética y robustez;</w:t>
      </w:r>
    </w:p>
    <w:p>
      <w:pPr>
        <w:numPr>
          <w:ilvl w:val="0"/>
          <w:numId w:val="1087"/>
        </w:numPr>
        <w:pStyle w:val="Compact"/>
      </w:pPr>
      <w:r>
        <w:t xml:space="preserve">instrucciones de uso;</w:t>
      </w:r>
    </w:p>
    <w:p>
      <w:pPr>
        <w:numPr>
          <w:ilvl w:val="0"/>
          <w:numId w:val="1087"/>
        </w:numPr>
        <w:pStyle w:val="Compact"/>
      </w:pPr>
      <w:r>
        <w:t xml:space="preserve">los registros de conformidad;</w:t>
      </w:r>
    </w:p>
    <w:p>
      <w:pPr>
        <w:numPr>
          <w:ilvl w:val="0"/>
          <w:numId w:val="1087"/>
        </w:numPr>
        <w:pStyle w:val="Compact"/>
      </w:pPr>
      <w:r>
        <w:t xml:space="preserve">el plan de seguimiento posterior a la comercialización;</w:t>
      </w:r>
    </w:p>
    <w:p>
      <w:pPr>
        <w:numPr>
          <w:ilvl w:val="0"/>
          <w:numId w:val="1087"/>
        </w:numPr>
        <w:pStyle w:val="Compact"/>
      </w:pPr>
      <w:r>
        <w:t xml:space="preserve">versión y cambio de historia;</w:t>
      </w:r>
    </w:p>
    <w:p>
      <w:pPr>
        <w:numPr>
          <w:ilvl w:val="0"/>
          <w:numId w:val="1087"/>
        </w:numPr>
        <w:pStyle w:val="Compact"/>
      </w:pPr>
      <w:r>
        <w:t xml:space="preserve">los registros de revisión y aprobación.</w:t>
      </w:r>
    </w:p>
    <w:bookmarkEnd w:id="380"/>
    <w:bookmarkStart w:id="381" w:name="prueba-de-auditoría-34"/>
    <w:p>
      <w:pPr>
        <w:pStyle w:val="Heading2"/>
      </w:pPr>
      <w:r>
        <w:rPr>
          <w:rStyle w:val="SectionNumber"/>
        </w:rPr>
        <w:t xml:space="preserve">1.338</w:t>
      </w:r>
      <w:r>
        <w:tab/>
      </w:r>
      <w:r>
        <w:t xml:space="preserve">Prueba de auditoría</w:t>
      </w:r>
    </w:p>
    <w:p>
      <w:pPr>
        <w:pStyle w:val="FirstParagraph"/>
      </w:pPr>
      <w:r>
        <w:t xml:space="preserve">Seleccione una versión del sistema IA de alto riesgo de producción. Confirme que el paquete de documentación técnica existía antes de su publicación, aborde los elementos aplicables del anexo IV, esté de acuerdo con la configuración desplegada y se actualice después de los cambios pertinentes o la nueva información posterior a la comercialización.</w:t>
      </w:r>
    </w:p>
    <w:bookmarkEnd w:id="381"/>
    <w:bookmarkStart w:id="382" w:name="referencias-jurídicas-primarias-7"/>
    <w:p>
      <w:pPr>
        <w:pStyle w:val="Heading2"/>
      </w:pPr>
      <w:r>
        <w:rPr>
          <w:rStyle w:val="SectionNumber"/>
        </w:rPr>
        <w:t xml:space="preserve">1.339</w:t>
      </w:r>
      <w:r>
        <w:tab/>
      </w:r>
      <w:r>
        <w:t xml:space="preserve">Referencias jurídicas primarias</w:t>
      </w:r>
    </w:p>
    <w:p>
      <w:pPr>
        <w:numPr>
          <w:ilvl w:val="0"/>
          <w:numId w:val="1088"/>
        </w:numPr>
        <w:pStyle w:val="Compact"/>
      </w:pPr>
      <w:r>
        <w:t xml:space="preserve">Reglamento (UE) 2024/1689, modificado: artículo 11 y anexo IV.</w:t>
      </w:r>
    </w:p>
    <w:p>
      <w:pPr>
        <w:numPr>
          <w:ilvl w:val="0"/>
          <w:numId w:val="1088"/>
        </w:numPr>
        <w:pStyle w:val="Compact"/>
      </w:pPr>
      <w:r>
        <w:t xml:space="preserve">Los actuales controles consolidados de texto EUR-Lex sobre los resúmenes antiguos.</w:t>
      </w:r>
    </w:p>
    <w:bookmarkEnd w:id="382"/>
    <w:bookmarkStart w:id="383" w:name="capítulo-40-registros-y-registros"/>
    <w:p>
      <w:pPr>
        <w:pStyle w:val="Heading2"/>
      </w:pPr>
      <w:r>
        <w:rPr>
          <w:rStyle w:val="SectionNumber"/>
        </w:rPr>
        <w:t xml:space="preserve">1.340</w:t>
      </w:r>
      <w:r>
        <w:tab/>
      </w:r>
      <w:r>
        <w:t xml:space="preserve">Capítulo 40 — Registros y registros</w:t>
      </w:r>
    </w:p>
    <w:p>
      <w:pPr>
        <w:pStyle w:val="BlockText"/>
      </w:pPr>
      <w:r>
        <w:rPr>
          <w:bCs/>
          <w:b/>
        </w:rPr>
        <w:t xml:space="preserve">Estatus legal:</w:t>
      </w:r>
      <w:r>
        <w:t xml:space="preserve"> </w:t>
      </w:r>
      <w:r>
        <w:t xml:space="preserve">Corregido Maestro Inglés para la consolidación. Este archivo controla el lenguaje de borrador del Capítulo 40 anterior en conflicto.</w:t>
      </w:r>
    </w:p>
    <w:bookmarkEnd w:id="383"/>
    <w:bookmarkStart w:id="384" w:name="requisito-38"/>
    <w:p>
      <w:pPr>
        <w:pStyle w:val="Heading2"/>
      </w:pPr>
      <w:r>
        <w:rPr>
          <w:rStyle w:val="SectionNumber"/>
        </w:rPr>
        <w:t xml:space="preserve">1.341</w:t>
      </w:r>
      <w:r>
        <w:tab/>
      </w:r>
      <w:r>
        <w:t xml:space="preserve">Requisito</w:t>
      </w:r>
    </w:p>
    <w:p>
      <w:pPr>
        <w:pStyle w:val="FirstParagraph"/>
      </w:pPr>
      <w:r>
        <w:t xml:space="preserve">Los sistemas de IA de alto riesgo deben estar diseñados para permitir el registro automático de los acontecimientos a lo largo de la vida útil del sistema en la medida apropiada para el propósito previsto. Los proveedores y los implementadores deben conservar registros y registros conexos durante los períodos exigidos por el Reglamento (UE) 2024/1689, en su versión modificada, y otras leyes aplicables.</w:t>
      </w:r>
    </w:p>
    <w:bookmarkEnd w:id="384"/>
    <w:bookmarkStart w:id="385" w:name="explicación-en-lenguaje-sencillo-35"/>
    <w:p>
      <w:pPr>
        <w:pStyle w:val="Heading2"/>
      </w:pPr>
      <w:r>
        <w:rPr>
          <w:rStyle w:val="SectionNumber"/>
        </w:rPr>
        <w:t xml:space="preserve">1.342</w:t>
      </w:r>
      <w:r>
        <w:tab/>
      </w:r>
      <w:r>
        <w:t xml:space="preserve">Explicación en lenguaje sencillo</w:t>
      </w:r>
    </w:p>
    <w:p>
      <w:pPr>
        <w:pStyle w:val="FirstParagraph"/>
      </w:pPr>
      <w:r>
        <w:t xml:space="preserve">Los registros son la pista de evidencia operativa de cómo se comporta un sistema de IA de alto riesgo. Apoyan el monitoreo, la investigación de incidentes, la supervisión humana, la evaluación de la conformidad, las medidas correctivas y la revisión regulatoria.</w:t>
      </w:r>
    </w:p>
    <w:p>
      <w:pPr>
        <w:pStyle w:val="BodyText"/>
      </w:pPr>
      <w:r>
        <w:t xml:space="preserve">La Ley de IA no crea un período de retención universal para cada registro. La retención debe ser determinada por el papel del actor, el tipo de registro, el artículo aplicable, la ley sectorial, los requisitos de protección de datos, las obligaciones contractuales, los plazos de prescripción, y los litigios o las retenciones reglamentarias.</w:t>
      </w:r>
    </w:p>
    <w:bookmarkEnd w:id="385"/>
    <w:bookmarkStart w:id="386" w:name="requisitos-de-registro"/>
    <w:p>
      <w:pPr>
        <w:pStyle w:val="Heading2"/>
      </w:pPr>
      <w:r>
        <w:rPr>
          <w:rStyle w:val="SectionNumber"/>
        </w:rPr>
        <w:t xml:space="preserve">1.343</w:t>
      </w:r>
      <w:r>
        <w:tab/>
      </w:r>
      <w:r>
        <w:t xml:space="preserve">Requisitos de registro</w:t>
      </w:r>
    </w:p>
    <w:p>
      <w:pPr>
        <w:pStyle w:val="FirstParagraph"/>
      </w:pPr>
      <w:r>
        <w:t xml:space="preserve">El diseño de registro deberá tener en cuenta, según proceda:</w:t>
      </w:r>
    </w:p>
    <w:p>
      <w:pPr>
        <w:numPr>
          <w:ilvl w:val="0"/>
          <w:numId w:val="1089"/>
        </w:numPr>
        <w:pStyle w:val="Compact"/>
      </w:pPr>
      <w:r>
        <w:t xml:space="preserve">versión de sistema y modelo;</w:t>
      </w:r>
    </w:p>
    <w:p>
      <w:pPr>
        <w:numPr>
          <w:ilvl w:val="0"/>
          <w:numId w:val="1089"/>
        </w:numPr>
        <w:pStyle w:val="Compact"/>
      </w:pPr>
      <w:r>
        <w:t xml:space="preserve">fecha y hora de la operación;</w:t>
      </w:r>
    </w:p>
    <w:p>
      <w:pPr>
        <w:numPr>
          <w:ilvl w:val="0"/>
          <w:numId w:val="1089"/>
        </w:numPr>
        <w:pStyle w:val="Compact"/>
      </w:pPr>
      <w:r>
        <w:t xml:space="preserve">fuente de entrada y contexto de procesamiento pertinente;</w:t>
      </w:r>
    </w:p>
    <w:p>
      <w:pPr>
        <w:numPr>
          <w:ilvl w:val="0"/>
          <w:numId w:val="1089"/>
        </w:numPr>
        <w:pStyle w:val="Compact"/>
      </w:pPr>
      <w:r>
        <w:t xml:space="preserve">producción, puntuación, recomendación o decisión;</w:t>
      </w:r>
    </w:p>
    <w:p>
      <w:pPr>
        <w:numPr>
          <w:ilvl w:val="0"/>
          <w:numId w:val="1089"/>
        </w:numPr>
        <w:pStyle w:val="Compact"/>
      </w:pPr>
      <w:r>
        <w:t xml:space="preserve">la confianza o la información relativa a los umbrales, cuando proceda;</w:t>
      </w:r>
    </w:p>
    <w:p>
      <w:pPr>
        <w:numPr>
          <w:ilvl w:val="0"/>
          <w:numId w:val="1089"/>
        </w:numPr>
        <w:pStyle w:val="Compact"/>
      </w:pPr>
      <w:r>
        <w:t xml:space="preserve">revisión humana, intervención, anulación o escalada;</w:t>
      </w:r>
    </w:p>
    <w:p>
      <w:pPr>
        <w:numPr>
          <w:ilvl w:val="0"/>
          <w:numId w:val="1089"/>
        </w:numPr>
        <w:pStyle w:val="Compact"/>
      </w:pPr>
      <w:r>
        <w:t xml:space="preserve">errores, anomalías, controles fallidos y eventos de seguridad;</w:t>
      </w:r>
    </w:p>
    <w:p>
      <w:pPr>
        <w:numPr>
          <w:ilvl w:val="0"/>
          <w:numId w:val="1089"/>
        </w:numPr>
        <w:pStyle w:val="Compact"/>
      </w:pPr>
      <w:r>
        <w:t xml:space="preserve">cambios de configuración, rapidez, recuperación y dependencia;</w:t>
      </w:r>
    </w:p>
    <w:p>
      <w:pPr>
        <w:numPr>
          <w:ilvl w:val="0"/>
          <w:numId w:val="1089"/>
        </w:numPr>
        <w:pStyle w:val="Compact"/>
      </w:pPr>
      <w:r>
        <w:t xml:space="preserve">identidad o función de los operadores autorizados cuando sea lícito y necesario;</w:t>
      </w:r>
    </w:p>
    <w:p>
      <w:pPr>
        <w:numPr>
          <w:ilvl w:val="0"/>
          <w:numId w:val="1089"/>
        </w:numPr>
        <w:pStyle w:val="Compact"/>
      </w:pPr>
      <w:r>
        <w:t xml:space="preserve">vínculos con quejas, incidentes, medidas correctivas y registros de seguimiento.</w:t>
      </w:r>
    </w:p>
    <w:bookmarkEnd w:id="386"/>
    <w:bookmarkStart w:id="387" w:name="Xe93fc0bea7d72c7761fcdbe8db2981a63c6b943"/>
    <w:p>
      <w:pPr>
        <w:pStyle w:val="Heading2"/>
      </w:pPr>
      <w:r>
        <w:rPr>
          <w:rStyle w:val="SectionNumber"/>
        </w:rPr>
        <w:t xml:space="preserve">1.344</w:t>
      </w:r>
      <w:r>
        <w:tab/>
      </w:r>
      <w:r>
        <w:t xml:space="preserve">Controles de seguridad y protección de datos</w:t>
      </w:r>
    </w:p>
    <w:p>
      <w:pPr>
        <w:pStyle w:val="FirstParagraph"/>
      </w:pPr>
      <w:r>
        <w:t xml:space="preserve">El registro no debe convertirse en vigilancia incontrolada ni en una recopilación excesiva de datos personales. La organización debe definir el propósito legítimo, la minimización de datos, las restricciones de acceso, la protección de la integridad, la retención, la eliminación y los procedimientos de exportación seguros.</w:t>
      </w:r>
    </w:p>
    <w:bookmarkEnd w:id="387"/>
    <w:bookmarkStart w:id="388" w:name="ejemplo-de-globalway-33"/>
    <w:p>
      <w:pPr>
        <w:pStyle w:val="Heading2"/>
      </w:pPr>
      <w:r>
        <w:rPr>
          <w:rStyle w:val="SectionNumber"/>
        </w:rPr>
        <w:t xml:space="preserve">1.345</w:t>
      </w:r>
      <w:r>
        <w:tab/>
      </w:r>
      <w:r>
        <w:t xml:space="preserve">Ejemplo de GlobalWay</w:t>
      </w:r>
    </w:p>
    <w:p>
      <w:pPr>
        <w:pStyle w:val="FirstParagraph"/>
      </w:pPr>
      <w:r>
        <w:t xml:space="preserve">El sistema de reclutamiento de alto riesgo de GlobalWay registra la versión del modelo de producción, la marca de tiempo de procesamiento de candidatos, el resultado de puntuación relevante, el umbral aplicado, la identidad del revisor, la decisión del revisor, la razón de anulación y cualquier error del sistema.</w:t>
      </w:r>
    </w:p>
    <w:bookmarkEnd w:id="388"/>
    <w:bookmarkStart w:id="389" w:name="actividad-de-control-34"/>
    <w:p>
      <w:pPr>
        <w:pStyle w:val="Heading2"/>
      </w:pPr>
      <w:r>
        <w:rPr>
          <w:rStyle w:val="SectionNumber"/>
        </w:rPr>
        <w:t xml:space="preserve">1.346</w:t>
      </w:r>
      <w:r>
        <w:tab/>
      </w:r>
      <w:r>
        <w:t xml:space="preserve">Actividad de control</w:t>
      </w:r>
    </w:p>
    <w:p>
      <w:pPr>
        <w:pStyle w:val="FirstParagraph"/>
      </w:pPr>
      <w:r>
        <w:t xml:space="preserve">El proveedor debe definir las capacidades de registro durante el diseño, y el implementador debe asegurarse de que los registros estén habilitados, protegidos, revisados y retenidos de acuerdo con un calendario aprobado. Cualquier brecha de registro que impida el monitoreo, supervisión, investigación o respuesta regulatoria efectiva debe bloquear el despliegue o desencadenar acciones correctivas.</w:t>
      </w:r>
    </w:p>
    <w:bookmarkEnd w:id="389"/>
    <w:bookmarkStart w:id="390" w:name="pruebas-39"/>
    <w:p>
      <w:pPr>
        <w:pStyle w:val="Heading2"/>
      </w:pPr>
      <w:r>
        <w:rPr>
          <w:rStyle w:val="SectionNumber"/>
        </w:rPr>
        <w:t xml:space="preserve">1.347</w:t>
      </w:r>
      <w:r>
        <w:tab/>
      </w:r>
      <w:r>
        <w:t xml:space="preserve">Pruebas</w:t>
      </w:r>
    </w:p>
    <w:p>
      <w:pPr>
        <w:numPr>
          <w:ilvl w:val="0"/>
          <w:numId w:val="1090"/>
        </w:numPr>
        <w:pStyle w:val="Compact"/>
      </w:pPr>
      <w:r>
        <w:t xml:space="preserve">especificación de registro;</w:t>
      </w:r>
    </w:p>
    <w:p>
      <w:pPr>
        <w:numPr>
          <w:ilvl w:val="0"/>
          <w:numId w:val="1090"/>
        </w:numPr>
        <w:pStyle w:val="Compact"/>
      </w:pPr>
      <w:r>
        <w:t xml:space="preserve">diccionario de datos;</w:t>
      </w:r>
    </w:p>
    <w:p>
      <w:pPr>
        <w:numPr>
          <w:ilvl w:val="0"/>
          <w:numId w:val="1090"/>
        </w:numPr>
        <w:pStyle w:val="Compact"/>
      </w:pPr>
      <w:r>
        <w:t xml:space="preserve">la muestra de registros de eventos;</w:t>
      </w:r>
    </w:p>
    <w:p>
      <w:pPr>
        <w:numPr>
          <w:ilvl w:val="0"/>
          <w:numId w:val="1090"/>
        </w:numPr>
        <w:pStyle w:val="Compact"/>
      </w:pPr>
      <w:r>
        <w:t xml:space="preserve">configuración de control de acceso;</w:t>
      </w:r>
    </w:p>
    <w:p>
      <w:pPr>
        <w:numPr>
          <w:ilvl w:val="0"/>
          <w:numId w:val="1090"/>
        </w:numPr>
        <w:pStyle w:val="Compact"/>
      </w:pPr>
      <w:r>
        <w:t xml:space="preserve">el calendario de retención;</w:t>
      </w:r>
    </w:p>
    <w:p>
      <w:pPr>
        <w:numPr>
          <w:ilvl w:val="0"/>
          <w:numId w:val="1090"/>
        </w:numPr>
        <w:pStyle w:val="Compact"/>
      </w:pPr>
      <w:r>
        <w:t xml:space="preserve">los procedimientos de supresión y retención legal;</w:t>
      </w:r>
    </w:p>
    <w:p>
      <w:pPr>
        <w:numPr>
          <w:ilvl w:val="0"/>
          <w:numId w:val="1090"/>
        </w:numPr>
        <w:pStyle w:val="Compact"/>
      </w:pPr>
      <w:r>
        <w:t xml:space="preserve">controles de integridad y pruebas de manipulación;</w:t>
      </w:r>
    </w:p>
    <w:p>
      <w:pPr>
        <w:numPr>
          <w:ilvl w:val="0"/>
          <w:numId w:val="1090"/>
        </w:numPr>
        <w:pStyle w:val="Compact"/>
      </w:pPr>
      <w:r>
        <w:t xml:space="preserve">los registros de seguimiento y revisión;</w:t>
      </w:r>
    </w:p>
    <w:p>
      <w:pPr>
        <w:numPr>
          <w:ilvl w:val="0"/>
          <w:numId w:val="1090"/>
        </w:numPr>
        <w:pStyle w:val="Compact"/>
      </w:pPr>
      <w:r>
        <w:t xml:space="preserve">los vínculos entre incidentes y medidas correctivas;</w:t>
      </w:r>
    </w:p>
    <w:p>
      <w:pPr>
        <w:numPr>
          <w:ilvl w:val="0"/>
          <w:numId w:val="1090"/>
        </w:numPr>
        <w:pStyle w:val="Compact"/>
      </w:pPr>
      <w:r>
        <w:t xml:space="preserve">evaluación de la privacidad.</w:t>
      </w:r>
    </w:p>
    <w:bookmarkEnd w:id="390"/>
    <w:bookmarkStart w:id="391" w:name="prueba-de-auditoría-35"/>
    <w:p>
      <w:pPr>
        <w:pStyle w:val="Heading2"/>
      </w:pPr>
      <w:r>
        <w:rPr>
          <w:rStyle w:val="SectionNumber"/>
        </w:rPr>
        <w:t xml:space="preserve">1.348</w:t>
      </w:r>
      <w:r>
        <w:tab/>
      </w:r>
      <w:r>
        <w:t xml:space="preserve">Prueba de auditoría</w:t>
      </w:r>
    </w:p>
    <w:p>
      <w:pPr>
        <w:pStyle w:val="FirstParagraph"/>
      </w:pPr>
      <w:r>
        <w:t xml:space="preserve">Seleccione una muestra de eventos del sistema de alto riesgo y confirme que los registros son generados, completos, vinculados a versiones, protegidos contra cambios no autorizados, accesibles a revisores autorizados, retenidos bajo un cronograma aprobado, y usados en monitoreo e investigación de incidentes.</w:t>
      </w:r>
    </w:p>
    <w:bookmarkEnd w:id="391"/>
    <w:bookmarkStart w:id="392" w:name="referencias-jurídicas-primarias-8"/>
    <w:p>
      <w:pPr>
        <w:pStyle w:val="Heading2"/>
      </w:pPr>
      <w:r>
        <w:rPr>
          <w:rStyle w:val="SectionNumber"/>
        </w:rPr>
        <w:t xml:space="preserve">1.349</w:t>
      </w:r>
      <w:r>
        <w:tab/>
      </w:r>
      <w:r>
        <w:t xml:space="preserve">Referencias jurídicas primarias</w:t>
      </w:r>
    </w:p>
    <w:p>
      <w:pPr>
        <w:numPr>
          <w:ilvl w:val="0"/>
          <w:numId w:val="1091"/>
        </w:numPr>
        <w:pStyle w:val="Compact"/>
      </w:pPr>
      <w:r>
        <w:t xml:space="preserve">Reglamento (UE) 2024/1689, modificado: artículo 12 y obligaciones de los agentes aplicables en materia de conservación y acceso de troncos.</w:t>
      </w:r>
    </w:p>
    <w:p>
      <w:pPr>
        <w:numPr>
          <w:ilvl w:val="0"/>
          <w:numId w:val="1091"/>
        </w:numPr>
        <w:pStyle w:val="Compact"/>
      </w:pPr>
      <w:r>
        <w:t xml:space="preserve">RGPD y normas de conservación específicas del sector cuando se trate de datos personales o registros regulados.</w:t>
      </w:r>
    </w:p>
    <w:p>
      <w:pPr>
        <w:numPr>
          <w:ilvl w:val="0"/>
          <w:numId w:val="1091"/>
        </w:numPr>
        <w:pStyle w:val="Compact"/>
      </w:pPr>
      <w:r>
        <w:t xml:space="preserve">Los actuales controles consolidados de texto EUR-Lex sobre los resúmenes antiguos.</w:t>
      </w:r>
    </w:p>
    <w:bookmarkEnd w:id="392"/>
    <w:bookmarkStart w:id="393" w:name="X4a54102689f127b5c1854d38c8c1273f8b5f434"/>
    <w:p>
      <w:pPr>
        <w:pStyle w:val="Heading2"/>
      </w:pPr>
      <w:r>
        <w:rPr>
          <w:rStyle w:val="SectionNumber"/>
        </w:rPr>
        <w:t xml:space="preserve">1.350</w:t>
      </w:r>
      <w:r>
        <w:tab/>
      </w:r>
      <w:r>
        <w:t xml:space="preserve">Capítulo 41 — Transparencia e instrucciones de uso</w:t>
      </w:r>
    </w:p>
    <w:p>
      <w:pPr>
        <w:pStyle w:val="BlockText"/>
      </w:pPr>
      <w:r>
        <w:rPr>
          <w:bCs/>
          <w:b/>
        </w:rPr>
        <w:t xml:space="preserve">Estatus legal:</w:t>
      </w:r>
      <w:r>
        <w:t xml:space="preserve"> </w:t>
      </w:r>
      <w:r>
        <w:t xml:space="preserve">Corregido Maestro Inglés para la consolidación. Este archivo controla el lenguaje de borrador anterior del Capítulo 41 en conflicto.</w:t>
      </w:r>
    </w:p>
    <w:bookmarkEnd w:id="393"/>
    <w:bookmarkStart w:id="394" w:name="requisito-39"/>
    <w:p>
      <w:pPr>
        <w:pStyle w:val="Heading2"/>
      </w:pPr>
      <w:r>
        <w:rPr>
          <w:rStyle w:val="SectionNumber"/>
        </w:rPr>
        <w:t xml:space="preserve">1.351</w:t>
      </w:r>
      <w:r>
        <w:tab/>
      </w:r>
      <w:r>
        <w:t xml:space="preserve">Requisito</w:t>
      </w:r>
    </w:p>
    <w:p>
      <w:pPr>
        <w:pStyle w:val="FirstParagraph"/>
      </w:pPr>
      <w:r>
        <w:t xml:space="preserve">Los sistemas de IA de alto riesgo deben ser lo suficientemente transparentes para permitir a los implementadores interpretar la salida del sistema y utilizarlo adecuadamente. Los proveedores deben proporcionar instrucciones claras, completas, correctas y accesibles de uso que contengan la información requerida por el Reglamento (UE) 2024/1689, en su versión modificada.</w:t>
      </w:r>
    </w:p>
    <w:bookmarkEnd w:id="394"/>
    <w:bookmarkStart w:id="395" w:name="explicación-en-lenguaje-sencillo-36"/>
    <w:p>
      <w:pPr>
        <w:pStyle w:val="Heading2"/>
      </w:pPr>
      <w:r>
        <w:rPr>
          <w:rStyle w:val="SectionNumber"/>
        </w:rPr>
        <w:t xml:space="preserve">1.352</w:t>
      </w:r>
      <w:r>
        <w:tab/>
      </w:r>
      <w:r>
        <w:t xml:space="preserve">Explicación en lenguaje sencillo</w:t>
      </w:r>
    </w:p>
    <w:p>
      <w:pPr>
        <w:pStyle w:val="FirstParagraph"/>
      </w:pPr>
      <w:r>
        <w:t xml:space="preserve">Un implementador no puede operar responsablemente un sistema de IA de alto riesgo sin entender lo que el sistema está diseñado para hacer, lo bien que funciona, donde puede fallar, lo que se requiere supervisión humana, y qué condiciones técnicas y organizativas deben mantenerse. Las instrucciones de uso son, por lo tanto, parte de la evidencia de cumplimiento, no material de marketing ordinario.</w:t>
      </w:r>
    </w:p>
    <w:bookmarkEnd w:id="395"/>
    <w:bookmarkStart w:id="396" w:name="contenido-exigido"/>
    <w:p>
      <w:pPr>
        <w:pStyle w:val="Heading2"/>
      </w:pPr>
      <w:r>
        <w:rPr>
          <w:rStyle w:val="SectionNumber"/>
        </w:rPr>
        <w:t xml:space="preserve">1.353</w:t>
      </w:r>
      <w:r>
        <w:tab/>
      </w:r>
      <w:r>
        <w:t xml:space="preserve">Contenido exigido</w:t>
      </w:r>
    </w:p>
    <w:p>
      <w:pPr>
        <w:pStyle w:val="FirstParagraph"/>
      </w:pPr>
      <w:r>
        <w:t xml:space="preserve">Las instrucciones deberán referirse, según proceda:</w:t>
      </w:r>
    </w:p>
    <w:p>
      <w:pPr>
        <w:numPr>
          <w:ilvl w:val="0"/>
          <w:numId w:val="1092"/>
        </w:numPr>
        <w:pStyle w:val="Compact"/>
      </w:pPr>
      <w:r>
        <w:t xml:space="preserve">la identidad del proveedor y la información de contacto;</w:t>
      </w:r>
    </w:p>
    <w:p>
      <w:pPr>
        <w:numPr>
          <w:ilvl w:val="0"/>
          <w:numId w:val="1092"/>
        </w:numPr>
        <w:pStyle w:val="Compact"/>
      </w:pPr>
      <w:r>
        <w:t xml:space="preserve">identidad del sistema, versión, finalidad prevista y usos prohibidos o no justificados;</w:t>
      </w:r>
    </w:p>
    <w:p>
      <w:pPr>
        <w:numPr>
          <w:ilvl w:val="0"/>
          <w:numId w:val="1092"/>
        </w:numPr>
        <w:pStyle w:val="Compact"/>
      </w:pPr>
      <w:r>
        <w:t xml:space="preserve">características, capacidades, limitaciones y uso indebido previsible;</w:t>
      </w:r>
    </w:p>
    <w:p>
      <w:pPr>
        <w:numPr>
          <w:ilvl w:val="0"/>
          <w:numId w:val="1092"/>
        </w:numPr>
        <w:pStyle w:val="Compact"/>
      </w:pPr>
      <w:r>
        <w:t xml:space="preserve">precisión, robustez, ciberseguridad y limitaciones de rendimiento conocidas;</w:t>
      </w:r>
    </w:p>
    <w:p>
      <w:pPr>
        <w:numPr>
          <w:ilvl w:val="0"/>
          <w:numId w:val="1092"/>
        </w:numPr>
        <w:pStyle w:val="Compact"/>
      </w:pPr>
      <w:r>
        <w:t xml:space="preserve">los datos pertinentes, las entradas, el entorno, el hardware, los programas informáticos y los requisitos de dependencia;</w:t>
      </w:r>
    </w:p>
    <w:p>
      <w:pPr>
        <w:numPr>
          <w:ilvl w:val="0"/>
          <w:numId w:val="1092"/>
        </w:numPr>
        <w:pStyle w:val="Compact"/>
      </w:pPr>
      <w:r>
        <w:t xml:space="preserve">las medidas de supervisión humana, la competencia del operador, la intervención, la anulación y las condiciones de parada;</w:t>
      </w:r>
    </w:p>
    <w:p>
      <w:pPr>
        <w:numPr>
          <w:ilvl w:val="0"/>
          <w:numId w:val="1092"/>
        </w:numPr>
        <w:pStyle w:val="Compact"/>
      </w:pPr>
      <w:r>
        <w:t xml:space="preserve">interpretación de productos, puntuaciones, medidas de confianza, advertencias y umbrales;</w:t>
      </w:r>
    </w:p>
    <w:p>
      <w:pPr>
        <w:numPr>
          <w:ilvl w:val="0"/>
          <w:numId w:val="1092"/>
        </w:numPr>
        <w:pStyle w:val="Compact"/>
      </w:pPr>
      <w:r>
        <w:t xml:space="preserve">los procedimientos de registro, supervisión, mantenimiento, actualización e incidentes;</w:t>
      </w:r>
    </w:p>
    <w:p>
      <w:pPr>
        <w:numPr>
          <w:ilvl w:val="0"/>
          <w:numId w:val="1092"/>
        </w:numPr>
        <w:pStyle w:val="Compact"/>
      </w:pPr>
      <w:r>
        <w:t xml:space="preserve">la vida útil esperada y el servicio o el apoyo necesarios;</w:t>
      </w:r>
    </w:p>
    <w:p>
      <w:pPr>
        <w:numPr>
          <w:ilvl w:val="0"/>
          <w:numId w:val="1092"/>
        </w:numPr>
        <w:pStyle w:val="Compact"/>
      </w:pPr>
      <w:r>
        <w:t xml:space="preserve">cambios que requieran reevaluación, revalidación o consulta con el proveedor.</w:t>
      </w:r>
    </w:p>
    <w:bookmarkEnd w:id="396"/>
    <w:bookmarkStart w:id="397" w:name="usabilidad-y-accesibilidad"/>
    <w:p>
      <w:pPr>
        <w:pStyle w:val="Heading2"/>
      </w:pPr>
      <w:r>
        <w:rPr>
          <w:rStyle w:val="SectionNumber"/>
        </w:rPr>
        <w:t xml:space="preserve">1.354</w:t>
      </w:r>
      <w:r>
        <w:tab/>
      </w:r>
      <w:r>
        <w:t xml:space="preserve">Usabilidad y accesibilidad</w:t>
      </w:r>
    </w:p>
    <w:p>
      <w:pPr>
        <w:pStyle w:val="FirstParagraph"/>
      </w:pPr>
      <w:r>
        <w:t xml:space="preserve">Las instrucciones deben ser comprensibles para los usuarios profesionales previstos. El lenguaje jurídico o técnico denso debe complementarse con orientación operativa, ejemplos de flujo de trabajo, advertencias e instrucciones de escalada.</w:t>
      </w:r>
    </w:p>
    <w:bookmarkEnd w:id="397"/>
    <w:bookmarkStart w:id="398" w:name="ejemplo-de-globalway-34"/>
    <w:p>
      <w:pPr>
        <w:pStyle w:val="Heading2"/>
      </w:pPr>
      <w:r>
        <w:rPr>
          <w:rStyle w:val="SectionNumber"/>
        </w:rPr>
        <w:t xml:space="preserve">1.355</w:t>
      </w:r>
      <w:r>
        <w:tab/>
      </w:r>
      <w:r>
        <w:t xml:space="preserve">Ejemplo de GlobalWay</w:t>
      </w:r>
    </w:p>
    <w:p>
      <w:pPr>
        <w:pStyle w:val="FirstParagraph"/>
      </w:pPr>
      <w:r>
        <w:t xml:space="preserve">El equipo de reclutamiento de GlobalWay recibe instrucciones controladas que describen el uso permitido de la contratación-apoyo, usos excluidos, insumos de datos validados, limitaciones de desempeño de subgrupos, requisitos de revisión humana, procedimientos de anulación, escalada de quejas, monitoreo de expectativas y acciones requeridas después de las actualizaciones del proveedor.</w:t>
      </w:r>
    </w:p>
    <w:bookmarkEnd w:id="398"/>
    <w:bookmarkStart w:id="399" w:name="actividad-de-control-35"/>
    <w:p>
      <w:pPr>
        <w:pStyle w:val="Heading2"/>
      </w:pPr>
      <w:r>
        <w:rPr>
          <w:rStyle w:val="SectionNumber"/>
        </w:rPr>
        <w:t xml:space="preserve">1.356</w:t>
      </w:r>
      <w:r>
        <w:tab/>
      </w:r>
      <w:r>
        <w:t xml:space="preserve">Actividad de control</w:t>
      </w:r>
    </w:p>
    <w:p>
      <w:pPr>
        <w:pStyle w:val="FirstParagraph"/>
      </w:pPr>
      <w:r>
        <w:t xml:space="preserve">El proveedor debe mantener instrucciones controladas por versiones vinculadas a cada versión del sistema liberada. El implementador debe confirmar antes de usar que las instrucciones son completas, comprendidas, implementadas operacionalmente y reflejadas en entrenamiento, procedimientos, controles de acceso y monitoreo.</w:t>
      </w:r>
    </w:p>
    <w:bookmarkEnd w:id="399"/>
    <w:bookmarkStart w:id="400" w:name="pruebas-40"/>
    <w:p>
      <w:pPr>
        <w:pStyle w:val="Heading2"/>
      </w:pPr>
      <w:r>
        <w:rPr>
          <w:rStyle w:val="SectionNumber"/>
        </w:rPr>
        <w:t xml:space="preserve">1.357</w:t>
      </w:r>
      <w:r>
        <w:tab/>
      </w:r>
      <w:r>
        <w:t xml:space="preserve">Pruebas</w:t>
      </w:r>
    </w:p>
    <w:p>
      <w:pPr>
        <w:numPr>
          <w:ilvl w:val="0"/>
          <w:numId w:val="1093"/>
        </w:numPr>
        <w:pStyle w:val="Compact"/>
      </w:pPr>
      <w:r>
        <w:t xml:space="preserve">instrucciones de uso aprobadas;</w:t>
      </w:r>
    </w:p>
    <w:p>
      <w:pPr>
        <w:numPr>
          <w:ilvl w:val="0"/>
          <w:numId w:val="1093"/>
        </w:numPr>
        <w:pStyle w:val="Compact"/>
      </w:pPr>
      <w:r>
        <w:t xml:space="preserve">versión y enlace de liberación;</w:t>
      </w:r>
    </w:p>
    <w:p>
      <w:pPr>
        <w:numPr>
          <w:ilvl w:val="0"/>
          <w:numId w:val="1093"/>
        </w:numPr>
        <w:pStyle w:val="Compact"/>
      </w:pPr>
      <w:r>
        <w:t xml:space="preserve">registro de limitación y advertencia;</w:t>
      </w:r>
    </w:p>
    <w:p>
      <w:pPr>
        <w:numPr>
          <w:ilvl w:val="0"/>
          <w:numId w:val="1093"/>
        </w:numPr>
        <w:pStyle w:val="Compact"/>
      </w:pPr>
      <w:r>
        <w:t xml:space="preserve">procedimientos del operador;</w:t>
      </w:r>
    </w:p>
    <w:p>
      <w:pPr>
        <w:numPr>
          <w:ilvl w:val="0"/>
          <w:numId w:val="1093"/>
        </w:numPr>
        <w:pStyle w:val="Compact"/>
      </w:pPr>
      <w:r>
        <w:t xml:space="preserve">los registros de formación y competencia;</w:t>
      </w:r>
    </w:p>
    <w:p>
      <w:pPr>
        <w:numPr>
          <w:ilvl w:val="0"/>
          <w:numId w:val="1093"/>
        </w:numPr>
        <w:pStyle w:val="Compact"/>
      </w:pPr>
      <w:r>
        <w:t xml:space="preserve">registros de acuse de recibo o aceptación;</w:t>
      </w:r>
    </w:p>
    <w:p>
      <w:pPr>
        <w:numPr>
          <w:ilvl w:val="0"/>
          <w:numId w:val="1093"/>
        </w:numPr>
        <w:pStyle w:val="Compact"/>
      </w:pPr>
      <w:r>
        <w:t xml:space="preserve">revisión de la accesibilidad;</w:t>
      </w:r>
    </w:p>
    <w:p>
      <w:pPr>
        <w:numPr>
          <w:ilvl w:val="0"/>
          <w:numId w:val="1093"/>
        </w:numPr>
        <w:pStyle w:val="Compact"/>
      </w:pPr>
      <w:r>
        <w:t xml:space="preserve">cambios en las notificaciones;</w:t>
      </w:r>
    </w:p>
    <w:p>
      <w:pPr>
        <w:numPr>
          <w:ilvl w:val="0"/>
          <w:numId w:val="1093"/>
        </w:numPr>
        <w:pStyle w:val="Compact"/>
      </w:pPr>
      <w:r>
        <w:t xml:space="preserve">procedimientos de vigilancia e incidentes.</w:t>
      </w:r>
    </w:p>
    <w:bookmarkEnd w:id="400"/>
    <w:bookmarkStart w:id="401" w:name="prueba-de-auditoría-36"/>
    <w:p>
      <w:pPr>
        <w:pStyle w:val="Heading2"/>
      </w:pPr>
      <w:r>
        <w:rPr>
          <w:rStyle w:val="SectionNumber"/>
        </w:rPr>
        <w:t xml:space="preserve">1.358</w:t>
      </w:r>
      <w:r>
        <w:tab/>
      </w:r>
      <w:r>
        <w:t xml:space="preserve">Prueba de auditoría</w:t>
      </w:r>
    </w:p>
    <w:p>
      <w:pPr>
        <w:pStyle w:val="FirstParagraph"/>
      </w:pPr>
      <w:r>
        <w:t xml:space="preserve">Seleccione un sistema de IA de alto riesgo implementado. Confirme que las instrucciones actuales fueron suministradas antes de su uso, aborde el contenido legal aplicable, coincida con la versión implementada, sean comprensibles para los operadores y se implementen en procedimientos operativos, entrenamiento, supervisión y monitoreo.</w:t>
      </w:r>
    </w:p>
    <w:bookmarkEnd w:id="401"/>
    <w:bookmarkStart w:id="402" w:name="referencias-jurídicas-primarias-9"/>
    <w:p>
      <w:pPr>
        <w:pStyle w:val="Heading2"/>
      </w:pPr>
      <w:r>
        <w:rPr>
          <w:rStyle w:val="SectionNumber"/>
        </w:rPr>
        <w:t xml:space="preserve">1.359</w:t>
      </w:r>
      <w:r>
        <w:tab/>
      </w:r>
      <w:r>
        <w:t xml:space="preserve">Referencias jurídicas primarias</w:t>
      </w:r>
    </w:p>
    <w:p>
      <w:pPr>
        <w:numPr>
          <w:ilvl w:val="0"/>
          <w:numId w:val="1094"/>
        </w:numPr>
        <w:pStyle w:val="Compact"/>
      </w:pPr>
      <w:r>
        <w:t xml:space="preserve">Reglamento (UE) 2024/1689, en su versión modificada: artículo 13 y obligaciones relacionadas con el proveedor y el despliegue.</w:t>
      </w:r>
    </w:p>
    <w:p>
      <w:pPr>
        <w:numPr>
          <w:ilvl w:val="0"/>
          <w:numId w:val="1094"/>
        </w:numPr>
        <w:pStyle w:val="Compact"/>
      </w:pPr>
      <w:r>
        <w:t xml:space="preserve">Los actuales controles consolidados de texto EUR-Lex sobre los resúmenes antiguos.</w:t>
      </w:r>
    </w:p>
    <w:bookmarkEnd w:id="402"/>
    <w:bookmarkStart w:id="403" w:name="capítulo-42-supervisión-humana"/>
    <w:p>
      <w:pPr>
        <w:pStyle w:val="Heading2"/>
      </w:pPr>
      <w:r>
        <w:rPr>
          <w:rStyle w:val="SectionNumber"/>
        </w:rPr>
        <w:t xml:space="preserve">1.360</w:t>
      </w:r>
      <w:r>
        <w:tab/>
      </w:r>
      <w:r>
        <w:t xml:space="preserve">Capítulo 42 — Supervisión humana</w:t>
      </w:r>
    </w:p>
    <w:p>
      <w:pPr>
        <w:pStyle w:val="BlockText"/>
      </w:pPr>
      <w:r>
        <w:rPr>
          <w:bCs/>
          <w:b/>
        </w:rPr>
        <w:t xml:space="preserve">Estatus legal:</w:t>
      </w:r>
      <w:r>
        <w:t xml:space="preserve"> </w:t>
      </w:r>
      <w:r>
        <w:t xml:space="preserve">Corregido Maestro Inglés para la consolidación. Este archivo controla el lenguaje de borrador del Capítulo 42 anterior.</w:t>
      </w:r>
    </w:p>
    <w:bookmarkEnd w:id="403"/>
    <w:bookmarkStart w:id="404" w:name="requisito-40"/>
    <w:p>
      <w:pPr>
        <w:pStyle w:val="Heading2"/>
      </w:pPr>
      <w:r>
        <w:rPr>
          <w:rStyle w:val="SectionNumber"/>
        </w:rPr>
        <w:t xml:space="preserve">1.361</w:t>
      </w:r>
      <w:r>
        <w:tab/>
      </w:r>
      <w:r>
        <w:t xml:space="preserve">Requisito</w:t>
      </w:r>
    </w:p>
    <w:p>
      <w:pPr>
        <w:pStyle w:val="FirstParagraph"/>
      </w:pPr>
      <w:r>
        <w:t xml:space="preserve">Los sistemas de IA de alto riesgo deben diseñarse y desarrollarse para que las personas físicas puedan supervisarlos eficazmente durante su uso. Las medidas de supervisión deben ser proporcionales a los riesgos, la autonomía, el contexto y las consecuencias previsibles del sistema.</w:t>
      </w:r>
    </w:p>
    <w:bookmarkEnd w:id="404"/>
    <w:bookmarkStart w:id="405" w:name="explicación-en-lenguaje-sencillo-37"/>
    <w:p>
      <w:pPr>
        <w:pStyle w:val="Heading2"/>
      </w:pPr>
      <w:r>
        <w:rPr>
          <w:rStyle w:val="SectionNumber"/>
        </w:rPr>
        <w:t xml:space="preserve">1.362</w:t>
      </w:r>
      <w:r>
        <w:tab/>
      </w:r>
      <w:r>
        <w:t xml:space="preserve">Explicación en lenguaje sencillo</w:t>
      </w:r>
    </w:p>
    <w:p>
      <w:pPr>
        <w:pStyle w:val="FirstParagraph"/>
      </w:pPr>
      <w:r>
        <w:t xml:space="preserve">La supervisión humana no se satisface colocando a una persona cerca del proceso o requiriendo un clic final. La persona asignada debe tener suficiente información, competencia, autoridad, tiempo, acceso al sistema, y capacidad práctica para detectar problemas, desafiar salidas, intervenir, anular, detener el uso y aumentar las preocupaciones.</w:t>
      </w:r>
    </w:p>
    <w:p>
      <w:pPr>
        <w:pStyle w:val="BodyText"/>
      </w:pPr>
      <w:r>
        <w:t xml:space="preserve">La supervisión también debe abordar el sesgo de automatización. Los operadores no deben ser presionados para aceptar una salida de IA simplemente porque el sistema lo produjo o porque rechazarlo es inconveniente.</w:t>
      </w:r>
    </w:p>
    <w:bookmarkEnd w:id="405"/>
    <w:bookmarkStart w:id="406" w:name="diseño-de-la-supervisión"/>
    <w:p>
      <w:pPr>
        <w:pStyle w:val="Heading2"/>
      </w:pPr>
      <w:r>
        <w:rPr>
          <w:rStyle w:val="SectionNumber"/>
        </w:rPr>
        <w:t xml:space="preserve">1.363</w:t>
      </w:r>
      <w:r>
        <w:tab/>
      </w:r>
      <w:r>
        <w:t xml:space="preserve">Diseño de la supervisión</w:t>
      </w:r>
    </w:p>
    <w:p>
      <w:pPr>
        <w:pStyle w:val="FirstParagraph"/>
      </w:pPr>
      <w:r>
        <w:t xml:space="preserve">El plan de supervisión debería definir, según proceda:</w:t>
      </w:r>
    </w:p>
    <w:p>
      <w:pPr>
        <w:numPr>
          <w:ilvl w:val="0"/>
          <w:numId w:val="1095"/>
        </w:numPr>
        <w:pStyle w:val="Compact"/>
      </w:pPr>
      <w:r>
        <w:t xml:space="preserve">las decisiones o acciones que requieran revisión humana;</w:t>
      </w:r>
    </w:p>
    <w:p>
      <w:pPr>
        <w:numPr>
          <w:ilvl w:val="0"/>
          <w:numId w:val="1095"/>
        </w:numPr>
        <w:pStyle w:val="Compact"/>
      </w:pPr>
      <w:r>
        <w:t xml:space="preserve">quién ejerce la supervisión y qué cualificaciones se requieren;</w:t>
      </w:r>
    </w:p>
    <w:p>
      <w:pPr>
        <w:numPr>
          <w:ilvl w:val="0"/>
          <w:numId w:val="1095"/>
        </w:numPr>
        <w:pStyle w:val="Compact"/>
      </w:pPr>
      <w:r>
        <w:t xml:space="preserve">información de que disponga el revisor;</w:t>
      </w:r>
    </w:p>
    <w:p>
      <w:pPr>
        <w:numPr>
          <w:ilvl w:val="0"/>
          <w:numId w:val="1095"/>
        </w:numPr>
        <w:pStyle w:val="Compact"/>
      </w:pPr>
      <w:r>
        <w:t xml:space="preserve">umbrales, advertencias, indicadores de confianza y limitaciones conocidas;</w:t>
      </w:r>
    </w:p>
    <w:p>
      <w:pPr>
        <w:numPr>
          <w:ilvl w:val="0"/>
          <w:numId w:val="1095"/>
        </w:numPr>
        <w:pStyle w:val="Compact"/>
      </w:pPr>
      <w:r>
        <w:t xml:space="preserve">intervención, anulación, rechazo, suspensión y suspensión de la autoridad;</w:t>
      </w:r>
    </w:p>
    <w:p>
      <w:pPr>
        <w:numPr>
          <w:ilvl w:val="0"/>
          <w:numId w:val="1095"/>
        </w:numPr>
        <w:pStyle w:val="Compact"/>
      </w:pPr>
      <w:r>
        <w:t xml:space="preserve">rutas de escalada y tiempos de respuesta;</w:t>
      </w:r>
    </w:p>
    <w:p>
      <w:pPr>
        <w:numPr>
          <w:ilvl w:val="0"/>
          <w:numId w:val="1095"/>
        </w:numPr>
        <w:pStyle w:val="Compact"/>
      </w:pPr>
      <w:r>
        <w:t xml:space="preserve">requisitos de revisión dual o de revisión especializada para casos graves;</w:t>
      </w:r>
    </w:p>
    <w:p>
      <w:pPr>
        <w:numPr>
          <w:ilvl w:val="0"/>
          <w:numId w:val="1095"/>
        </w:numPr>
        <w:pStyle w:val="Compact"/>
      </w:pPr>
      <w:r>
        <w:t xml:space="preserve">el volumen de trabajo, la dotación de personal y el tiempo necesario para realizar un examen significativo;</w:t>
      </w:r>
    </w:p>
    <w:p>
      <w:pPr>
        <w:numPr>
          <w:ilvl w:val="0"/>
          <w:numId w:val="1095"/>
        </w:numPr>
        <w:pStyle w:val="Compact"/>
      </w:pPr>
      <w:r>
        <w:t xml:space="preserve">controles contra el sesgo de automatización y el estampado de caucho;</w:t>
      </w:r>
    </w:p>
    <w:p>
      <w:pPr>
        <w:numPr>
          <w:ilvl w:val="0"/>
          <w:numId w:val="1095"/>
        </w:numPr>
        <w:pStyle w:val="Compact"/>
      </w:pPr>
      <w:r>
        <w:t xml:space="preserve">registro de la revisión, anulación, justificación y escalada;</w:t>
      </w:r>
    </w:p>
    <w:p>
      <w:pPr>
        <w:numPr>
          <w:ilvl w:val="0"/>
          <w:numId w:val="1095"/>
        </w:numPr>
        <w:pStyle w:val="Compact"/>
      </w:pPr>
      <w:r>
        <w:t xml:space="preserve">comprobar periódicamente si la supervisión sigue siendo eficaz.</w:t>
      </w:r>
    </w:p>
    <w:bookmarkEnd w:id="406"/>
    <w:bookmarkStart w:id="407" w:name="salvaguardia-biométrica-especial"/>
    <w:p>
      <w:pPr>
        <w:pStyle w:val="Heading2"/>
      </w:pPr>
      <w:r>
        <w:rPr>
          <w:rStyle w:val="SectionNumber"/>
        </w:rPr>
        <w:t xml:space="preserve">1.364</w:t>
      </w:r>
      <w:r>
        <w:tab/>
      </w:r>
      <w:r>
        <w:t xml:space="preserve">Salvaguardia biométrica especial</w:t>
      </w:r>
    </w:p>
    <w:p>
      <w:pPr>
        <w:pStyle w:val="FirstParagraph"/>
      </w:pPr>
      <w:r>
        <w:t xml:space="preserve">Cuando la ley requiera la verificación por al menos dos personas físicas competentes para determinados usos de identificación biométrica, el manual debe preservar esa salvaguardia legal y cualquier excepción aplicable. No debe generalizarse a todos los sistemas biométricos ni omitirse cuando así lo exija la ley.</w:t>
      </w:r>
    </w:p>
    <w:bookmarkEnd w:id="407"/>
    <w:bookmarkStart w:id="408" w:name="ejemplo-de-globalway-35"/>
    <w:p>
      <w:pPr>
        <w:pStyle w:val="Heading2"/>
      </w:pPr>
      <w:r>
        <w:rPr>
          <w:rStyle w:val="SectionNumber"/>
        </w:rPr>
        <w:t xml:space="preserve">1.365</w:t>
      </w:r>
      <w:r>
        <w:tab/>
      </w:r>
      <w:r>
        <w:t xml:space="preserve">Ejemplo de GlobalWay</w:t>
      </w:r>
    </w:p>
    <w:p>
      <w:pPr>
        <w:pStyle w:val="FirstParagraph"/>
      </w:pPr>
      <w:r>
        <w:t xml:space="preserve">El sistema de reclutamiento de GlobalWay puede clasificar las solicitudes, pero no puede rechazar a un candidato automáticamente. Un reclutador entrenado revisa las pruebas pertinentes, puede ignorar la puntuación, registrar la razón de la decisión, y aumenta los resultados anómalos o potencialmente discriminatorios para el cumplimiento de los recursos humanos.</w:t>
      </w:r>
    </w:p>
    <w:bookmarkEnd w:id="408"/>
    <w:bookmarkStart w:id="409" w:name="actividad-de-control-36"/>
    <w:p>
      <w:pPr>
        <w:pStyle w:val="Heading2"/>
      </w:pPr>
      <w:r>
        <w:rPr>
          <w:rStyle w:val="SectionNumber"/>
        </w:rPr>
        <w:t xml:space="preserve">1.366</w:t>
      </w:r>
      <w:r>
        <w:tab/>
      </w:r>
      <w:r>
        <w:t xml:space="preserve">Actividad de control</w:t>
      </w:r>
    </w:p>
    <w:p>
      <w:pPr>
        <w:pStyle w:val="FirstParagraph"/>
      </w:pPr>
      <w:r>
        <w:t xml:space="preserve">El proveedor debe diseñar capacidades de supervisión efectivas y documentarlas en las instrucciones de uso. El implementador debe asignar revisores competentes, otorgarles autoridad, establecer procedimientos viables, monitorear patrones de anulación y escalada, y suspender el uso cuando la supervisión no se pueda realizar de manera efectiva.</w:t>
      </w:r>
    </w:p>
    <w:bookmarkEnd w:id="409"/>
    <w:bookmarkStart w:id="410" w:name="pruebas-41"/>
    <w:p>
      <w:pPr>
        <w:pStyle w:val="Heading2"/>
      </w:pPr>
      <w:r>
        <w:rPr>
          <w:rStyle w:val="SectionNumber"/>
        </w:rPr>
        <w:t xml:space="preserve">1.367</w:t>
      </w:r>
      <w:r>
        <w:tab/>
      </w:r>
      <w:r>
        <w:t xml:space="preserve">Pruebas</w:t>
      </w:r>
    </w:p>
    <w:p>
      <w:pPr>
        <w:numPr>
          <w:ilvl w:val="0"/>
          <w:numId w:val="1096"/>
        </w:numPr>
        <w:pStyle w:val="Compact"/>
      </w:pPr>
      <w:r>
        <w:t xml:space="preserve">plan de supervisión humana;</w:t>
      </w:r>
    </w:p>
    <w:p>
      <w:pPr>
        <w:numPr>
          <w:ilvl w:val="0"/>
          <w:numId w:val="1096"/>
        </w:numPr>
        <w:pStyle w:val="Compact"/>
      </w:pPr>
      <w:r>
        <w:t xml:space="preserve">el papel y los requisitos de competencia;</w:t>
      </w:r>
    </w:p>
    <w:p>
      <w:pPr>
        <w:numPr>
          <w:ilvl w:val="0"/>
          <w:numId w:val="1096"/>
        </w:numPr>
        <w:pStyle w:val="Compact"/>
      </w:pPr>
      <w:r>
        <w:t xml:space="preserve">los registros de formación y evaluación;</w:t>
      </w:r>
    </w:p>
    <w:p>
      <w:pPr>
        <w:numPr>
          <w:ilvl w:val="0"/>
          <w:numId w:val="1096"/>
        </w:numPr>
        <w:pStyle w:val="Compact"/>
      </w:pPr>
      <w:r>
        <w:t xml:space="preserve">procedimientos del operador;</w:t>
      </w:r>
    </w:p>
    <w:p>
      <w:pPr>
        <w:numPr>
          <w:ilvl w:val="0"/>
          <w:numId w:val="1096"/>
        </w:numPr>
        <w:pStyle w:val="Compact"/>
      </w:pPr>
      <w:r>
        <w:t xml:space="preserve">diseño de interfaz y advertencia;</w:t>
      </w:r>
    </w:p>
    <w:p>
      <w:pPr>
        <w:numPr>
          <w:ilvl w:val="0"/>
          <w:numId w:val="1096"/>
        </w:numPr>
        <w:pStyle w:val="Compact"/>
      </w:pPr>
      <w:r>
        <w:t xml:space="preserve">anular y detener los controles;</w:t>
      </w:r>
    </w:p>
    <w:p>
      <w:pPr>
        <w:numPr>
          <w:ilvl w:val="0"/>
          <w:numId w:val="1096"/>
        </w:numPr>
        <w:pStyle w:val="Compact"/>
      </w:pPr>
      <w:r>
        <w:t xml:space="preserve">el volumen de trabajo y el análisis de la plantilla;</w:t>
      </w:r>
    </w:p>
    <w:p>
      <w:pPr>
        <w:numPr>
          <w:ilvl w:val="0"/>
          <w:numId w:val="1096"/>
        </w:numPr>
        <w:pStyle w:val="Compact"/>
      </w:pPr>
      <w:r>
        <w:t xml:space="preserve">los registros de revisión y escalada;</w:t>
      </w:r>
    </w:p>
    <w:p>
      <w:pPr>
        <w:numPr>
          <w:ilvl w:val="0"/>
          <w:numId w:val="1096"/>
        </w:numPr>
        <w:pStyle w:val="Compact"/>
      </w:pPr>
      <w:r>
        <w:t xml:space="preserve">pruebas de automatismo-sabiduría;</w:t>
      </w:r>
    </w:p>
    <w:p>
      <w:pPr>
        <w:numPr>
          <w:ilvl w:val="0"/>
          <w:numId w:val="1096"/>
        </w:numPr>
        <w:pStyle w:val="Compact"/>
      </w:pPr>
      <w:r>
        <w:t xml:space="preserve">examen periódico de la eficacia.</w:t>
      </w:r>
    </w:p>
    <w:bookmarkEnd w:id="410"/>
    <w:bookmarkStart w:id="411" w:name="prueba-de-auditoría-37"/>
    <w:p>
      <w:pPr>
        <w:pStyle w:val="Heading2"/>
      </w:pPr>
      <w:r>
        <w:rPr>
          <w:rStyle w:val="SectionNumber"/>
        </w:rPr>
        <w:t xml:space="preserve">1.368</w:t>
      </w:r>
      <w:r>
        <w:tab/>
      </w:r>
      <w:r>
        <w:t xml:space="preserve">Prueba de auditoría</w:t>
      </w:r>
    </w:p>
    <w:p>
      <w:pPr>
        <w:pStyle w:val="FirstParagraph"/>
      </w:pPr>
      <w:r>
        <w:t xml:space="preserve">Observe una muestra de decisiones reales o simuladas. Confirme que los revisores entienden las limitaciones del sistema, pueden evaluar independientemente la salida, tener autoridad y tiempo para intervenir, utilizar mecanismos de anulación y escalada correctamente, y producir registros que muestren supervisión significativa en lugar de nominal.</w:t>
      </w:r>
    </w:p>
    <w:bookmarkEnd w:id="411"/>
    <w:bookmarkStart w:id="412" w:name="referencias-jurídicas-primarias-10"/>
    <w:p>
      <w:pPr>
        <w:pStyle w:val="Heading2"/>
      </w:pPr>
      <w:r>
        <w:rPr>
          <w:rStyle w:val="SectionNumber"/>
        </w:rPr>
        <w:t xml:space="preserve">1.369</w:t>
      </w:r>
      <w:r>
        <w:tab/>
      </w:r>
      <w:r>
        <w:t xml:space="preserve">Referencias jurídicas primarias</w:t>
      </w:r>
    </w:p>
    <w:p>
      <w:pPr>
        <w:numPr>
          <w:ilvl w:val="0"/>
          <w:numId w:val="1097"/>
        </w:numPr>
        <w:pStyle w:val="Compact"/>
      </w:pPr>
      <w:r>
        <w:t xml:space="preserve">Reglamento (UE) 2024/1689, en su versión modificada: artículo 14 y obligaciones de despliegue conexas.</w:t>
      </w:r>
    </w:p>
    <w:p>
      <w:pPr>
        <w:numPr>
          <w:ilvl w:val="0"/>
          <w:numId w:val="1097"/>
        </w:numPr>
        <w:pStyle w:val="Compact"/>
      </w:pPr>
      <w:r>
        <w:t xml:space="preserve">Los actuales controles consolidados de texto EUR-Lex sobre los resúmenes antiguos.</w:t>
      </w:r>
    </w:p>
    <w:bookmarkEnd w:id="412"/>
    <w:bookmarkStart w:id="413" w:name="X1c9f326ea9a6e08c5fe01bf0e3a5234cdba8464"/>
    <w:p>
      <w:pPr>
        <w:pStyle w:val="Heading2"/>
      </w:pPr>
      <w:r>
        <w:rPr>
          <w:rStyle w:val="SectionNumber"/>
        </w:rPr>
        <w:t xml:space="preserve">1.370</w:t>
      </w:r>
      <w:r>
        <w:tab/>
      </w:r>
      <w:r>
        <w:t xml:space="preserve">Capítulo 43 — Precisión, solidez, ciberseguridad y resiliencia</w:t>
      </w:r>
    </w:p>
    <w:p>
      <w:pPr>
        <w:pStyle w:val="BlockText"/>
      </w:pPr>
      <w:r>
        <w:rPr>
          <w:bCs/>
          <w:b/>
        </w:rPr>
        <w:t xml:space="preserve">Estatus legal:</w:t>
      </w:r>
      <w:r>
        <w:t xml:space="preserve"> </w:t>
      </w:r>
      <w:r>
        <w:t xml:space="preserve">Corregido Maestro Inglés para la consolidación. Este archivo controla el lenguaje de borrador anterior del Capítulo 43.</w:t>
      </w:r>
    </w:p>
    <w:bookmarkEnd w:id="413"/>
    <w:bookmarkStart w:id="414" w:name="requisito-41"/>
    <w:p>
      <w:pPr>
        <w:pStyle w:val="Heading2"/>
      </w:pPr>
      <w:r>
        <w:rPr>
          <w:rStyle w:val="SectionNumber"/>
        </w:rPr>
        <w:t xml:space="preserve">1.371</w:t>
      </w:r>
      <w:r>
        <w:tab/>
      </w:r>
      <w:r>
        <w:t xml:space="preserve">Requisito</w:t>
      </w:r>
    </w:p>
    <w:p>
      <w:pPr>
        <w:pStyle w:val="FirstParagraph"/>
      </w:pPr>
      <w:r>
        <w:t xml:space="preserve">Los sistemas de IA de alto riesgo deben alcanzar un nivel adecuado de precisión, robustez y seguridad cibernética y funcionar de manera consistente a lo largo de su ciclo de vida. El diseño debe abordar errores, fallas, inconsistencias, interferencias maliciosas, bucles de retroalimentación y mal uso razonablemente previsible a la luz del propósito y riesgo previstos.</w:t>
      </w:r>
    </w:p>
    <w:bookmarkEnd w:id="414"/>
    <w:bookmarkStart w:id="415" w:name="explicación-en-lenguaje-sencillo-38"/>
    <w:p>
      <w:pPr>
        <w:pStyle w:val="Heading2"/>
      </w:pPr>
      <w:r>
        <w:rPr>
          <w:rStyle w:val="SectionNumber"/>
        </w:rPr>
        <w:t xml:space="preserve">1.372</w:t>
      </w:r>
      <w:r>
        <w:tab/>
      </w:r>
      <w:r>
        <w:t xml:space="preserve">Explicación en lenguaje sencillo</w:t>
      </w:r>
    </w:p>
    <w:p>
      <w:pPr>
        <w:pStyle w:val="FirstParagraph"/>
      </w:pPr>
      <w:r>
        <w:t xml:space="preserve">El cumplimiento no requiere un rendimiento perfecto. Requiere objetivos de rendimiento defendibles, pruebas basadas en riesgos, limitaciones transparentes, diseño seguro, monitoreo y acción correctiva. Las métricas deben reflejar el contexto real de implementación en lugar de solo promedios de laboratorio.</w:t>
      </w:r>
    </w:p>
    <w:bookmarkEnd w:id="415"/>
    <w:bookmarkStart w:id="416" w:name="zonas-de-control-necesarias"/>
    <w:p>
      <w:pPr>
        <w:pStyle w:val="Heading2"/>
      </w:pPr>
      <w:r>
        <w:rPr>
          <w:rStyle w:val="SectionNumber"/>
        </w:rPr>
        <w:t xml:space="preserve">1.373</w:t>
      </w:r>
      <w:r>
        <w:tab/>
      </w:r>
      <w:r>
        <w:t xml:space="preserve">Zonas de control necesarias</w:t>
      </w:r>
    </w:p>
    <w:p>
      <w:pPr>
        <w:pStyle w:val="FirstParagraph"/>
      </w:pPr>
      <w:r>
        <w:t xml:space="preserve">El proveedor debe dirigirse, según proceda:</w:t>
      </w:r>
    </w:p>
    <w:p>
      <w:pPr>
        <w:numPr>
          <w:ilvl w:val="0"/>
          <w:numId w:val="1098"/>
        </w:numPr>
        <w:pStyle w:val="Compact"/>
      </w:pPr>
      <w:r>
        <w:t xml:space="preserve">la precisión definida y las métricas de rendimiento vinculadas a la finalidad prevista;</w:t>
      </w:r>
    </w:p>
    <w:p>
      <w:pPr>
        <w:numPr>
          <w:ilvl w:val="0"/>
          <w:numId w:val="1098"/>
        </w:numPr>
        <w:pStyle w:val="Compact"/>
      </w:pPr>
      <w:r>
        <w:t xml:space="preserve">los umbrales de aceptación y los límites de decisión;</w:t>
      </w:r>
    </w:p>
    <w:p>
      <w:pPr>
        <w:numPr>
          <w:ilvl w:val="0"/>
          <w:numId w:val="1098"/>
        </w:numPr>
        <w:pStyle w:val="Compact"/>
      </w:pPr>
      <w:r>
        <w:t xml:space="preserve">resultados de subgrupos y contextos específicos;</w:t>
      </w:r>
    </w:p>
    <w:p>
      <w:pPr>
        <w:numPr>
          <w:ilvl w:val="0"/>
          <w:numId w:val="1098"/>
        </w:numPr>
        <w:pStyle w:val="Compact"/>
      </w:pPr>
      <w:r>
        <w:t xml:space="preserve">robustez al ruido, falta de datos, desplazamiento de distribución y fallo de componentes;</w:t>
      </w:r>
    </w:p>
    <w:p>
      <w:pPr>
        <w:numPr>
          <w:ilvl w:val="0"/>
          <w:numId w:val="1098"/>
        </w:numPr>
        <w:pStyle w:val="Compact"/>
      </w:pPr>
      <w:r>
        <w:t xml:space="preserve">resistencia a errores, fallas, interrupciones del servicio y fallos de dependencia;</w:t>
      </w:r>
    </w:p>
    <w:p>
      <w:pPr>
        <w:numPr>
          <w:ilvl w:val="0"/>
          <w:numId w:val="1098"/>
        </w:numPr>
        <w:pStyle w:val="Compact"/>
      </w:pPr>
      <w:r>
        <w:t xml:space="preserve">protección contra envenenamiento de datos, ejemplos contradictorios, inyección rápida, manipulación de modelos, extracción y acceso no autorizado;</w:t>
      </w:r>
    </w:p>
    <w:p>
      <w:pPr>
        <w:numPr>
          <w:ilvl w:val="0"/>
          <w:numId w:val="1098"/>
        </w:numPr>
        <w:pStyle w:val="Compact"/>
      </w:pPr>
      <w:r>
        <w:t xml:space="preserve">garantizar el desarrollo, las pruebas, la gestión de la vulnerabilidad y el control del cambio;</w:t>
      </w:r>
    </w:p>
    <w:p>
      <w:pPr>
        <w:numPr>
          <w:ilvl w:val="0"/>
          <w:numId w:val="1098"/>
        </w:numPr>
        <w:pStyle w:val="Compact"/>
      </w:pPr>
      <w:r>
        <w:t xml:space="preserve">riesgos de bucle de retroalimentación para los sistemas que siguen aprendiendo o influyen en los datos futuros;</w:t>
      </w:r>
    </w:p>
    <w:p>
      <w:pPr>
        <w:numPr>
          <w:ilvl w:val="0"/>
          <w:numId w:val="1098"/>
        </w:numPr>
        <w:pStyle w:val="Compact"/>
      </w:pPr>
      <w:r>
        <w:t xml:space="preserve">Retroceso, degradación, retroceso y comportamiento seguro;</w:t>
      </w:r>
    </w:p>
    <w:p>
      <w:pPr>
        <w:numPr>
          <w:ilvl w:val="0"/>
          <w:numId w:val="1098"/>
        </w:numPr>
        <w:pStyle w:val="Compact"/>
      </w:pPr>
      <w:r>
        <w:t xml:space="preserve">seguimiento, respuesta a incidentes y desencadenantes de medidas correctivas.</w:t>
      </w:r>
    </w:p>
    <w:bookmarkEnd w:id="416"/>
    <w:bookmarkStart w:id="417" w:name="métricas-y-divulgación"/>
    <w:p>
      <w:pPr>
        <w:pStyle w:val="Heading2"/>
      </w:pPr>
      <w:r>
        <w:rPr>
          <w:rStyle w:val="SectionNumber"/>
        </w:rPr>
        <w:t xml:space="preserve">1.374</w:t>
      </w:r>
      <w:r>
        <w:tab/>
      </w:r>
      <w:r>
        <w:t xml:space="preserve">Métricas y divulgación</w:t>
      </w:r>
    </w:p>
    <w:p>
      <w:pPr>
        <w:pStyle w:val="FirstParagraph"/>
      </w:pPr>
      <w:r>
        <w:t xml:space="preserve">Las métricas de precisión y robustez deben documentarse en el archivo técnico e instrucciones de uso cuando sea necesario. Las puntuaciones agregadas no deben ocultar los modos de fallo material, las disparidades entre grupos afectados, las condiciones de funcionamiento inseguras o la incertidumbre.</w:t>
      </w:r>
    </w:p>
    <w:bookmarkEnd w:id="417"/>
    <w:bookmarkStart w:id="418" w:name="ejemplo-de-globalway-36"/>
    <w:p>
      <w:pPr>
        <w:pStyle w:val="Heading2"/>
      </w:pPr>
      <w:r>
        <w:rPr>
          <w:rStyle w:val="SectionNumber"/>
        </w:rPr>
        <w:t xml:space="preserve">1.375</w:t>
      </w:r>
      <w:r>
        <w:tab/>
      </w:r>
      <w:r>
        <w:t xml:space="preserve">Ejemplo de GlobalWay</w:t>
      </w:r>
    </w:p>
    <w:p>
      <w:pPr>
        <w:pStyle w:val="FirstParagraph"/>
      </w:pPr>
      <w:r>
        <w:t xml:space="preserve">GlobalWay valida su sistema de contratación utilizando conjuntos de datos relevantes para las funciones y mide patrones falsos positivos y falsos negativos en los grupos de solicitantes pertinentes. También prueba la falta de información, formatos de currículum inusuales, contenido rápido malicioso, interrupciones del proveedor, cambios de modelos y procedimientos de reversión.</w:t>
      </w:r>
    </w:p>
    <w:bookmarkEnd w:id="418"/>
    <w:bookmarkStart w:id="419" w:name="actividad-de-control-37"/>
    <w:p>
      <w:pPr>
        <w:pStyle w:val="Heading2"/>
      </w:pPr>
      <w:r>
        <w:rPr>
          <w:rStyle w:val="SectionNumber"/>
        </w:rPr>
        <w:t xml:space="preserve">1.376</w:t>
      </w:r>
      <w:r>
        <w:tab/>
      </w:r>
      <w:r>
        <w:t xml:space="preserve">Actividad de control</w:t>
      </w:r>
    </w:p>
    <w:p>
      <w:pPr>
        <w:pStyle w:val="FirstParagraph"/>
      </w:pPr>
      <w:r>
        <w:t xml:space="preserve">El proveedor debe aprobar requisitos medibles de rendimiento, robustez y ciberseguridad antes de lanzar y repetir pruebas después de cambios materiales o amenazas emergentes.El implementador debe monitorear el rendimiento en el mundo real, mantener las condiciones de operación requeridas, reportar anomalías graves y suspender el uso cuando se infrinjan umbrales definidos.</w:t>
      </w:r>
    </w:p>
    <w:bookmarkEnd w:id="419"/>
    <w:bookmarkStart w:id="420" w:name="pruebas-42"/>
    <w:p>
      <w:pPr>
        <w:pStyle w:val="Heading2"/>
      </w:pPr>
      <w:r>
        <w:rPr>
          <w:rStyle w:val="SectionNumber"/>
        </w:rPr>
        <w:t xml:space="preserve">1.377</w:t>
      </w:r>
      <w:r>
        <w:tab/>
      </w:r>
      <w:r>
        <w:t xml:space="preserve">Pruebas</w:t>
      </w:r>
    </w:p>
    <w:p>
      <w:pPr>
        <w:numPr>
          <w:ilvl w:val="0"/>
          <w:numId w:val="1099"/>
        </w:numPr>
        <w:pStyle w:val="Compact"/>
      </w:pPr>
      <w:r>
        <w:t xml:space="preserve">requisitos de rendimiento y umbrales;</w:t>
      </w:r>
    </w:p>
    <w:p>
      <w:pPr>
        <w:numPr>
          <w:ilvl w:val="0"/>
          <w:numId w:val="1099"/>
        </w:numPr>
        <w:pStyle w:val="Compact"/>
      </w:pPr>
      <w:r>
        <w:t xml:space="preserve">la validación y los planes de ensayo;</w:t>
      </w:r>
    </w:p>
    <w:p>
      <w:pPr>
        <w:numPr>
          <w:ilvl w:val="0"/>
          <w:numId w:val="1099"/>
        </w:numPr>
        <w:pStyle w:val="Compact"/>
      </w:pPr>
      <w:r>
        <w:t xml:space="preserve">resultados de subgrupos y casos extremos;</w:t>
      </w:r>
    </w:p>
    <w:p>
      <w:pPr>
        <w:numPr>
          <w:ilvl w:val="0"/>
          <w:numId w:val="1099"/>
        </w:numPr>
        <w:pStyle w:val="Compact"/>
      </w:pPr>
      <w:r>
        <w:t xml:space="preserve">la robustez y los resultados de las pruebas de resistencia;</w:t>
      </w:r>
    </w:p>
    <w:p>
      <w:pPr>
        <w:numPr>
          <w:ilvl w:val="0"/>
          <w:numId w:val="1099"/>
        </w:numPr>
        <w:pStyle w:val="Compact"/>
      </w:pPr>
      <w:r>
        <w:t xml:space="preserve">modelo de amenaza y arquitectura de seguridad;</w:t>
      </w:r>
    </w:p>
    <w:p>
      <w:pPr>
        <w:numPr>
          <w:ilvl w:val="0"/>
          <w:numId w:val="1099"/>
        </w:numPr>
        <w:pStyle w:val="Compact"/>
      </w:pPr>
      <w:r>
        <w:t xml:space="preserve">registros de vulnerabilidad y pruebas de penetración;</w:t>
      </w:r>
    </w:p>
    <w:p>
      <w:pPr>
        <w:numPr>
          <w:ilvl w:val="0"/>
          <w:numId w:val="1099"/>
        </w:numPr>
        <w:pStyle w:val="Compact"/>
      </w:pPr>
      <w:r>
        <w:t xml:space="preserve">pruebas de dependencia y resiliencia;</w:t>
      </w:r>
    </w:p>
    <w:p>
      <w:pPr>
        <w:numPr>
          <w:ilvl w:val="0"/>
          <w:numId w:val="1099"/>
        </w:numPr>
        <w:pStyle w:val="Compact"/>
      </w:pPr>
      <w:r>
        <w:t xml:space="preserve">los tableros de control;</w:t>
      </w:r>
    </w:p>
    <w:p>
      <w:pPr>
        <w:numPr>
          <w:ilvl w:val="0"/>
          <w:numId w:val="1099"/>
        </w:numPr>
        <w:pStyle w:val="Compact"/>
      </w:pPr>
      <w:r>
        <w:t xml:space="preserve">registros de incidentes y medidas correctivas;</w:t>
      </w:r>
    </w:p>
    <w:p>
      <w:pPr>
        <w:numPr>
          <w:ilvl w:val="0"/>
          <w:numId w:val="1099"/>
        </w:numPr>
        <w:pStyle w:val="Compact"/>
      </w:pPr>
      <w:r>
        <w:t xml:space="preserve">homologaciones de liberación y reversión.</w:t>
      </w:r>
    </w:p>
    <w:bookmarkEnd w:id="420"/>
    <w:bookmarkStart w:id="421" w:name="prueba-de-auditoría-38"/>
    <w:p>
      <w:pPr>
        <w:pStyle w:val="Heading2"/>
      </w:pPr>
      <w:r>
        <w:rPr>
          <w:rStyle w:val="SectionNumber"/>
        </w:rPr>
        <w:t xml:space="preserve">1.378</w:t>
      </w:r>
      <w:r>
        <w:tab/>
      </w:r>
      <w:r>
        <w:t xml:space="preserve">Prueba de auditoría</w:t>
      </w:r>
    </w:p>
    <w:p>
      <w:pPr>
        <w:pStyle w:val="FirstParagraph"/>
      </w:pPr>
      <w:r>
        <w:t xml:space="preserve">Seleccione un sistema de alto riesgo y verifique que se documentan los requisitos de rendimiento y seguridad, las pruebas reflejan el contexto de despliegue previsto, se revelan los modos de fallo de materiales, se rastrean las vulnerabilidades y anomalías y se investigan, corrigen, restringen o suspenden los umbrales.</w:t>
      </w:r>
    </w:p>
    <w:bookmarkEnd w:id="421"/>
    <w:bookmarkStart w:id="422" w:name="referencias-jurídicas-primarias-11"/>
    <w:p>
      <w:pPr>
        <w:pStyle w:val="Heading2"/>
      </w:pPr>
      <w:r>
        <w:rPr>
          <w:rStyle w:val="SectionNumber"/>
        </w:rPr>
        <w:t xml:space="preserve">1.379</w:t>
      </w:r>
      <w:r>
        <w:tab/>
      </w:r>
      <w:r>
        <w:t xml:space="preserve">Referencias jurídicas primarias</w:t>
      </w:r>
    </w:p>
    <w:p>
      <w:pPr>
        <w:numPr>
          <w:ilvl w:val="0"/>
          <w:numId w:val="1100"/>
        </w:numPr>
        <w:pStyle w:val="Compact"/>
      </w:pPr>
      <w:r>
        <w:t xml:space="preserve">Reglamento (UE) 2024/1689, en su versión modificada: artículo 15 y obligaciones relacionadas con el ciclo de vida, el seguimiento y el proveedor/desplegador.</w:t>
      </w:r>
    </w:p>
    <w:p>
      <w:pPr>
        <w:numPr>
          <w:ilvl w:val="0"/>
          <w:numId w:val="1100"/>
        </w:numPr>
        <w:pStyle w:val="Compact"/>
      </w:pPr>
      <w:r>
        <w:t xml:space="preserve">Los actuales controles consolidados de texto EUR-Lex sobre los resúmenes antiguos.</w:t>
      </w:r>
    </w:p>
    <w:bookmarkEnd w:id="422"/>
    <w:bookmarkStart w:id="423" w:name="capítulo-44-evaluación-de-la-conformidad"/>
    <w:p>
      <w:pPr>
        <w:pStyle w:val="Heading2"/>
      </w:pPr>
      <w:r>
        <w:rPr>
          <w:rStyle w:val="SectionNumber"/>
        </w:rPr>
        <w:t xml:space="preserve">1.380</w:t>
      </w:r>
      <w:r>
        <w:tab/>
      </w:r>
      <w:r>
        <w:t xml:space="preserve">Capítulo 44 — Evaluación de la conformidad</w:t>
      </w:r>
    </w:p>
    <w:p>
      <w:pPr>
        <w:pStyle w:val="BlockText"/>
      </w:pPr>
      <w:r>
        <w:rPr>
          <w:bCs/>
          <w:b/>
        </w:rPr>
        <w:t xml:space="preserve">Estatus legal:</w:t>
      </w:r>
      <w:r>
        <w:t xml:space="preserve"> </w:t>
      </w:r>
      <w:r>
        <w:t xml:space="preserve">Corregido Maestro Inglés para la consolidación. Este archivo controla el lenguaje de borrador anterior del Capítulo 44.</w:t>
      </w:r>
    </w:p>
    <w:bookmarkEnd w:id="423"/>
    <w:bookmarkStart w:id="424" w:name="requisito-42"/>
    <w:p>
      <w:pPr>
        <w:pStyle w:val="Heading2"/>
      </w:pPr>
      <w:r>
        <w:rPr>
          <w:rStyle w:val="SectionNumber"/>
        </w:rPr>
        <w:t xml:space="preserve">1.381</w:t>
      </w:r>
      <w:r>
        <w:tab/>
      </w:r>
      <w:r>
        <w:t xml:space="preserve">Requisito</w:t>
      </w:r>
    </w:p>
    <w:p>
      <w:pPr>
        <w:pStyle w:val="FirstParagraph"/>
      </w:pPr>
      <w:r>
        <w:t xml:space="preserve">Antes de comercializar o poner en servicio un sistema de IA de alto riesgo, el proveedor deberá completar el procedimiento de evaluación de la conformidad aplicable y conservar pruebas de que el sistema cumple los requisitos pertinentes del Reglamento (UE) 2024/1689, en su versión modificada.</w:t>
      </w:r>
    </w:p>
    <w:bookmarkEnd w:id="424"/>
    <w:bookmarkStart w:id="425" w:name="explicación-en-lenguaje-sencillo-39"/>
    <w:p>
      <w:pPr>
        <w:pStyle w:val="Heading2"/>
      </w:pPr>
      <w:r>
        <w:rPr>
          <w:rStyle w:val="SectionNumber"/>
        </w:rPr>
        <w:t xml:space="preserve">1.382</w:t>
      </w:r>
      <w:r>
        <w:tab/>
      </w:r>
      <w:r>
        <w:t xml:space="preserve">Explicación en lenguaje sencillo</w:t>
      </w:r>
    </w:p>
    <w:p>
      <w:pPr>
        <w:pStyle w:val="FirstParagraph"/>
      </w:pPr>
      <w:r>
        <w:t xml:space="preserve">La evaluación de la conformidad es el proceso estructurado utilizado para demostrar que un sistema de IA de alto riesgo cumple los requisitos legales antes de la liberación. La vía de evaluación correcta depende de la base de clasificación, la legislación del sector del producto, el uso de normas armonizadas o especificaciones comunes, y de si es necesaria la evaluación de terceros por un organismo notificado.</w:t>
      </w:r>
    </w:p>
    <w:p>
      <w:pPr>
        <w:pStyle w:val="BodyText"/>
      </w:pPr>
      <w:r>
        <w:t xml:space="preserve">El manual no debe suponer que todos los sistemas de alto riesgo siguen la misma ruta, sino que debe distinguir los sistemas independientes del anexo III de la IA, que es un componente de seguridad de un producto regulado por la legislación del anexo I.</w:t>
      </w:r>
    </w:p>
    <w:bookmarkEnd w:id="425"/>
    <w:bookmarkStart w:id="426" w:name="vía-de-evaluación"/>
    <w:p>
      <w:pPr>
        <w:pStyle w:val="Heading2"/>
      </w:pPr>
      <w:r>
        <w:rPr>
          <w:rStyle w:val="SectionNumber"/>
        </w:rPr>
        <w:t xml:space="preserve">1.383</w:t>
      </w:r>
      <w:r>
        <w:tab/>
      </w:r>
      <w:r>
        <w:t xml:space="preserve">Vía de evaluación</w:t>
      </w:r>
    </w:p>
    <w:p>
      <w:pPr>
        <w:pStyle w:val="FirstParagraph"/>
      </w:pPr>
      <w:r>
        <w:t xml:space="preserve">El proveedor debe documentar:</w:t>
      </w:r>
    </w:p>
    <w:p>
      <w:pPr>
        <w:numPr>
          <w:ilvl w:val="0"/>
          <w:numId w:val="1101"/>
        </w:numPr>
        <w:pStyle w:val="Compact"/>
      </w:pPr>
      <w:r>
        <w:t xml:space="preserve">la base de clasificación de alto riesgo;</w:t>
      </w:r>
    </w:p>
    <w:p>
      <w:pPr>
        <w:numPr>
          <w:ilvl w:val="0"/>
          <w:numId w:val="1101"/>
        </w:numPr>
        <w:pStyle w:val="Compact"/>
      </w:pPr>
      <w:r>
        <w:t xml:space="preserve">la ruta de evaluación de la conformidad aplicable;</w:t>
      </w:r>
    </w:p>
    <w:p>
      <w:pPr>
        <w:numPr>
          <w:ilvl w:val="0"/>
          <w:numId w:val="1101"/>
        </w:numPr>
        <w:pStyle w:val="Compact"/>
      </w:pPr>
      <w:r>
        <w:t xml:space="preserve">la interacción con la legislación pertinente del sector de productos;</w:t>
      </w:r>
    </w:p>
    <w:p>
      <w:pPr>
        <w:numPr>
          <w:ilvl w:val="0"/>
          <w:numId w:val="1101"/>
        </w:numPr>
        <w:pStyle w:val="Compact"/>
      </w:pPr>
      <w:r>
        <w:t xml:space="preserve">si se aplica el control interno, la participación del organismo notificado u otro procedimiento;</w:t>
      </w:r>
    </w:p>
    <w:p>
      <w:pPr>
        <w:numPr>
          <w:ilvl w:val="0"/>
          <w:numId w:val="1101"/>
        </w:numPr>
        <w:pStyle w:val="Compact"/>
      </w:pPr>
      <w:r>
        <w:t xml:space="preserve">normas, especificaciones comunes y métodos técnicos utilizados;</w:t>
      </w:r>
    </w:p>
    <w:p>
      <w:pPr>
        <w:numPr>
          <w:ilvl w:val="0"/>
          <w:numId w:val="1101"/>
        </w:numPr>
        <w:pStyle w:val="Compact"/>
      </w:pPr>
      <w:r>
        <w:t xml:space="preserve">la integridad de la documentación técnica;</w:t>
      </w:r>
    </w:p>
    <w:p>
      <w:pPr>
        <w:numPr>
          <w:ilvl w:val="0"/>
          <w:numId w:val="1101"/>
        </w:numPr>
        <w:pStyle w:val="Compact"/>
      </w:pPr>
      <w:r>
        <w:t xml:space="preserve">la preparación del sistema de gestión de la calidad;</w:t>
      </w:r>
    </w:p>
    <w:p>
      <w:pPr>
        <w:numPr>
          <w:ilvl w:val="0"/>
          <w:numId w:val="1101"/>
        </w:numPr>
        <w:pStyle w:val="Compact"/>
      </w:pPr>
      <w:r>
        <w:t xml:space="preserve">pruebas de ensayo y validación;</w:t>
      </w:r>
    </w:p>
    <w:p>
      <w:pPr>
        <w:numPr>
          <w:ilvl w:val="0"/>
          <w:numId w:val="1101"/>
        </w:numPr>
        <w:pStyle w:val="Compact"/>
      </w:pPr>
      <w:r>
        <w:t xml:space="preserve">desviaciones identificadas, falta de conformidad y medidas correctoras;</w:t>
      </w:r>
    </w:p>
    <w:p>
      <w:pPr>
        <w:numPr>
          <w:ilvl w:val="0"/>
          <w:numId w:val="1101"/>
        </w:numPr>
        <w:pStyle w:val="Compact"/>
      </w:pPr>
      <w:r>
        <w:t xml:space="preserve">aprobación del resultado de la evaluación final.</w:t>
      </w:r>
    </w:p>
    <w:bookmarkEnd w:id="426"/>
    <w:bookmarkStart w:id="427" w:name="cambio-y-reevaluación"/>
    <w:p>
      <w:pPr>
        <w:pStyle w:val="Heading2"/>
      </w:pPr>
      <w:r>
        <w:rPr>
          <w:rStyle w:val="SectionNumber"/>
        </w:rPr>
        <w:t xml:space="preserve">1.384</w:t>
      </w:r>
      <w:r>
        <w:tab/>
      </w:r>
      <w:r>
        <w:t xml:space="preserve">Cambio y reevaluación</w:t>
      </w:r>
    </w:p>
    <w:p>
      <w:pPr>
        <w:pStyle w:val="FirstParagraph"/>
      </w:pPr>
      <w:r>
        <w:t xml:space="preserve">Puede ser necesaria una nueva evaluación de la conformidad tras una modificación sustancial u otro cambio que afecte al cumplimiento. Los proveedores deben mantener un proceso documentado de control de cambios y no deben depender indefinidamente de la evaluación de una versión anterior.</w:t>
      </w:r>
    </w:p>
    <w:bookmarkEnd w:id="427"/>
    <w:bookmarkStart w:id="428" w:name="ejemplo-de-globalway-37"/>
    <w:p>
      <w:pPr>
        <w:pStyle w:val="Heading2"/>
      </w:pPr>
      <w:r>
        <w:rPr>
          <w:rStyle w:val="SectionNumber"/>
        </w:rPr>
        <w:t xml:space="preserve">1.385</w:t>
      </w:r>
      <w:r>
        <w:tab/>
      </w:r>
      <w:r>
        <w:t xml:space="preserve">Ejemplo de GlobalWay</w:t>
      </w:r>
    </w:p>
    <w:p>
      <w:pPr>
        <w:pStyle w:val="FirstParagraph"/>
      </w:pPr>
      <w:r>
        <w:t xml:space="preserve">Antes de lanzar un sistema de contratación de alto riesgo bajo su propio nombre, GlobalWay confirma la vía aplicable del anexo III, valida el archivo técnico y el sistema de gestión de la calidad, resuelve las lagunas detectadas, documenta la decisión de conformidad y vincula la decisión a la versión de producción exacta.</w:t>
      </w:r>
    </w:p>
    <w:bookmarkEnd w:id="428"/>
    <w:bookmarkStart w:id="429" w:name="actividad-de-control-38"/>
    <w:p>
      <w:pPr>
        <w:pStyle w:val="Heading2"/>
      </w:pPr>
      <w:r>
        <w:rPr>
          <w:rStyle w:val="SectionNumber"/>
        </w:rPr>
        <w:t xml:space="preserve">1.386</w:t>
      </w:r>
      <w:r>
        <w:tab/>
      </w:r>
      <w:r>
        <w:t xml:space="preserve">Actividad de control</w:t>
      </w:r>
    </w:p>
    <w:p>
      <w:pPr>
        <w:pStyle w:val="FirstParagraph"/>
      </w:pPr>
      <w:r>
        <w:t xml:space="preserve">El proveedor debe establecer una puerta de conformidad antes de la liberación. Legal, cumplimiento, técnicos, y propietarios de calidad deben aprobar la clasificación, procedimiento, paquete de pruebas, desviaciones, y el resultado final. Ningún sistema puede ser puesto en el mercado o puesto en servicio antes de que el procedimiento aplicable está completo.</w:t>
      </w:r>
    </w:p>
    <w:bookmarkEnd w:id="429"/>
    <w:bookmarkStart w:id="430" w:name="pruebas-43"/>
    <w:p>
      <w:pPr>
        <w:pStyle w:val="Heading2"/>
      </w:pPr>
      <w:r>
        <w:rPr>
          <w:rStyle w:val="SectionNumber"/>
        </w:rPr>
        <w:t xml:space="preserve">1.387</w:t>
      </w:r>
      <w:r>
        <w:tab/>
      </w:r>
      <w:r>
        <w:t xml:space="preserve">Pruebas</w:t>
      </w:r>
    </w:p>
    <w:p>
      <w:pPr>
        <w:numPr>
          <w:ilvl w:val="0"/>
          <w:numId w:val="1102"/>
        </w:numPr>
        <w:pStyle w:val="Compact"/>
      </w:pPr>
      <w:r>
        <w:t xml:space="preserve">la decisión de clasificación;</w:t>
      </w:r>
    </w:p>
    <w:p>
      <w:pPr>
        <w:numPr>
          <w:ilvl w:val="0"/>
          <w:numId w:val="1102"/>
        </w:numPr>
        <w:pStyle w:val="Compact"/>
      </w:pPr>
      <w:r>
        <w:t xml:space="preserve">análisis de la trayectoria de conformidad;</w:t>
      </w:r>
    </w:p>
    <w:p>
      <w:pPr>
        <w:numPr>
          <w:ilvl w:val="0"/>
          <w:numId w:val="1102"/>
        </w:numPr>
        <w:pStyle w:val="Compact"/>
      </w:pPr>
      <w:r>
        <w:t xml:space="preserve">la evaluación aplicable del sector de productos;</w:t>
      </w:r>
    </w:p>
    <w:p>
      <w:pPr>
        <w:numPr>
          <w:ilvl w:val="0"/>
          <w:numId w:val="1102"/>
        </w:numPr>
        <w:pStyle w:val="Compact"/>
      </w:pPr>
      <w:r>
        <w:t xml:space="preserve">índice de documentación técnica;</w:t>
      </w:r>
    </w:p>
    <w:p>
      <w:pPr>
        <w:numPr>
          <w:ilvl w:val="0"/>
          <w:numId w:val="1102"/>
        </w:numPr>
        <w:pStyle w:val="Compact"/>
      </w:pPr>
      <w:r>
        <w:t xml:space="preserve">pruebas de sistemas de gestión de la calidad;</w:t>
      </w:r>
    </w:p>
    <w:p>
      <w:pPr>
        <w:numPr>
          <w:ilvl w:val="0"/>
          <w:numId w:val="1102"/>
        </w:numPr>
        <w:pStyle w:val="Compact"/>
      </w:pPr>
      <w:r>
        <w:t xml:space="preserve">resultados de ensayo y validación;</w:t>
      </w:r>
    </w:p>
    <w:p>
      <w:pPr>
        <w:numPr>
          <w:ilvl w:val="0"/>
          <w:numId w:val="1102"/>
        </w:numPr>
        <w:pStyle w:val="Compact"/>
      </w:pPr>
      <w:r>
        <w:t xml:space="preserve">normas y cartografía de las especificaciones;</w:t>
      </w:r>
    </w:p>
    <w:p>
      <w:pPr>
        <w:numPr>
          <w:ilvl w:val="0"/>
          <w:numId w:val="1102"/>
        </w:numPr>
        <w:pStyle w:val="Compact"/>
      </w:pPr>
      <w:r>
        <w:t xml:space="preserve">los registros de los organismos notificados, cuando proceda;</w:t>
      </w:r>
    </w:p>
    <w:p>
      <w:pPr>
        <w:numPr>
          <w:ilvl w:val="0"/>
          <w:numId w:val="1102"/>
        </w:numPr>
        <w:pStyle w:val="Compact"/>
      </w:pPr>
      <w:r>
        <w:t xml:space="preserve">los registros de falta de conformidad y de medidas correctivas;</w:t>
      </w:r>
    </w:p>
    <w:p>
      <w:pPr>
        <w:numPr>
          <w:ilvl w:val="0"/>
          <w:numId w:val="1102"/>
        </w:numPr>
        <w:pStyle w:val="Compact"/>
      </w:pPr>
      <w:r>
        <w:t xml:space="preserve">aprobación de la evaluación final;</w:t>
      </w:r>
    </w:p>
    <w:p>
      <w:pPr>
        <w:numPr>
          <w:ilvl w:val="0"/>
          <w:numId w:val="1102"/>
        </w:numPr>
        <w:pStyle w:val="Compact"/>
      </w:pPr>
      <w:r>
        <w:t xml:space="preserve">versión enlace y historia de reevaluación.</w:t>
      </w:r>
    </w:p>
    <w:bookmarkEnd w:id="430"/>
    <w:bookmarkStart w:id="431" w:name="prueba-de-auditoría-39"/>
    <w:p>
      <w:pPr>
        <w:pStyle w:val="Heading2"/>
      </w:pPr>
      <w:r>
        <w:rPr>
          <w:rStyle w:val="SectionNumber"/>
        </w:rPr>
        <w:t xml:space="preserve">1.388</w:t>
      </w:r>
      <w:r>
        <w:tab/>
      </w:r>
      <w:r>
        <w:t xml:space="preserve">Prueba de auditoría</w:t>
      </w:r>
    </w:p>
    <w:p>
      <w:pPr>
        <w:pStyle w:val="FirstParagraph"/>
      </w:pPr>
      <w:r>
        <w:t xml:space="preserve">Seleccione un sistema de alto riesgo liberado. Confirme que se identificó la ruta de conformidad correcta, que existían las pruebas necesarias antes de la liberación, que se completó cualquier implicación del organismo notificado cuando fuera necesario, que se abordaron las inconformidades no resueltas y que se produjeron cambios materiales que dieron lugar a una nueva evaluación.</w:t>
      </w:r>
    </w:p>
    <w:bookmarkEnd w:id="431"/>
    <w:bookmarkStart w:id="432" w:name="referencias-jurídicas-primarias-12"/>
    <w:p>
      <w:pPr>
        <w:pStyle w:val="Heading2"/>
      </w:pPr>
      <w:r>
        <w:rPr>
          <w:rStyle w:val="SectionNumber"/>
        </w:rPr>
        <w:t xml:space="preserve">1.389</w:t>
      </w:r>
      <w:r>
        <w:tab/>
      </w:r>
      <w:r>
        <w:t xml:space="preserve">Referencias jurídicas primarias</w:t>
      </w:r>
    </w:p>
    <w:p>
      <w:pPr>
        <w:numPr>
          <w:ilvl w:val="0"/>
          <w:numId w:val="1103"/>
        </w:numPr>
        <w:pStyle w:val="Compact"/>
      </w:pPr>
      <w:r>
        <w:t xml:space="preserve">Reglamento (UE) 2024/1689, modificado: artículos 43 a 44 y disposiciones conexas.</w:t>
      </w:r>
    </w:p>
    <w:p>
      <w:pPr>
        <w:numPr>
          <w:ilvl w:val="0"/>
          <w:numId w:val="1103"/>
        </w:numPr>
        <w:pStyle w:val="Compact"/>
      </w:pPr>
      <w:r>
        <w:t xml:space="preserve">Legislación pertinente sobre productos del anexo I y normas armonizadas aplicables o especificaciones comunes.</w:t>
      </w:r>
    </w:p>
    <w:p>
      <w:pPr>
        <w:numPr>
          <w:ilvl w:val="0"/>
          <w:numId w:val="1103"/>
        </w:numPr>
        <w:pStyle w:val="Compact"/>
      </w:pPr>
      <w:r>
        <w:t xml:space="preserve">Los actuales controles consolidados de texto EUR-Lex sobre los resúmenes antiguos.</w:t>
      </w:r>
    </w:p>
    <w:bookmarkEnd w:id="432"/>
    <w:bookmarkStart w:id="433" w:name="X1d9ee38e970288fb70f161acd5d153ad35544ca"/>
    <w:p>
      <w:pPr>
        <w:pStyle w:val="Heading2"/>
      </w:pPr>
      <w:r>
        <w:rPr>
          <w:rStyle w:val="SectionNumber"/>
        </w:rPr>
        <w:t xml:space="preserve">1.390</w:t>
      </w:r>
      <w:r>
        <w:tab/>
      </w:r>
      <w:r>
        <w:t xml:space="preserve">Capítulo 45 — Declaración de conformidad y marcado CE de la UE</w:t>
      </w:r>
    </w:p>
    <w:p>
      <w:pPr>
        <w:pStyle w:val="BlockText"/>
      </w:pPr>
      <w:r>
        <w:rPr>
          <w:bCs/>
          <w:b/>
        </w:rPr>
        <w:t xml:space="preserve">Estatus legal:</w:t>
      </w:r>
      <w:r>
        <w:t xml:space="preserve"> </w:t>
      </w:r>
      <w:r>
        <w:t xml:space="preserve">Corregido Maestro Inglés para la consolidación. Este archivo controla el lenguaje de borrador del Capítulo 45 anterior.</w:t>
      </w:r>
    </w:p>
    <w:bookmarkEnd w:id="433"/>
    <w:bookmarkStart w:id="434" w:name="requisito-43"/>
    <w:p>
      <w:pPr>
        <w:pStyle w:val="Heading2"/>
      </w:pPr>
      <w:r>
        <w:rPr>
          <w:rStyle w:val="SectionNumber"/>
        </w:rPr>
        <w:t xml:space="preserve">1.391</w:t>
      </w:r>
      <w:r>
        <w:tab/>
      </w:r>
      <w:r>
        <w:t xml:space="preserve">Requisito</w:t>
      </w:r>
    </w:p>
    <w:p>
      <w:pPr>
        <w:pStyle w:val="FirstParagraph"/>
      </w:pPr>
      <w:r>
        <w:t xml:space="preserve">En caso necesario, el proveedor deberá elaborar una declaración UE de conformidad por escrito para cada sistema de IA de alto riesgo y colocar el marcado CE de conformidad con el Reglamento (UE) 2024/1689, en su versión modificada, y la legislación aplicable sobre productos.</w:t>
      </w:r>
    </w:p>
    <w:bookmarkEnd w:id="434"/>
    <w:bookmarkStart w:id="435" w:name="explicación-en-lenguaje-sencillo-40"/>
    <w:p>
      <w:pPr>
        <w:pStyle w:val="Heading2"/>
      </w:pPr>
      <w:r>
        <w:rPr>
          <w:rStyle w:val="SectionNumber"/>
        </w:rPr>
        <w:t xml:space="preserve">1.392</w:t>
      </w:r>
      <w:r>
        <w:tab/>
      </w:r>
      <w:r>
        <w:t xml:space="preserve">Explicación en lenguaje sencillo</w:t>
      </w:r>
    </w:p>
    <w:p>
      <w:pPr>
        <w:pStyle w:val="FirstParagraph"/>
      </w:pPr>
      <w:r>
        <w:t xml:space="preserve">La declaración de conformidad es la declaración formal del proveedor de que el sistema identificado cumple con los requisitos legales aplicables. El marcado CE comunica que se han completado los pasos de conformidad requeridos. Ninguno de los elementos es un premio de comercialización, puntuación de calidad o garantía de que el sistema se puede utilizar de forma segura en todos los contextos.</w:t>
      </w:r>
    </w:p>
    <w:bookmarkEnd w:id="435"/>
    <w:bookmarkStart w:id="436" w:name="controles-de-declaración"/>
    <w:p>
      <w:pPr>
        <w:pStyle w:val="Heading2"/>
      </w:pPr>
      <w:r>
        <w:rPr>
          <w:rStyle w:val="SectionNumber"/>
        </w:rPr>
        <w:t xml:space="preserve">1.393</w:t>
      </w:r>
      <w:r>
        <w:tab/>
      </w:r>
      <w:r>
        <w:t xml:space="preserve">Controles de declaración</w:t>
      </w:r>
    </w:p>
    <w:p>
      <w:pPr>
        <w:pStyle w:val="FirstParagraph"/>
      </w:pPr>
      <w:r>
        <w:t xml:space="preserve">La declaración debería:</w:t>
      </w:r>
    </w:p>
    <w:p>
      <w:pPr>
        <w:numPr>
          <w:ilvl w:val="0"/>
          <w:numId w:val="1104"/>
        </w:numPr>
        <w:pStyle w:val="Compact"/>
      </w:pPr>
      <w:r>
        <w:t xml:space="preserve">identificar sin ambigüedades el sistema de IA y su versión;</w:t>
      </w:r>
    </w:p>
    <w:p>
      <w:pPr>
        <w:numPr>
          <w:ilvl w:val="0"/>
          <w:numId w:val="1104"/>
        </w:numPr>
        <w:pStyle w:val="Compact"/>
      </w:pPr>
      <w:r>
        <w:t xml:space="preserve">identificar al proveedor y, en su caso, al representante autorizado;</w:t>
      </w:r>
    </w:p>
    <w:p>
      <w:pPr>
        <w:numPr>
          <w:ilvl w:val="0"/>
          <w:numId w:val="1104"/>
        </w:numPr>
        <w:pStyle w:val="Compact"/>
      </w:pPr>
      <w:r>
        <w:t xml:space="preserve">declarar que la declaración se emite bajo la exclusiva responsabilidad del prestador;</w:t>
      </w:r>
    </w:p>
    <w:p>
      <w:pPr>
        <w:numPr>
          <w:ilvl w:val="0"/>
          <w:numId w:val="1104"/>
        </w:numPr>
        <w:pStyle w:val="Compact"/>
      </w:pPr>
      <w:r>
        <w:t xml:space="preserve">identificar la legislación aplicable de la Unión;</w:t>
      </w:r>
    </w:p>
    <w:p>
      <w:pPr>
        <w:numPr>
          <w:ilvl w:val="0"/>
          <w:numId w:val="1104"/>
        </w:numPr>
        <w:pStyle w:val="Compact"/>
      </w:pPr>
      <w:r>
        <w:t xml:space="preserve">referencia a normas pertinentes, especificaciones comunes o métodos de evaluación;</w:t>
      </w:r>
    </w:p>
    <w:p>
      <w:pPr>
        <w:numPr>
          <w:ilvl w:val="0"/>
          <w:numId w:val="1104"/>
        </w:numPr>
        <w:pStyle w:val="Compact"/>
      </w:pPr>
      <w:r>
        <w:t xml:space="preserve">identificar cualquier organismo notificado y certificado, en su caso;</w:t>
      </w:r>
    </w:p>
    <w:p>
      <w:pPr>
        <w:numPr>
          <w:ilvl w:val="0"/>
          <w:numId w:val="1104"/>
        </w:numPr>
        <w:pStyle w:val="Compact"/>
      </w:pPr>
      <w:r>
        <w:t xml:space="preserve">incluir el lugar, la fecha, el firmante autorizado y la firma;</w:t>
      </w:r>
    </w:p>
    <w:p>
      <w:pPr>
        <w:numPr>
          <w:ilvl w:val="0"/>
          <w:numId w:val="1104"/>
        </w:numPr>
        <w:pStyle w:val="Compact"/>
      </w:pPr>
      <w:r>
        <w:t xml:space="preserve">seguir siendo exactos después de los cambios y mantenerse durante el período necesario.</w:t>
      </w:r>
    </w:p>
    <w:bookmarkEnd w:id="436"/>
    <w:bookmarkStart w:id="437" w:name="controles-de-marcado-ce"/>
    <w:p>
      <w:pPr>
        <w:pStyle w:val="Heading2"/>
      </w:pPr>
      <w:r>
        <w:rPr>
          <w:rStyle w:val="SectionNumber"/>
        </w:rPr>
        <w:t xml:space="preserve">1.394</w:t>
      </w:r>
      <w:r>
        <w:tab/>
      </w:r>
      <w:r>
        <w:t xml:space="preserve">Controles de marcado CE</w:t>
      </w:r>
    </w:p>
    <w:p>
      <w:pPr>
        <w:pStyle w:val="FirstParagraph"/>
      </w:pPr>
      <w:r>
        <w:t xml:space="preserve">El proveedor debe asegurarse de que el marcado CE se coloque de forma visible, legible e indeleble cuando sea necesario, o se presente digitalmente cuando el marco jurídico lo permita. Las normas del sector de productos deben coordinarse para que las marcas y declaraciones no se dupliquen o apliquen de manera incoherente.</w:t>
      </w:r>
    </w:p>
    <w:bookmarkEnd w:id="437"/>
    <w:bookmarkStart w:id="438" w:name="ejemplo-de-globalway-38"/>
    <w:p>
      <w:pPr>
        <w:pStyle w:val="Heading2"/>
      </w:pPr>
      <w:r>
        <w:rPr>
          <w:rStyle w:val="SectionNumber"/>
        </w:rPr>
        <w:t xml:space="preserve">1.395</w:t>
      </w:r>
      <w:r>
        <w:tab/>
      </w:r>
      <w:r>
        <w:t xml:space="preserve">Ejemplo de GlobalWay</w:t>
      </w:r>
    </w:p>
    <w:p>
      <w:pPr>
        <w:pStyle w:val="FirstParagraph"/>
      </w:pPr>
      <w:r>
        <w:t xml:space="preserve">En el caso de un sistema de alto riesgo que GlobalWay comercializa en la Unión con su propio nombre, el equipo de cumplimiento verifica que la evaluación de la conformidad está completa, prepara la declaración para la liberación exacta, confirma las referencias y firmas requeridas y aplica el marcado CE a través del proceso de liberación de productos aprobado.</w:t>
      </w:r>
    </w:p>
    <w:bookmarkEnd w:id="438"/>
    <w:bookmarkStart w:id="439" w:name="actividad-de-control-39"/>
    <w:p>
      <w:pPr>
        <w:pStyle w:val="Heading2"/>
      </w:pPr>
      <w:r>
        <w:rPr>
          <w:rStyle w:val="SectionNumber"/>
        </w:rPr>
        <w:t xml:space="preserve">1.396</w:t>
      </w:r>
      <w:r>
        <w:tab/>
      </w:r>
      <w:r>
        <w:t xml:space="preserve">Actividad de control</w:t>
      </w:r>
    </w:p>
    <w:p>
      <w:pPr>
        <w:pStyle w:val="FirstParagraph"/>
      </w:pPr>
      <w:r>
        <w:t xml:space="preserve">No se podrá emitir declaración ni marcado CE hasta que la prueba de conformidad esté completa y aprobada. El proveedor debe mantener plantillas controladas, firmantes autorizados, enlace de versiones, retención, retiro y procedimientos de corrección.</w:t>
      </w:r>
    </w:p>
    <w:bookmarkEnd w:id="439"/>
    <w:bookmarkStart w:id="440" w:name="pruebas-44"/>
    <w:p>
      <w:pPr>
        <w:pStyle w:val="Heading2"/>
      </w:pPr>
      <w:r>
        <w:rPr>
          <w:rStyle w:val="SectionNumber"/>
        </w:rPr>
        <w:t xml:space="preserve">1.397</w:t>
      </w:r>
      <w:r>
        <w:tab/>
      </w:r>
      <w:r>
        <w:t xml:space="preserve">Pruebas</w:t>
      </w:r>
    </w:p>
    <w:p>
      <w:pPr>
        <w:numPr>
          <w:ilvl w:val="0"/>
          <w:numId w:val="1105"/>
        </w:numPr>
        <w:pStyle w:val="Compact"/>
      </w:pPr>
      <w:r>
        <w:t xml:space="preserve">la declaración UE de conformidad firmada;</w:t>
      </w:r>
    </w:p>
    <w:p>
      <w:pPr>
        <w:numPr>
          <w:ilvl w:val="0"/>
          <w:numId w:val="1105"/>
        </w:numPr>
        <w:pStyle w:val="Compact"/>
      </w:pPr>
      <w:r>
        <w:t xml:space="preserve">el sistema y la identificación de la liberación;</w:t>
      </w:r>
    </w:p>
    <w:p>
      <w:pPr>
        <w:numPr>
          <w:ilvl w:val="0"/>
          <w:numId w:val="1105"/>
        </w:numPr>
        <w:pStyle w:val="Compact"/>
      </w:pPr>
      <w:r>
        <w:t xml:space="preserve">el registro de evaluación de la conformidad;</w:t>
      </w:r>
    </w:p>
    <w:p>
      <w:pPr>
        <w:numPr>
          <w:ilvl w:val="0"/>
          <w:numId w:val="1105"/>
        </w:numPr>
        <w:pStyle w:val="Compact"/>
      </w:pPr>
      <w:r>
        <w:t xml:space="preserve">normas y referencias a las especificaciones;</w:t>
      </w:r>
    </w:p>
    <w:p>
      <w:pPr>
        <w:numPr>
          <w:ilvl w:val="0"/>
          <w:numId w:val="1105"/>
        </w:numPr>
        <w:pStyle w:val="Compact"/>
      </w:pPr>
      <w:r>
        <w:t xml:space="preserve">el certificado de organismo notificado, en su caso;</w:t>
      </w:r>
    </w:p>
    <w:p>
      <w:pPr>
        <w:numPr>
          <w:ilvl w:val="0"/>
          <w:numId w:val="1105"/>
        </w:numPr>
        <w:pStyle w:val="Compact"/>
      </w:pPr>
      <w:r>
        <w:t xml:space="preserve">las pruebas de aprobación y colocación de la marca CE;</w:t>
      </w:r>
    </w:p>
    <w:p>
      <w:pPr>
        <w:numPr>
          <w:ilvl w:val="0"/>
          <w:numId w:val="1105"/>
        </w:numPr>
        <w:pStyle w:val="Compact"/>
      </w:pPr>
      <w:r>
        <w:t xml:space="preserve">autorización de firmante;</w:t>
      </w:r>
    </w:p>
    <w:p>
      <w:pPr>
        <w:numPr>
          <w:ilvl w:val="0"/>
          <w:numId w:val="1105"/>
        </w:numPr>
        <w:pStyle w:val="Compact"/>
      </w:pPr>
      <w:r>
        <w:t xml:space="preserve">historia de retención y corrección.</w:t>
      </w:r>
    </w:p>
    <w:bookmarkEnd w:id="440"/>
    <w:bookmarkStart w:id="441" w:name="prueba-de-auditoría-40"/>
    <w:p>
      <w:pPr>
        <w:pStyle w:val="Heading2"/>
      </w:pPr>
      <w:r>
        <w:rPr>
          <w:rStyle w:val="SectionNumber"/>
        </w:rPr>
        <w:t xml:space="preserve">1.398</w:t>
      </w:r>
      <w:r>
        <w:tab/>
      </w:r>
      <w:r>
        <w:t xml:space="preserve">Prueba de auditoría</w:t>
      </w:r>
    </w:p>
    <w:p>
      <w:pPr>
        <w:pStyle w:val="FirstParagraph"/>
      </w:pPr>
      <w:r>
        <w:t xml:space="preserve">Seleccione un sistema de IA de alto riesgo marcado. Confirme que la declaración identifica la entidad jurídica y la versión correcta, cita la legislación aplicable y las pruebas de evaluación, fue firmada por una persona autorizada, y que el marcado CE se aplicó sólo después de la aprobación de conformidad.</w:t>
      </w:r>
    </w:p>
    <w:bookmarkEnd w:id="441"/>
    <w:bookmarkStart w:id="442" w:name="referencias-jurídicas-primarias-13"/>
    <w:p>
      <w:pPr>
        <w:pStyle w:val="Heading2"/>
      </w:pPr>
      <w:r>
        <w:rPr>
          <w:rStyle w:val="SectionNumber"/>
        </w:rPr>
        <w:t xml:space="preserve">1.399</w:t>
      </w:r>
      <w:r>
        <w:tab/>
      </w:r>
      <w:r>
        <w:t xml:space="preserve">Referencias jurídicas primarias</w:t>
      </w:r>
    </w:p>
    <w:p>
      <w:pPr>
        <w:numPr>
          <w:ilvl w:val="0"/>
          <w:numId w:val="1106"/>
        </w:numPr>
        <w:pStyle w:val="Compact"/>
      </w:pPr>
      <w:r>
        <w:t xml:space="preserve">Reglamento (UE) 2024/1689, modificado: artículos 47 a 48 y anexos pertinentes.</w:t>
      </w:r>
    </w:p>
    <w:p>
      <w:pPr>
        <w:numPr>
          <w:ilvl w:val="0"/>
          <w:numId w:val="1106"/>
        </w:numPr>
        <w:pStyle w:val="Compact"/>
      </w:pPr>
      <w:r>
        <w:t xml:space="preserve">Legislación aplicable sobre productos del anexo I.</w:t>
      </w:r>
    </w:p>
    <w:p>
      <w:pPr>
        <w:numPr>
          <w:ilvl w:val="0"/>
          <w:numId w:val="1106"/>
        </w:numPr>
        <w:pStyle w:val="Compact"/>
      </w:pPr>
      <w:r>
        <w:t xml:space="preserve">Los actuales controles consolidados de texto EUR-Lex sobre los resúmenes antiguos.</w:t>
      </w:r>
    </w:p>
    <w:bookmarkEnd w:id="442"/>
    <w:bookmarkStart w:id="443" w:name="capítulo-46-registro"/>
    <w:p>
      <w:pPr>
        <w:pStyle w:val="Heading2"/>
      </w:pPr>
      <w:r>
        <w:rPr>
          <w:rStyle w:val="SectionNumber"/>
        </w:rPr>
        <w:t xml:space="preserve">1.400</w:t>
      </w:r>
      <w:r>
        <w:tab/>
      </w:r>
      <w:r>
        <w:t xml:space="preserve">Capítulo 46 — Registro</w:t>
      </w:r>
    </w:p>
    <w:p>
      <w:pPr>
        <w:pStyle w:val="BlockText"/>
      </w:pPr>
      <w:r>
        <w:rPr>
          <w:bCs/>
          <w:b/>
        </w:rPr>
        <w:t xml:space="preserve">Estatus legal:</w:t>
      </w:r>
      <w:r>
        <w:t xml:space="preserve"> </w:t>
      </w:r>
      <w:r>
        <w:t xml:space="preserve">Corregido Maestro Inglés para la consolidación. Este archivo controla el lenguaje de borrador anterior del Capítulo 46.</w:t>
      </w:r>
    </w:p>
    <w:bookmarkEnd w:id="443"/>
    <w:bookmarkStart w:id="444" w:name="requisito-44"/>
    <w:p>
      <w:pPr>
        <w:pStyle w:val="Heading2"/>
      </w:pPr>
      <w:r>
        <w:rPr>
          <w:rStyle w:val="SectionNumber"/>
        </w:rPr>
        <w:t xml:space="preserve">1.401</w:t>
      </w:r>
      <w:r>
        <w:tab/>
      </w:r>
      <w:r>
        <w:t xml:space="preserve">Requisito</w:t>
      </w:r>
    </w:p>
    <w:p>
      <w:pPr>
        <w:pStyle w:val="FirstParagraph"/>
      </w:pPr>
      <w:r>
        <w:t xml:space="preserve">Los proveedores y, en su caso, los despliegues deben completar los registros exigidos por el Reglamento (UE) 2024/1689, en su versión modificada, antes de que el sistema de IA de alto riesgo pertinente se comercialice, ponga en servicio o utilice. Los derechos de registro dependen de la categoría del sistema, el papel de actor y las disposiciones aplicables en materia de confidencialidad o aplicación de la ley.</w:t>
      </w:r>
    </w:p>
    <w:bookmarkEnd w:id="444"/>
    <w:bookmarkStart w:id="445" w:name="explicación-en-lenguaje-sencillo-41"/>
    <w:p>
      <w:pPr>
        <w:pStyle w:val="Heading2"/>
      </w:pPr>
      <w:r>
        <w:rPr>
          <w:rStyle w:val="SectionNumber"/>
        </w:rPr>
        <w:t xml:space="preserve">1.402</w:t>
      </w:r>
      <w:r>
        <w:tab/>
      </w:r>
      <w:r>
        <w:t xml:space="preserve">Explicación en lenguaje sencillo</w:t>
      </w:r>
    </w:p>
    <w:p>
      <w:pPr>
        <w:pStyle w:val="FirstParagraph"/>
      </w:pPr>
      <w:r>
        <w:t xml:space="preserve">El registro apoya la visibilidad y trazabilidad de la regulación. No es un sustituto de la clasificación, evaluación de la conformidad, documentación técnica o monitoreo. La organización debe determinar quién registra, qué información debe ser presentada, cuándo debe ocurrir el registro y cómo se reflejan los cambios posteriores.</w:t>
      </w:r>
    </w:p>
    <w:bookmarkEnd w:id="445"/>
    <w:bookmarkStart w:id="446" w:name="controles-de-registro"/>
    <w:p>
      <w:pPr>
        <w:pStyle w:val="Heading2"/>
      </w:pPr>
      <w:r>
        <w:rPr>
          <w:rStyle w:val="SectionNumber"/>
        </w:rPr>
        <w:t xml:space="preserve">1.403</w:t>
      </w:r>
      <w:r>
        <w:tab/>
      </w:r>
      <w:r>
        <w:t xml:space="preserve">Controles de registro</w:t>
      </w:r>
    </w:p>
    <w:p>
      <w:pPr>
        <w:pStyle w:val="FirstParagraph"/>
      </w:pPr>
      <w:r>
        <w:t xml:space="preserve">El proceso de registro debería abarcar:</w:t>
      </w:r>
    </w:p>
    <w:p>
      <w:pPr>
        <w:numPr>
          <w:ilvl w:val="0"/>
          <w:numId w:val="1107"/>
        </w:numPr>
        <w:pStyle w:val="Compact"/>
      </w:pPr>
      <w:r>
        <w:t xml:space="preserve">clasificación del sistema y base de registro aplicable;</w:t>
      </w:r>
    </w:p>
    <w:p>
      <w:pPr>
        <w:numPr>
          <w:ilvl w:val="0"/>
          <w:numId w:val="1107"/>
        </w:numPr>
        <w:pStyle w:val="Compact"/>
      </w:pPr>
      <w:r>
        <w:t xml:space="preserve">la entidad jurídica responsable y el papel de actor;</w:t>
      </w:r>
    </w:p>
    <w:p>
      <w:pPr>
        <w:numPr>
          <w:ilvl w:val="0"/>
          <w:numId w:val="1107"/>
        </w:numPr>
        <w:pStyle w:val="Compact"/>
      </w:pPr>
      <w:r>
        <w:t xml:space="preserve">base de datos o autoridad a través de la cual se realiza el registro;</w:t>
      </w:r>
    </w:p>
    <w:p>
      <w:pPr>
        <w:numPr>
          <w:ilvl w:val="0"/>
          <w:numId w:val="1107"/>
        </w:numPr>
        <w:pStyle w:val="Compact"/>
      </w:pPr>
      <w:r>
        <w:t xml:space="preserve">la información requerida sobre el sistema, el proveedor, el despliegue y la conformidad;</w:t>
      </w:r>
    </w:p>
    <w:p>
      <w:pPr>
        <w:numPr>
          <w:ilvl w:val="0"/>
          <w:numId w:val="1107"/>
        </w:numPr>
        <w:pStyle w:val="Compact"/>
      </w:pPr>
      <w:r>
        <w:t xml:space="preserve">confidencialidad, seguridad y trato de acceso restringido, cuando proceda;</w:t>
      </w:r>
    </w:p>
    <w:p>
      <w:pPr>
        <w:numPr>
          <w:ilvl w:val="0"/>
          <w:numId w:val="1107"/>
        </w:numPr>
        <w:pStyle w:val="Compact"/>
      </w:pPr>
      <w:r>
        <w:t xml:space="preserve">aprobación antes de la presentación;</w:t>
      </w:r>
    </w:p>
    <w:p>
      <w:pPr>
        <w:numPr>
          <w:ilvl w:val="0"/>
          <w:numId w:val="1107"/>
        </w:numPr>
        <w:pStyle w:val="Compact"/>
      </w:pPr>
      <w:r>
        <w:t xml:space="preserve">vinculación con la versión exacta del sistema y el registro de conformidad;</w:t>
      </w:r>
    </w:p>
    <w:p>
      <w:pPr>
        <w:numPr>
          <w:ilvl w:val="0"/>
          <w:numId w:val="1107"/>
        </w:numPr>
        <w:pStyle w:val="Compact"/>
      </w:pPr>
      <w:r>
        <w:t xml:space="preserve">actualizaciones después de cambios, suspensión, retirada o desmantelamiento;</w:t>
      </w:r>
    </w:p>
    <w:p>
      <w:pPr>
        <w:numPr>
          <w:ilvl w:val="0"/>
          <w:numId w:val="1107"/>
        </w:numPr>
        <w:pStyle w:val="Compact"/>
      </w:pPr>
      <w:r>
        <w:t xml:space="preserve">retención de la presentación, el acuse de recibo y las pruebas de enmienda.</w:t>
      </w:r>
    </w:p>
    <w:bookmarkEnd w:id="446"/>
    <w:bookmarkStart w:id="447" w:name="ejemplo-de-globalway-39"/>
    <w:p>
      <w:pPr>
        <w:pStyle w:val="Heading2"/>
      </w:pPr>
      <w:r>
        <w:rPr>
          <w:rStyle w:val="SectionNumber"/>
        </w:rPr>
        <w:t xml:space="preserve">1.404</w:t>
      </w:r>
      <w:r>
        <w:tab/>
      </w:r>
      <w:r>
        <w:t xml:space="preserve">Ejemplo de GlobalWay</w:t>
      </w:r>
    </w:p>
    <w:p>
      <w:pPr>
        <w:pStyle w:val="FirstParagraph"/>
      </w:pPr>
      <w:r>
        <w:t xml:space="preserve">Antes de implementar un sistema de reclutamiento calificado de alto riesgo, GlobalWay confirma si se aplican las funciones de registro del proveedor y el implementador, asigna a la entidad jurídica responsable, valida la información contra el archivo técnico, registra el acuse de recibo y actualiza el registro después de un cambio de versión material.</w:t>
      </w:r>
    </w:p>
    <w:bookmarkEnd w:id="447"/>
    <w:bookmarkStart w:id="448" w:name="actividad-de-control-40"/>
    <w:p>
      <w:pPr>
        <w:pStyle w:val="Heading2"/>
      </w:pPr>
      <w:r>
        <w:rPr>
          <w:rStyle w:val="SectionNumber"/>
        </w:rPr>
        <w:t xml:space="preserve">1.405</w:t>
      </w:r>
      <w:r>
        <w:tab/>
      </w:r>
      <w:r>
        <w:t xml:space="preserve">Actividad de control</w:t>
      </w:r>
    </w:p>
    <w:p>
      <w:pPr>
        <w:pStyle w:val="FirstParagraph"/>
      </w:pPr>
      <w:r>
        <w:t xml:space="preserve">La función IA Governance debe mantener un registro de registro vinculado al inventario de IA de la empresa. Las puertas de despliegue deben impedir el uso cuando el registro requerido sea incompleto, inexacto, caducado o incompatible con el sistema desplegado.</w:t>
      </w:r>
    </w:p>
    <w:bookmarkEnd w:id="448"/>
    <w:bookmarkStart w:id="449" w:name="pruebas-45"/>
    <w:p>
      <w:pPr>
        <w:pStyle w:val="Heading2"/>
      </w:pPr>
      <w:r>
        <w:rPr>
          <w:rStyle w:val="SectionNumber"/>
        </w:rPr>
        <w:t xml:space="preserve">1.406</w:t>
      </w:r>
      <w:r>
        <w:tab/>
      </w:r>
      <w:r>
        <w:t xml:space="preserve">Pruebas</w:t>
      </w:r>
    </w:p>
    <w:p>
      <w:pPr>
        <w:numPr>
          <w:ilvl w:val="0"/>
          <w:numId w:val="1108"/>
        </w:numPr>
        <w:pStyle w:val="Compact"/>
      </w:pPr>
      <w:r>
        <w:t xml:space="preserve">decisión de aplicabilidad del registro;</w:t>
      </w:r>
    </w:p>
    <w:p>
      <w:pPr>
        <w:numPr>
          <w:ilvl w:val="0"/>
          <w:numId w:val="1108"/>
        </w:numPr>
        <w:pStyle w:val="Compact"/>
      </w:pPr>
      <w:r>
        <w:t xml:space="preserve">los datos de presentación aprobados;</w:t>
      </w:r>
    </w:p>
    <w:p>
      <w:pPr>
        <w:numPr>
          <w:ilvl w:val="0"/>
          <w:numId w:val="1108"/>
        </w:numPr>
        <w:pStyle w:val="Compact"/>
      </w:pPr>
      <w:r>
        <w:t xml:space="preserve">presentación y acuse de recibo de la base de datos;</w:t>
      </w:r>
    </w:p>
    <w:p>
      <w:pPr>
        <w:numPr>
          <w:ilvl w:val="0"/>
          <w:numId w:val="1108"/>
        </w:numPr>
        <w:pStyle w:val="Compact"/>
      </w:pPr>
      <w:r>
        <w:t xml:space="preserve">la aprobación de la entidad responsable;</w:t>
      </w:r>
    </w:p>
    <w:p>
      <w:pPr>
        <w:numPr>
          <w:ilvl w:val="0"/>
          <w:numId w:val="1108"/>
        </w:numPr>
        <w:pStyle w:val="Compact"/>
      </w:pPr>
      <w:r>
        <w:t xml:space="preserve">vinculación entre el sistema y la versión;</w:t>
      </w:r>
    </w:p>
    <w:p>
      <w:pPr>
        <w:numPr>
          <w:ilvl w:val="0"/>
          <w:numId w:val="1108"/>
        </w:numPr>
        <w:pStyle w:val="Compact"/>
      </w:pPr>
      <w:r>
        <w:t xml:space="preserve">evaluación de la confidencialidad;</w:t>
      </w:r>
    </w:p>
    <w:p>
      <w:pPr>
        <w:numPr>
          <w:ilvl w:val="0"/>
          <w:numId w:val="1108"/>
        </w:numPr>
        <w:pStyle w:val="Compact"/>
      </w:pPr>
      <w:r>
        <w:t xml:space="preserve">la actualización y el historial de enmiendas;</w:t>
      </w:r>
    </w:p>
    <w:p>
      <w:pPr>
        <w:numPr>
          <w:ilvl w:val="0"/>
          <w:numId w:val="1108"/>
        </w:numPr>
        <w:pStyle w:val="Compact"/>
      </w:pPr>
      <w:r>
        <w:t xml:space="preserve">registros de suspensión o retirada.</w:t>
      </w:r>
    </w:p>
    <w:bookmarkEnd w:id="449"/>
    <w:bookmarkStart w:id="450" w:name="prueba-de-auditoría-41"/>
    <w:p>
      <w:pPr>
        <w:pStyle w:val="Heading2"/>
      </w:pPr>
      <w:r>
        <w:rPr>
          <w:rStyle w:val="SectionNumber"/>
        </w:rPr>
        <w:t xml:space="preserve">1.407</w:t>
      </w:r>
      <w:r>
        <w:tab/>
      </w:r>
      <w:r>
        <w:t xml:space="preserve">Prueba de auditoría</w:t>
      </w:r>
    </w:p>
    <w:p>
      <w:pPr>
        <w:pStyle w:val="FirstParagraph"/>
      </w:pPr>
      <w:r>
        <w:t xml:space="preserve">Seleccione una muestra de sistemas de alto riesgo registrados y confirme que el actor correcto completó el registro antes del evento legalmente relevante, la información presentada está de acuerdo con la documentación técnica y la versión desplegada, y los cambios materiales posteriores se actualizaron rápidamente.</w:t>
      </w:r>
    </w:p>
    <w:bookmarkEnd w:id="450"/>
    <w:bookmarkStart w:id="451" w:name="referencias-jurídicas-primarias-14"/>
    <w:p>
      <w:pPr>
        <w:pStyle w:val="Heading2"/>
      </w:pPr>
      <w:r>
        <w:rPr>
          <w:rStyle w:val="SectionNumber"/>
        </w:rPr>
        <w:t xml:space="preserve">1.408</w:t>
      </w:r>
      <w:r>
        <w:tab/>
      </w:r>
      <w:r>
        <w:t xml:space="preserve">Referencias jurídicas primarias</w:t>
      </w:r>
    </w:p>
    <w:p>
      <w:pPr>
        <w:numPr>
          <w:ilvl w:val="0"/>
          <w:numId w:val="1109"/>
        </w:numPr>
        <w:pStyle w:val="Compact"/>
      </w:pPr>
      <w:r>
        <w:t xml:space="preserve">Reglamento (UE) 2024/1689, modificado: artículo 49 y disposiciones pertinentes relativas a la base de datos de la UE y a las disposiciones de registro restringido.</w:t>
      </w:r>
    </w:p>
    <w:p>
      <w:pPr>
        <w:numPr>
          <w:ilvl w:val="0"/>
          <w:numId w:val="1109"/>
        </w:numPr>
        <w:pStyle w:val="Compact"/>
      </w:pPr>
      <w:r>
        <w:t xml:space="preserve">Los actuales controles consolidados de texto EUR-Lex sobre los resúmenes antiguos.</w:t>
      </w:r>
    </w:p>
    <w:bookmarkEnd w:id="451"/>
    <w:bookmarkStart w:id="452" w:name="X3594ad0d27bf6706de123dd843a0aef50ee0dde"/>
    <w:p>
      <w:pPr>
        <w:pStyle w:val="Heading2"/>
      </w:pPr>
      <w:r>
        <w:rPr>
          <w:rStyle w:val="SectionNumber"/>
        </w:rPr>
        <w:t xml:space="preserve">1.409</w:t>
      </w:r>
      <w:r>
        <w:tab/>
      </w:r>
      <w:r>
        <w:t xml:space="preserve">Capítulo 47 — Evaluación del impacto sobre los derechos fundamentales</w:t>
      </w:r>
    </w:p>
    <w:p>
      <w:pPr>
        <w:pStyle w:val="BlockText"/>
      </w:pPr>
      <w:r>
        <w:rPr>
          <w:bCs/>
          <w:b/>
        </w:rPr>
        <w:t xml:space="preserve">Estatus legal:</w:t>
      </w:r>
      <w:r>
        <w:t xml:space="preserve"> </w:t>
      </w:r>
      <w:r>
        <w:t xml:space="preserve">Corregido Maestro Inglés para la consolidación. Este archivo controla el lenguaje de borrador anterior del Capítulo 47.</w:t>
      </w:r>
    </w:p>
    <w:bookmarkEnd w:id="452"/>
    <w:bookmarkStart w:id="453" w:name="requisito-45"/>
    <w:p>
      <w:pPr>
        <w:pStyle w:val="Heading2"/>
      </w:pPr>
      <w:r>
        <w:rPr>
          <w:rStyle w:val="SectionNumber"/>
        </w:rPr>
        <w:t xml:space="preserve">1.410</w:t>
      </w:r>
      <w:r>
        <w:tab/>
      </w:r>
      <w:r>
        <w:t xml:space="preserve">Requisito</w:t>
      </w:r>
    </w:p>
    <w:p>
      <w:pPr>
        <w:pStyle w:val="FirstParagraph"/>
      </w:pPr>
      <w:r>
        <w:t xml:space="preserve">Antes del primer uso de sistemas de IA de alto riesgo especificados, los implementadores que entran en el ámbito de aplicación del artículo 27 deben realizar una evaluación de impacto de derechos fundamentales y cumplir los requisitos de documentación, notificación y revisión asociados.</w:t>
      </w:r>
    </w:p>
    <w:bookmarkEnd w:id="453"/>
    <w:bookmarkStart w:id="454" w:name="explicación-en-lenguaje-sencillo-42"/>
    <w:p>
      <w:pPr>
        <w:pStyle w:val="Heading2"/>
      </w:pPr>
      <w:r>
        <w:rPr>
          <w:rStyle w:val="SectionNumber"/>
        </w:rPr>
        <w:t xml:space="preserve">1.411</w:t>
      </w:r>
      <w:r>
        <w:tab/>
      </w:r>
      <w:r>
        <w:t xml:space="preserve">Explicación en lenguaje sencillo</w:t>
      </w:r>
    </w:p>
    <w:p>
      <w:pPr>
        <w:pStyle w:val="FirstParagraph"/>
      </w:pPr>
      <w:r>
        <w:t xml:space="preserve">Una evaluación de impacto de los derechos fundamentales examina cómo un uso de IA de alto riesgo puede afectar a las personas en la práctica. Es más amplio que un examen técnico del riesgo y debe considerar el contexto de despliegue, los grupos afectados, los posibles daños, la supervisión humana, las quejas, la mitigación y el riesgo residual.</w:t>
      </w:r>
    </w:p>
    <w:p>
      <w:pPr>
        <w:pStyle w:val="BodyText"/>
      </w:pPr>
      <w:r>
        <w:t xml:space="preserve">El deber no se aplica automáticamente a todos los implementadores o a todos los sistemas de alto riesgo. La organización debe determinar primero si el artículo 27 se aplica al actor y el caso de uso. Incluso cuando no lo hace, una evaluación voluntaria puede ser prudente para los impactos significativos de los derechos.</w:t>
      </w:r>
    </w:p>
    <w:bookmarkEnd w:id="454"/>
    <w:bookmarkStart w:id="455" w:name="contenido-de-la-evaluación"/>
    <w:p>
      <w:pPr>
        <w:pStyle w:val="Heading2"/>
      </w:pPr>
      <w:r>
        <w:rPr>
          <w:rStyle w:val="SectionNumber"/>
        </w:rPr>
        <w:t xml:space="preserve">1.412</w:t>
      </w:r>
      <w:r>
        <w:tab/>
      </w:r>
      <w:r>
        <w:t xml:space="preserve">Contenido de la evaluación</w:t>
      </w:r>
    </w:p>
    <w:p>
      <w:pPr>
        <w:pStyle w:val="FirstParagraph"/>
      </w:pPr>
      <w:r>
        <w:t xml:space="preserve">La evaluación deberá documentar, según proceda:</w:t>
      </w:r>
    </w:p>
    <w:p>
      <w:pPr>
        <w:numPr>
          <w:ilvl w:val="0"/>
          <w:numId w:val="1110"/>
        </w:numPr>
        <w:pStyle w:val="Compact"/>
      </w:pPr>
      <w:r>
        <w:t xml:space="preserve">el despliegue, el sistema, la finalidad prevista y el proceso de despliegue;</w:t>
      </w:r>
    </w:p>
    <w:p>
      <w:pPr>
        <w:numPr>
          <w:ilvl w:val="0"/>
          <w:numId w:val="1110"/>
        </w:numPr>
        <w:pStyle w:val="Compact"/>
      </w:pPr>
      <w:r>
        <w:t xml:space="preserve">el período y la frecuencia de uso;</w:t>
      </w:r>
    </w:p>
    <w:p>
      <w:pPr>
        <w:numPr>
          <w:ilvl w:val="0"/>
          <w:numId w:val="1110"/>
        </w:numPr>
        <w:pStyle w:val="Compact"/>
      </w:pPr>
      <w:r>
        <w:t xml:space="preserve">categorías de personas físicas y grupos que puedan verse afectados;</w:t>
      </w:r>
    </w:p>
    <w:p>
      <w:pPr>
        <w:numPr>
          <w:ilvl w:val="0"/>
          <w:numId w:val="1110"/>
        </w:numPr>
        <w:pStyle w:val="Compact"/>
      </w:pPr>
      <w:r>
        <w:t xml:space="preserve">riesgos específicos para los derechos fundamentales, como la igualdad, la dignidad, la privacidad, la protección de datos, la expresión, el debido proceso, los derechos de los trabajadores y el acceso a los servicios;</w:t>
      </w:r>
    </w:p>
    <w:p>
      <w:pPr>
        <w:numPr>
          <w:ilvl w:val="0"/>
          <w:numId w:val="1110"/>
        </w:numPr>
        <w:pStyle w:val="Compact"/>
      </w:pPr>
      <w:r>
        <w:t xml:space="preserve">el uso indebido previsible, la exclusión, la discriminación, los efectos escalofriantes y los efectos acumulativos;</w:t>
      </w:r>
    </w:p>
    <w:p>
      <w:pPr>
        <w:numPr>
          <w:ilvl w:val="0"/>
          <w:numId w:val="1110"/>
        </w:numPr>
        <w:pStyle w:val="Compact"/>
      </w:pPr>
      <w:r>
        <w:t xml:space="preserve">la supervisión humana, la denuncia, la impugnabilidad y los arreglos de reparación;</w:t>
      </w:r>
    </w:p>
    <w:p>
      <w:pPr>
        <w:numPr>
          <w:ilvl w:val="0"/>
          <w:numId w:val="1110"/>
        </w:numPr>
        <w:pStyle w:val="Compact"/>
      </w:pPr>
      <w:r>
        <w:t xml:space="preserve">mitigación técnica, organizativa, contractual y de procedimiento;</w:t>
      </w:r>
    </w:p>
    <w:p>
      <w:pPr>
        <w:numPr>
          <w:ilvl w:val="0"/>
          <w:numId w:val="1110"/>
        </w:numPr>
        <w:pStyle w:val="Compact"/>
      </w:pPr>
      <w:r>
        <w:t xml:space="preserve">el riesgo residual y la decisión de aprobación;</w:t>
      </w:r>
    </w:p>
    <w:p>
      <w:pPr>
        <w:numPr>
          <w:ilvl w:val="0"/>
          <w:numId w:val="1110"/>
        </w:numPr>
        <w:pStyle w:val="Compact"/>
      </w:pPr>
      <w:r>
        <w:t xml:space="preserve">consulta con las funciones internas pertinentes, los representantes, los expertos o las partes interesadas afectadas, cuando proceda;</w:t>
      </w:r>
    </w:p>
    <w:p>
      <w:pPr>
        <w:numPr>
          <w:ilvl w:val="0"/>
          <w:numId w:val="1110"/>
        </w:numPr>
        <w:pStyle w:val="Compact"/>
      </w:pPr>
      <w:r>
        <w:t xml:space="preserve">notificación requerida a la autoridad de vigilancia del mercado y coordinación con la evaluación de impacto de la protección de datos, cuando proceda.</w:t>
      </w:r>
    </w:p>
    <w:bookmarkEnd w:id="455"/>
    <w:bookmarkStart w:id="456" w:name="ejemplo-de-globalway-40"/>
    <w:p>
      <w:pPr>
        <w:pStyle w:val="Heading2"/>
      </w:pPr>
      <w:r>
        <w:rPr>
          <w:rStyle w:val="SectionNumber"/>
        </w:rPr>
        <w:t xml:space="preserve">1.413</w:t>
      </w:r>
      <w:r>
        <w:tab/>
      </w:r>
      <w:r>
        <w:t xml:space="preserve">Ejemplo de GlobalWay</w:t>
      </w:r>
    </w:p>
    <w:p>
      <w:pPr>
        <w:pStyle w:val="FirstParagraph"/>
      </w:pPr>
      <w:r>
        <w:t xml:space="preserve">Antes de implementar un sistema de reclutamiento de alto riesgo, GlobalWay evalúa cómo el ranking y la selección pueden afectar a los solicitantes, incluyendo a personas con discapacidades, antecedentes profesionales no tradicionales, diferencias lingüísticas y características protegidas. Documenta mitigaciónes, revisión humana, rutas de apelación, monitoreo y la relación con su evaluación de impacto de protección de datos del RGPD.</w:t>
      </w:r>
    </w:p>
    <w:bookmarkEnd w:id="456"/>
    <w:bookmarkStart w:id="457" w:name="actividad-de-control-41"/>
    <w:p>
      <w:pPr>
        <w:pStyle w:val="Heading2"/>
      </w:pPr>
      <w:r>
        <w:rPr>
          <w:rStyle w:val="SectionNumber"/>
        </w:rPr>
        <w:t xml:space="preserve">1.414</w:t>
      </w:r>
      <w:r>
        <w:tab/>
      </w:r>
      <w:r>
        <w:t xml:space="preserve">Actividad de control</w:t>
      </w:r>
    </w:p>
    <w:p>
      <w:pPr>
        <w:pStyle w:val="FirstParagraph"/>
      </w:pPr>
      <w:r>
        <w:t xml:space="preserve">El implementador debe determinar la aplicabilidad del Artículo 27 durante la admisión y completar la evaluación antes del primer uso. Legal, privacidad, RRHH o propiedad empresarial, gobernanza de IA, y los representantes pertinentes de trabajadores o partes interesadas deben revisar la evaluación de acuerdo con el contexto de implementación.</w:t>
      </w:r>
    </w:p>
    <w:bookmarkEnd w:id="457"/>
    <w:bookmarkStart w:id="458" w:name="pruebas-46"/>
    <w:p>
      <w:pPr>
        <w:pStyle w:val="Heading2"/>
      </w:pPr>
      <w:r>
        <w:rPr>
          <w:rStyle w:val="SectionNumber"/>
        </w:rPr>
        <w:t xml:space="preserve">1.415</w:t>
      </w:r>
      <w:r>
        <w:tab/>
      </w:r>
      <w:r>
        <w:t xml:space="preserve">Pruebas</w:t>
      </w:r>
    </w:p>
    <w:p>
      <w:pPr>
        <w:numPr>
          <w:ilvl w:val="0"/>
          <w:numId w:val="1111"/>
        </w:numPr>
        <w:pStyle w:val="Compact"/>
      </w:pPr>
      <w:r>
        <w:t xml:space="preserve">Decisión de aplicabilidad del artículo 27;</w:t>
      </w:r>
    </w:p>
    <w:p>
      <w:pPr>
        <w:numPr>
          <w:ilvl w:val="0"/>
          <w:numId w:val="1111"/>
        </w:numPr>
        <w:pStyle w:val="Compact"/>
      </w:pPr>
      <w:r>
        <w:t xml:space="preserve">una evaluación de impacto completa de los derechos fundamentales;</w:t>
      </w:r>
    </w:p>
    <w:p>
      <w:pPr>
        <w:numPr>
          <w:ilvl w:val="0"/>
          <w:numId w:val="1111"/>
        </w:numPr>
        <w:pStyle w:val="Compact"/>
      </w:pPr>
      <w:r>
        <w:t xml:space="preserve">análisis de personas afectadas y grupos;</w:t>
      </w:r>
    </w:p>
    <w:p>
      <w:pPr>
        <w:numPr>
          <w:ilvl w:val="0"/>
          <w:numId w:val="1111"/>
        </w:numPr>
        <w:pStyle w:val="Compact"/>
      </w:pPr>
      <w:r>
        <w:t xml:space="preserve">registro de riesgos de derechos;</w:t>
      </w:r>
    </w:p>
    <w:p>
      <w:pPr>
        <w:numPr>
          <w:ilvl w:val="0"/>
          <w:numId w:val="1111"/>
        </w:numPr>
        <w:pStyle w:val="Compact"/>
      </w:pPr>
      <w:r>
        <w:t xml:space="preserve">la mitigación y la aprobación del riesgo residual;</w:t>
      </w:r>
    </w:p>
    <w:p>
      <w:pPr>
        <w:numPr>
          <w:ilvl w:val="0"/>
          <w:numId w:val="1111"/>
        </w:numPr>
        <w:pStyle w:val="Compact"/>
      </w:pPr>
      <w:r>
        <w:t xml:space="preserve">los procedimientos de supervisión humana y de denuncia;</w:t>
      </w:r>
    </w:p>
    <w:p>
      <w:pPr>
        <w:numPr>
          <w:ilvl w:val="0"/>
          <w:numId w:val="1111"/>
        </w:numPr>
        <w:pStyle w:val="Compact"/>
      </w:pPr>
      <w:r>
        <w:t xml:space="preserve">Registro de coordinación del DPIA;</w:t>
      </w:r>
    </w:p>
    <w:p>
      <w:pPr>
        <w:numPr>
          <w:ilvl w:val="0"/>
          <w:numId w:val="1111"/>
        </w:numPr>
        <w:pStyle w:val="Compact"/>
      </w:pPr>
      <w:r>
        <w:t xml:space="preserve">pruebas de autoridad-notificación cuando sea necesario;</w:t>
      </w:r>
    </w:p>
    <w:p>
      <w:pPr>
        <w:numPr>
          <w:ilvl w:val="0"/>
          <w:numId w:val="1111"/>
        </w:numPr>
        <w:pStyle w:val="Compact"/>
      </w:pPr>
      <w:r>
        <w:t xml:space="preserve">los registros de consulta;</w:t>
      </w:r>
    </w:p>
    <w:p>
      <w:pPr>
        <w:numPr>
          <w:ilvl w:val="0"/>
          <w:numId w:val="1111"/>
        </w:numPr>
        <w:pStyle w:val="Compact"/>
      </w:pPr>
      <w:r>
        <w:t xml:space="preserve">revisión y reevaluación de la historia.</w:t>
      </w:r>
    </w:p>
    <w:bookmarkEnd w:id="458"/>
    <w:bookmarkStart w:id="459" w:name="prueba-de-auditoría-42"/>
    <w:p>
      <w:pPr>
        <w:pStyle w:val="Heading2"/>
      </w:pPr>
      <w:r>
        <w:rPr>
          <w:rStyle w:val="SectionNumber"/>
        </w:rPr>
        <w:t xml:space="preserve">1.416</w:t>
      </w:r>
      <w:r>
        <w:tab/>
      </w:r>
      <w:r>
        <w:t xml:space="preserve">Prueba de auditoría</w:t>
      </w:r>
    </w:p>
    <w:p>
      <w:pPr>
        <w:pStyle w:val="FirstParagraph"/>
      </w:pPr>
      <w:r>
        <w:t xml:space="preserve">Confirmar que la evaluación se completó antes del primer uso, cubre los grupos afectados reales y el contexto de despliegue, identifica riesgos concretos de derechos, incluye mecanismos operativos de mitigación y remedio, coordina con la evaluación de la privacidad, y se actualizó después de cambios materiales o impactos emergentes.</w:t>
      </w:r>
    </w:p>
    <w:bookmarkEnd w:id="459"/>
    <w:bookmarkStart w:id="460" w:name="referencias-jurídicas-primarias-15"/>
    <w:p>
      <w:pPr>
        <w:pStyle w:val="Heading2"/>
      </w:pPr>
      <w:r>
        <w:rPr>
          <w:rStyle w:val="SectionNumber"/>
        </w:rPr>
        <w:t xml:space="preserve">1.417</w:t>
      </w:r>
      <w:r>
        <w:tab/>
      </w:r>
      <w:r>
        <w:t xml:space="preserve">Referencias jurídicas primarias</w:t>
      </w:r>
    </w:p>
    <w:p>
      <w:pPr>
        <w:numPr>
          <w:ilvl w:val="0"/>
          <w:numId w:val="1112"/>
        </w:numPr>
        <w:pStyle w:val="Compact"/>
      </w:pPr>
      <w:r>
        <w:t xml:space="preserve">Reglamento (UE) 2024/1689, en su versión modificada: artículo 27 y obligaciones de despliegue conexas.</w:t>
      </w:r>
    </w:p>
    <w:p>
      <w:pPr>
        <w:numPr>
          <w:ilvl w:val="0"/>
          <w:numId w:val="1112"/>
        </w:numPr>
        <w:pStyle w:val="Compact"/>
      </w:pPr>
      <w:r>
        <w:t xml:space="preserve">Artículo 35 del RGPD cuando sea necesaria una evaluación de impacto sobre la protección de datos.</w:t>
      </w:r>
    </w:p>
    <w:p>
      <w:pPr>
        <w:numPr>
          <w:ilvl w:val="0"/>
          <w:numId w:val="1112"/>
        </w:numPr>
        <w:pStyle w:val="Compact"/>
      </w:pPr>
      <w:r>
        <w:t xml:space="preserve">Los actuales controles consolidados de texto EUR-Lex sobre los resúmenes antiguos.</w:t>
      </w:r>
    </w:p>
    <w:bookmarkEnd w:id="460"/>
    <w:bookmarkStart w:id="461" w:name="capítulo-48-coordinación-del-dpia"/>
    <w:p>
      <w:pPr>
        <w:pStyle w:val="Heading2"/>
      </w:pPr>
      <w:r>
        <w:rPr>
          <w:rStyle w:val="SectionNumber"/>
        </w:rPr>
        <w:t xml:space="preserve">1.418</w:t>
      </w:r>
      <w:r>
        <w:tab/>
      </w:r>
      <w:r>
        <w:t xml:space="preserve">Capítulo 48 — Coordinación del DPIA</w:t>
      </w:r>
    </w:p>
    <w:p>
      <w:pPr>
        <w:pStyle w:val="BlockText"/>
      </w:pPr>
      <w:r>
        <w:rPr>
          <w:bCs/>
          <w:b/>
        </w:rPr>
        <w:t xml:space="preserve">Estatus legal:</w:t>
      </w:r>
      <w:r>
        <w:t xml:space="preserve"> </w:t>
      </w:r>
      <w:r>
        <w:t xml:space="preserve">Corregido Maestro inglés para la consolidación. Este archivo controla el lenguaje de borrador anterior del Capítulo 48.</w:t>
      </w:r>
    </w:p>
    <w:bookmarkEnd w:id="461"/>
    <w:bookmarkStart w:id="462" w:name="requisito-46"/>
    <w:p>
      <w:pPr>
        <w:pStyle w:val="Heading2"/>
      </w:pPr>
      <w:r>
        <w:rPr>
          <w:rStyle w:val="SectionNumber"/>
        </w:rPr>
        <w:t xml:space="preserve">1.419</w:t>
      </w:r>
      <w:r>
        <w:tab/>
      </w:r>
      <w:r>
        <w:t xml:space="preserve">Requisito</w:t>
      </w:r>
    </w:p>
    <w:p>
      <w:pPr>
        <w:pStyle w:val="FirstParagraph"/>
      </w:pPr>
      <w:r>
        <w:t xml:space="preserve">Cuando el tratamiento de datos personales pueda dar lugar a un alto riesgo para los derechos y libertades de las personas físicas, el responsable del tratamiento deberá realizar una evaluación de impacto sobre la protección de datos con arreglo al RGPD. Cuando se requiera también una evaluación de impacto sobre los derechos fundamentales con arreglo al artículo 27 del Reglamento (UE) 2024/1689, en su versión modificada, las evaluaciones deben coordinarse de manera que los hechos compartidos, el análisis de las personas afectadas, los riesgos, las salvaguardias, las consultas, las aprobaciones y las conclusiones sobre los riesgos residuales sean coherentes.</w:t>
      </w:r>
    </w:p>
    <w:bookmarkEnd w:id="462"/>
    <w:bookmarkStart w:id="463" w:name="explicación-en-lenguaje-sencillo-43"/>
    <w:p>
      <w:pPr>
        <w:pStyle w:val="Heading2"/>
      </w:pPr>
      <w:r>
        <w:rPr>
          <w:rStyle w:val="SectionNumber"/>
        </w:rPr>
        <w:t xml:space="preserve">1.420</w:t>
      </w:r>
      <w:r>
        <w:tab/>
      </w:r>
      <w:r>
        <w:t xml:space="preserve">Explicación en lenguaje sencillo</w:t>
      </w:r>
    </w:p>
    <w:p>
      <w:pPr>
        <w:pStyle w:val="FirstParagraph"/>
      </w:pPr>
      <w:r>
        <w:t xml:space="preserve">La Ley de IA no sustituye al RGPD. Un uso de IA de alto riesgo puede requerir tanto una evaluación de impacto de derechos fundamentales como un DPIA del RGPD. Los dos instrumentos tienen bases y alcances jurídicos diferentes, pero no deben contradecirse ni duplicar pruebas innecesariamente.</w:t>
      </w:r>
    </w:p>
    <w:bookmarkEnd w:id="463"/>
    <w:bookmarkStart w:id="464" w:name="necesidades-de-coordinación"/>
    <w:p>
      <w:pPr>
        <w:pStyle w:val="Heading2"/>
      </w:pPr>
      <w:r>
        <w:rPr>
          <w:rStyle w:val="SectionNumber"/>
        </w:rPr>
        <w:t xml:space="preserve">1.421</w:t>
      </w:r>
      <w:r>
        <w:tab/>
      </w:r>
      <w:r>
        <w:t xml:space="preserve">Necesidades de coordinación</w:t>
      </w:r>
    </w:p>
    <w:p>
      <w:pPr>
        <w:pStyle w:val="FirstParagraph"/>
      </w:pPr>
      <w:r>
        <w:t xml:space="preserve">La organización debería:</w:t>
      </w:r>
    </w:p>
    <w:p>
      <w:pPr>
        <w:numPr>
          <w:ilvl w:val="0"/>
          <w:numId w:val="1113"/>
        </w:numPr>
        <w:pStyle w:val="Compact"/>
      </w:pPr>
      <w:r>
        <w:t xml:space="preserve">identificar el controlador, el procesador, el implementador, el proveedor y otros agentes pertinentes;</w:t>
      </w:r>
    </w:p>
    <w:p>
      <w:pPr>
        <w:numPr>
          <w:ilvl w:val="0"/>
          <w:numId w:val="1113"/>
        </w:numPr>
        <w:pStyle w:val="Compact"/>
      </w:pPr>
      <w:r>
        <w:t xml:space="preserve">documentar la finalidad prevista, los flujos de datos, las categorías de datos personales, las personas afectadas y las consecuencias de las decisiones;</w:t>
      </w:r>
    </w:p>
    <w:p>
      <w:pPr>
        <w:numPr>
          <w:ilvl w:val="0"/>
          <w:numId w:val="1113"/>
        </w:numPr>
        <w:pStyle w:val="Compact"/>
      </w:pPr>
      <w:r>
        <w:t xml:space="preserve">determinar si se aplican el artículo 27 de la Ley de ayudas estatales y los artículos 35 a 36 del RGPD;</w:t>
      </w:r>
    </w:p>
    <w:p>
      <w:pPr>
        <w:numPr>
          <w:ilvl w:val="0"/>
          <w:numId w:val="1113"/>
        </w:numPr>
        <w:pStyle w:val="Compact"/>
      </w:pPr>
      <w:r>
        <w:t xml:space="preserve">alinear escenarios de riesgo, análisis de probabilidad y gravedad, salvaguardias, supervisión humana, transparencia, seguridad y supervisión;</w:t>
      </w:r>
    </w:p>
    <w:p>
      <w:pPr>
        <w:numPr>
          <w:ilvl w:val="0"/>
          <w:numId w:val="1113"/>
        </w:numPr>
        <w:pStyle w:val="Compact"/>
      </w:pPr>
      <w:r>
        <w:t xml:space="preserve">mantener conclusiones jurídicas separadas cuando las pruebas legales difieran;</w:t>
      </w:r>
    </w:p>
    <w:p>
      <w:pPr>
        <w:numPr>
          <w:ilvl w:val="0"/>
          <w:numId w:val="1113"/>
        </w:numPr>
        <w:pStyle w:val="Compact"/>
      </w:pPr>
      <w:r>
        <w:t xml:space="preserve">consultar al responsable de protección de datos y al asesor jurídico cuando sea necesario;</w:t>
      </w:r>
    </w:p>
    <w:p>
      <w:pPr>
        <w:numPr>
          <w:ilvl w:val="0"/>
          <w:numId w:val="1113"/>
        </w:numPr>
        <w:pStyle w:val="Compact"/>
      </w:pPr>
      <w:r>
        <w:t xml:space="preserve">aumentar el riesgo residual elevado de consulta entre las autoridades de supervisión cuando se aplique el artículo 36 del RGPD;</w:t>
      </w:r>
    </w:p>
    <w:p>
      <w:pPr>
        <w:numPr>
          <w:ilvl w:val="0"/>
          <w:numId w:val="1113"/>
        </w:numPr>
        <w:pStyle w:val="Compact"/>
      </w:pPr>
      <w:r>
        <w:t xml:space="preserve">actualizar ambas evaluaciones después de cambios materiales.</w:t>
      </w:r>
    </w:p>
    <w:bookmarkEnd w:id="464"/>
    <w:bookmarkStart w:id="465" w:name="ejemplo-de-globalway-41"/>
    <w:p>
      <w:pPr>
        <w:pStyle w:val="Heading2"/>
      </w:pPr>
      <w:r>
        <w:rPr>
          <w:rStyle w:val="SectionNumber"/>
        </w:rPr>
        <w:t xml:space="preserve">1.422</w:t>
      </w:r>
      <w:r>
        <w:tab/>
      </w:r>
      <w:r>
        <w:t xml:space="preserve">Ejemplo de GlobalWay</w:t>
      </w:r>
    </w:p>
    <w:p>
      <w:pPr>
        <w:pStyle w:val="FirstParagraph"/>
      </w:pPr>
      <w:r>
        <w:t xml:space="preserve">GlobalWay implementa un sistema de selección de reclutamiento de alto riesgo. El equipo de privacidad completa un DPIA que cubre los datos de los solicitantes, perfiles, retención, toma de decisiones automatizadas y seguridad. El equipo de gobernanza de AI coordina el análisis del Artículo 27 para los grupos afectados, desequilibrio de poder, supervisión humana, rutas de quejas y mitigación. Ambas evaluaciones utilizan la misma descripción del sistema y hechos de implementación, pero conservan sus conclusiones legales.</w:t>
      </w:r>
    </w:p>
    <w:bookmarkEnd w:id="465"/>
    <w:bookmarkStart w:id="466" w:name="actividad-de-control-42"/>
    <w:p>
      <w:pPr>
        <w:pStyle w:val="Heading2"/>
      </w:pPr>
      <w:r>
        <w:rPr>
          <w:rStyle w:val="SectionNumber"/>
        </w:rPr>
        <w:t xml:space="preserve">1.423</w:t>
      </w:r>
      <w:r>
        <w:tab/>
      </w:r>
      <w:r>
        <w:t xml:space="preserve">Actividad de control</w:t>
      </w:r>
    </w:p>
    <w:p>
      <w:pPr>
        <w:pStyle w:val="FirstParagraph"/>
      </w:pPr>
      <w:r>
        <w:t xml:space="preserve">Las funciones de privacidad y gobernanza de la IA deben funcionar con un proceso de evaluación conjunta y de referencia cruzada. No se podrá proceder al despliegue hasta que se completen las aprobaciones de evaluación de impacto de derechos fundamentales y se resuelvan las hipótesis contradictorias.</w:t>
      </w:r>
    </w:p>
    <w:bookmarkEnd w:id="466"/>
    <w:bookmarkStart w:id="467" w:name="pruebas-47"/>
    <w:p>
      <w:pPr>
        <w:pStyle w:val="Heading2"/>
      </w:pPr>
      <w:r>
        <w:rPr>
          <w:rStyle w:val="SectionNumber"/>
        </w:rPr>
        <w:t xml:space="preserve">1.424</w:t>
      </w:r>
      <w:r>
        <w:tab/>
      </w:r>
      <w:r>
        <w:t xml:space="preserve">Pruebas</w:t>
      </w:r>
    </w:p>
    <w:p>
      <w:pPr>
        <w:numPr>
          <w:ilvl w:val="0"/>
          <w:numId w:val="1114"/>
        </w:numPr>
        <w:pStyle w:val="Compact"/>
      </w:pPr>
      <w:r>
        <w:t xml:space="preserve">DPIA;</w:t>
      </w:r>
    </w:p>
    <w:p>
      <w:pPr>
        <w:numPr>
          <w:ilvl w:val="0"/>
          <w:numId w:val="1114"/>
        </w:numPr>
        <w:pStyle w:val="Compact"/>
      </w:pPr>
      <w:r>
        <w:t xml:space="preserve">evaluación de impacto sobre los derechos fundamentales;</w:t>
      </w:r>
    </w:p>
    <w:p>
      <w:pPr>
        <w:numPr>
          <w:ilvl w:val="0"/>
          <w:numId w:val="1114"/>
        </w:numPr>
        <w:pStyle w:val="Compact"/>
      </w:pPr>
      <w:r>
        <w:t xml:space="preserve">mapa de flujo de datos;</w:t>
      </w:r>
    </w:p>
    <w:p>
      <w:pPr>
        <w:numPr>
          <w:ilvl w:val="0"/>
          <w:numId w:val="1114"/>
        </w:numPr>
        <w:pStyle w:val="Compact"/>
      </w:pPr>
      <w:r>
        <w:t xml:space="preserve">el análisis de la función y la base jurídica;</w:t>
      </w:r>
    </w:p>
    <w:p>
      <w:pPr>
        <w:numPr>
          <w:ilvl w:val="0"/>
          <w:numId w:val="1114"/>
        </w:numPr>
        <w:pStyle w:val="Compact"/>
      </w:pPr>
      <w:r>
        <w:t xml:space="preserve">Consulta de DPO;</w:t>
      </w:r>
    </w:p>
    <w:p>
      <w:pPr>
        <w:numPr>
          <w:ilvl w:val="0"/>
          <w:numId w:val="1114"/>
        </w:numPr>
        <w:pStyle w:val="Compact"/>
      </w:pPr>
      <w:r>
        <w:t xml:space="preserve">el plan de mitigación;</w:t>
      </w:r>
    </w:p>
    <w:p>
      <w:pPr>
        <w:numPr>
          <w:ilvl w:val="0"/>
          <w:numId w:val="1114"/>
        </w:numPr>
        <w:pStyle w:val="Compact"/>
      </w:pPr>
      <w:r>
        <w:t xml:space="preserve">aprobación del riesgo residual;</w:t>
      </w:r>
    </w:p>
    <w:p>
      <w:pPr>
        <w:numPr>
          <w:ilvl w:val="0"/>
          <w:numId w:val="1114"/>
        </w:numPr>
        <w:pStyle w:val="Compact"/>
      </w:pPr>
      <w:r>
        <w:t xml:space="preserve">los registros de consulta de la autoridad supervisora, cuando proceda;</w:t>
      </w:r>
    </w:p>
    <w:p>
      <w:pPr>
        <w:numPr>
          <w:ilvl w:val="0"/>
          <w:numId w:val="1114"/>
        </w:numPr>
        <w:pStyle w:val="Compact"/>
      </w:pPr>
      <w:r>
        <w:t xml:space="preserve">Historial de reevaluación.</w:t>
      </w:r>
    </w:p>
    <w:bookmarkEnd w:id="467"/>
    <w:bookmarkStart w:id="468" w:name="prueba-de-auditoría-43"/>
    <w:p>
      <w:pPr>
        <w:pStyle w:val="Heading2"/>
      </w:pPr>
      <w:r>
        <w:rPr>
          <w:rStyle w:val="SectionNumber"/>
        </w:rPr>
        <w:t xml:space="preserve">1.425</w:t>
      </w:r>
      <w:r>
        <w:tab/>
      </w:r>
      <w:r>
        <w:t xml:space="preserve">Prueba de auditoría</w:t>
      </w:r>
    </w:p>
    <w:p>
      <w:pPr>
        <w:pStyle w:val="FirstParagraph"/>
      </w:pPr>
      <w:r>
        <w:t xml:space="preserve">Seleccione una muestra de implementaciones de IA de alto riesgo procesando datos personales. Confirme que se evaluó la aplicabilidad del DPIA, la aplicabilidad del Artículo 27 fue evaluada por separado, la evidencia superpuesta es consistente, se realizaron las consultas requeridas y los cambios materiales desencadenaron una reevaluación.</w:t>
      </w:r>
    </w:p>
    <w:bookmarkEnd w:id="468"/>
    <w:bookmarkStart w:id="469" w:name="referencias-jurídicas-primarias-16"/>
    <w:p>
      <w:pPr>
        <w:pStyle w:val="Heading2"/>
      </w:pPr>
      <w:r>
        <w:rPr>
          <w:rStyle w:val="SectionNumber"/>
        </w:rPr>
        <w:t xml:space="preserve">1.426</w:t>
      </w:r>
      <w:r>
        <w:tab/>
      </w:r>
      <w:r>
        <w:t xml:space="preserve">Referencias jurídicas primarias</w:t>
      </w:r>
    </w:p>
    <w:p>
      <w:pPr>
        <w:numPr>
          <w:ilvl w:val="0"/>
          <w:numId w:val="1115"/>
        </w:numPr>
        <w:pStyle w:val="Compact"/>
      </w:pPr>
      <w:r>
        <w:t xml:space="preserve">Reglamento (UE) 2024/1689, modificado: artículo 27.</w:t>
      </w:r>
    </w:p>
    <w:p>
      <w:pPr>
        <w:numPr>
          <w:ilvl w:val="0"/>
          <w:numId w:val="1115"/>
        </w:numPr>
        <w:pStyle w:val="Compact"/>
      </w:pPr>
      <w:r>
        <w:t xml:space="preserve">Reglamento (UE) 2016/679: artículos 35 a 36 y, en su caso, artículo 22.</w:t>
      </w:r>
    </w:p>
    <w:p>
      <w:pPr>
        <w:numPr>
          <w:ilvl w:val="0"/>
          <w:numId w:val="1115"/>
        </w:numPr>
        <w:pStyle w:val="Compact"/>
      </w:pPr>
      <w:r>
        <w:t xml:space="preserve">Los textos oficiales consolidados actuales controlan los resúmenes antiguos.</w:t>
      </w:r>
    </w:p>
    <w:bookmarkEnd w:id="469"/>
    <w:bookmarkStart w:id="470" w:name="X9a732e0be611de62b7e3f7486f31fbccf70be7c"/>
    <w:p>
      <w:pPr>
        <w:pStyle w:val="Heading2"/>
      </w:pPr>
      <w:r>
        <w:rPr>
          <w:rStyle w:val="SectionNumber"/>
        </w:rPr>
        <w:t xml:space="preserve">1.427</w:t>
      </w:r>
      <w:r>
        <w:tab/>
      </w:r>
      <w:r>
        <w:t xml:space="preserve">Capítulo 49 — Seguimiento posterior a la comercialización</w:t>
      </w:r>
    </w:p>
    <w:p>
      <w:pPr>
        <w:pStyle w:val="BlockText"/>
      </w:pPr>
      <w:r>
        <w:rPr>
          <w:bCs/>
          <w:b/>
        </w:rPr>
        <w:t xml:space="preserve">Estatus legal:</w:t>
      </w:r>
      <w:r>
        <w:t xml:space="preserve"> </w:t>
      </w:r>
      <w:r>
        <w:t xml:space="preserve">Corregido Maestro Inglés para la consolidación. Este archivo controla el lenguaje de borrador anterior del Capítulo 49.</w:t>
      </w:r>
    </w:p>
    <w:bookmarkEnd w:id="470"/>
    <w:bookmarkStart w:id="471" w:name="requisito-47"/>
    <w:p>
      <w:pPr>
        <w:pStyle w:val="Heading2"/>
      </w:pPr>
      <w:r>
        <w:rPr>
          <w:rStyle w:val="SectionNumber"/>
        </w:rPr>
        <w:t xml:space="preserve">1.428</w:t>
      </w:r>
      <w:r>
        <w:tab/>
      </w:r>
      <w:r>
        <w:t xml:space="preserve">Requisito</w:t>
      </w:r>
    </w:p>
    <w:p>
      <w:pPr>
        <w:pStyle w:val="FirstParagraph"/>
      </w:pPr>
      <w:r>
        <w:t xml:space="preserve">Los proveedores de sistemas de IA de alto riesgo deben establecer y documentar un sistema de seguimiento posterior a la comercialización proporcionado que recopile, documente y analice de forma activa y sistemática los datos de rendimiento y riesgo pertinentes a lo largo de toda la vida del sistema. El sistema debe basarse en un plan de seguimiento posterior a la comercialización que forme parte de la documentación técnica.</w:t>
      </w:r>
    </w:p>
    <w:bookmarkEnd w:id="471"/>
    <w:bookmarkStart w:id="472" w:name="explicación-en-lenguaje-sencillo-44"/>
    <w:p>
      <w:pPr>
        <w:pStyle w:val="Heading2"/>
      </w:pPr>
      <w:r>
        <w:rPr>
          <w:rStyle w:val="SectionNumber"/>
        </w:rPr>
        <w:t xml:space="preserve">1.429</w:t>
      </w:r>
      <w:r>
        <w:tab/>
      </w:r>
      <w:r>
        <w:t xml:space="preserve">Explicación en lenguaje sencillo</w:t>
      </w:r>
    </w:p>
    <w:p>
      <w:pPr>
        <w:pStyle w:val="FirstParagraph"/>
      </w:pPr>
      <w:r>
        <w:t xml:space="preserve">El cumplimiento no termina cuando se libera el sistema. Los proveedores deben continuar comprobando si el sistema funciona como estaba previsto, sigue siendo conforme, interactúa con seguridad con otros sistemas y crea riesgos nuevos o modificados en uso real.</w:t>
      </w:r>
    </w:p>
    <w:bookmarkEnd w:id="472"/>
    <w:bookmarkStart w:id="473" w:name="diseño-de-la-supervisión-1"/>
    <w:p>
      <w:pPr>
        <w:pStyle w:val="Heading2"/>
      </w:pPr>
      <w:r>
        <w:rPr>
          <w:rStyle w:val="SectionNumber"/>
        </w:rPr>
        <w:t xml:space="preserve">1.430</w:t>
      </w:r>
      <w:r>
        <w:tab/>
      </w:r>
      <w:r>
        <w:t xml:space="preserve">Diseño de la supervisión</w:t>
      </w:r>
    </w:p>
    <w:p>
      <w:pPr>
        <w:pStyle w:val="FirstParagraph"/>
      </w:pPr>
      <w:r>
        <w:t xml:space="preserve">El plan debería definir:</w:t>
      </w:r>
    </w:p>
    <w:p>
      <w:pPr>
        <w:numPr>
          <w:ilvl w:val="0"/>
          <w:numId w:val="1116"/>
        </w:numPr>
        <w:pStyle w:val="Compact"/>
      </w:pPr>
      <w:r>
        <w:t xml:space="preserve">alcance, propietarios y versiones del sistema;</w:t>
      </w:r>
    </w:p>
    <w:p>
      <w:pPr>
        <w:numPr>
          <w:ilvl w:val="0"/>
          <w:numId w:val="1116"/>
        </w:numPr>
        <w:pStyle w:val="Compact"/>
      </w:pPr>
      <w:r>
        <w:t xml:space="preserve">las fuentes de datos, incluidas las respuestas de los usuarios, las quejas, los incidentes, las anulaciones, la deriva y la telemetría técnica;</w:t>
      </w:r>
    </w:p>
    <w:p>
      <w:pPr>
        <w:numPr>
          <w:ilvl w:val="0"/>
          <w:numId w:val="1116"/>
        </w:numPr>
        <w:pStyle w:val="Compact"/>
      </w:pPr>
      <w:r>
        <w:t xml:space="preserve">indicadores de rendimiento, seguridad, sesgo, robustez, seguridad cibernética e supervisión humana;</w:t>
      </w:r>
    </w:p>
    <w:p>
      <w:pPr>
        <w:numPr>
          <w:ilvl w:val="0"/>
          <w:numId w:val="1116"/>
        </w:numPr>
        <w:pStyle w:val="Compact"/>
      </w:pPr>
      <w:r>
        <w:t xml:space="preserve">umbrales y criterios de escalada;</w:t>
      </w:r>
    </w:p>
    <w:p>
      <w:pPr>
        <w:numPr>
          <w:ilvl w:val="0"/>
          <w:numId w:val="1116"/>
        </w:numPr>
        <w:pStyle w:val="Compact"/>
      </w:pPr>
      <w:r>
        <w:t xml:space="preserve">la frecuencia de revisión y el muestreo;</w:t>
      </w:r>
    </w:p>
    <w:p>
      <w:pPr>
        <w:numPr>
          <w:ilvl w:val="0"/>
          <w:numId w:val="1116"/>
        </w:numPr>
        <w:pStyle w:val="Compact"/>
      </w:pPr>
      <w:r>
        <w:t xml:space="preserve">métodos para el análisis de tendencias, subgrupos y interacciones;</w:t>
      </w:r>
    </w:p>
    <w:p>
      <w:pPr>
        <w:numPr>
          <w:ilvl w:val="0"/>
          <w:numId w:val="1116"/>
        </w:numPr>
        <w:pStyle w:val="Compact"/>
      </w:pPr>
      <w:r>
        <w:t xml:space="preserve">medidas correctoras y desencadenantes de la notificación;</w:t>
      </w:r>
    </w:p>
    <w:p>
      <w:pPr>
        <w:numPr>
          <w:ilvl w:val="0"/>
          <w:numId w:val="1116"/>
        </w:numPr>
        <w:pStyle w:val="Compact"/>
      </w:pPr>
      <w:r>
        <w:t xml:space="preserve">los vínculos con la gestión de riesgos, la documentación técnica, la notificación de incidentes graves y el control del cambio;</w:t>
      </w:r>
    </w:p>
    <w:p>
      <w:pPr>
        <w:numPr>
          <w:ilvl w:val="0"/>
          <w:numId w:val="1116"/>
        </w:numPr>
        <w:pStyle w:val="Compact"/>
      </w:pPr>
      <w:r>
        <w:t xml:space="preserve">los requisitos de conservación, confidencialidad y pruebas.</w:t>
      </w:r>
    </w:p>
    <w:p>
      <w:pPr>
        <w:pStyle w:val="FirstParagraph"/>
      </w:pPr>
      <w:r>
        <w:t xml:space="preserve">Cuando la legislación sectorial ya requiera un sistema posterior a la comercialización, el proveedor podrá integrar los elementos de la Ley de IA en ese sistema cuando se cumplan las condiciones legales y se mantenga una protección equivalente.</w:t>
      </w:r>
    </w:p>
    <w:bookmarkEnd w:id="473"/>
    <w:bookmarkStart w:id="474" w:name="ejemplo-de-globalway-42"/>
    <w:p>
      <w:pPr>
        <w:pStyle w:val="Heading2"/>
      </w:pPr>
      <w:r>
        <w:rPr>
          <w:rStyle w:val="SectionNumber"/>
        </w:rPr>
        <w:t xml:space="preserve">1.431</w:t>
      </w:r>
      <w:r>
        <w:tab/>
      </w:r>
      <w:r>
        <w:t xml:space="preserve">Ejemplo de GlobalWay</w:t>
      </w:r>
    </w:p>
    <w:p>
      <w:pPr>
        <w:pStyle w:val="FirstParagraph"/>
      </w:pPr>
      <w:r>
        <w:t xml:space="preserve">El proveedor de GlobalWay supervisa el sistema de contratación de la producción para detectar disparidades en la tasa de selección, tendencias falsas positivas y falsas negativas, tasas de anulación, quejas de los usuarios, deriva del modelo, acontecimientos de seguridad y desviaciones del propósito previsto.</w:t>
      </w:r>
    </w:p>
    <w:bookmarkEnd w:id="474"/>
    <w:bookmarkStart w:id="475" w:name="actividad-de-control-43"/>
    <w:p>
      <w:pPr>
        <w:pStyle w:val="Heading2"/>
      </w:pPr>
      <w:r>
        <w:rPr>
          <w:rStyle w:val="SectionNumber"/>
        </w:rPr>
        <w:t xml:space="preserve">1.432</w:t>
      </w:r>
      <w:r>
        <w:tab/>
      </w:r>
      <w:r>
        <w:t xml:space="preserve">Actividad de control</w:t>
      </w:r>
    </w:p>
    <w:p>
      <w:pPr>
        <w:pStyle w:val="FirstParagraph"/>
      </w:pPr>
      <w:r>
        <w:t xml:space="preserve">El proveedor debe aprobar un plan de seguimiento post-comercialización vinculado a versiones antes de su publicación, operar el plan a lo largo de toda la vida del sistema, documentar los resultados y transmitir los resultados pertinentes a la gestión de riesgos, las medidas correctivas, la notificación de incidentes y las actualizaciones de documentación técnica.</w:t>
      </w:r>
    </w:p>
    <w:bookmarkEnd w:id="475"/>
    <w:bookmarkStart w:id="476" w:name="pruebas-48"/>
    <w:p>
      <w:pPr>
        <w:pStyle w:val="Heading2"/>
      </w:pPr>
      <w:r>
        <w:rPr>
          <w:rStyle w:val="SectionNumber"/>
        </w:rPr>
        <w:t xml:space="preserve">1.433</w:t>
      </w:r>
      <w:r>
        <w:tab/>
      </w:r>
      <w:r>
        <w:t xml:space="preserve">Pruebas</w:t>
      </w:r>
    </w:p>
    <w:p>
      <w:pPr>
        <w:numPr>
          <w:ilvl w:val="0"/>
          <w:numId w:val="1117"/>
        </w:numPr>
        <w:pStyle w:val="Compact"/>
      </w:pPr>
      <w:r>
        <w:t xml:space="preserve">el plan de seguimiento aprobado;</w:t>
      </w:r>
    </w:p>
    <w:p>
      <w:pPr>
        <w:numPr>
          <w:ilvl w:val="0"/>
          <w:numId w:val="1117"/>
        </w:numPr>
        <w:pStyle w:val="Compact"/>
      </w:pPr>
      <w:r>
        <w:t xml:space="preserve">definiciones métricas y umbrales;</w:t>
      </w:r>
    </w:p>
    <w:p>
      <w:pPr>
        <w:numPr>
          <w:ilvl w:val="0"/>
          <w:numId w:val="1117"/>
        </w:numPr>
        <w:pStyle w:val="Compact"/>
      </w:pPr>
      <w:r>
        <w:t xml:space="preserve">los datos y tableros de control;</w:t>
      </w:r>
    </w:p>
    <w:p>
      <w:pPr>
        <w:numPr>
          <w:ilvl w:val="0"/>
          <w:numId w:val="1117"/>
        </w:numPr>
        <w:pStyle w:val="Compact"/>
      </w:pPr>
      <w:r>
        <w:t xml:space="preserve">retroalimentación y quejas del operador;</w:t>
      </w:r>
    </w:p>
    <w:p>
      <w:pPr>
        <w:numPr>
          <w:ilvl w:val="0"/>
          <w:numId w:val="1117"/>
        </w:numPr>
        <w:pStyle w:val="Compact"/>
      </w:pPr>
      <w:r>
        <w:t xml:space="preserve">análisis de tendencias y subgrupos;</w:t>
      </w:r>
    </w:p>
    <w:p>
      <w:pPr>
        <w:numPr>
          <w:ilvl w:val="0"/>
          <w:numId w:val="1117"/>
        </w:numPr>
        <w:pStyle w:val="Compact"/>
      </w:pPr>
      <w:r>
        <w:t xml:space="preserve">registros de escalada y medidas correctoras;</w:t>
      </w:r>
    </w:p>
    <w:p>
      <w:pPr>
        <w:numPr>
          <w:ilvl w:val="0"/>
          <w:numId w:val="1117"/>
        </w:numPr>
        <w:pStyle w:val="Compact"/>
      </w:pPr>
      <w:r>
        <w:t xml:space="preserve">actualizaciones de documentación técnica;</w:t>
      </w:r>
    </w:p>
    <w:p>
      <w:pPr>
        <w:numPr>
          <w:ilvl w:val="0"/>
          <w:numId w:val="1117"/>
        </w:numPr>
        <w:pStyle w:val="Compact"/>
      </w:pPr>
      <w:r>
        <w:t xml:space="preserve">minutas de revisión de gestión.</w:t>
      </w:r>
    </w:p>
    <w:bookmarkEnd w:id="476"/>
    <w:bookmarkStart w:id="477" w:name="prueba-de-auditoría-44"/>
    <w:p>
      <w:pPr>
        <w:pStyle w:val="Heading2"/>
      </w:pPr>
      <w:r>
        <w:rPr>
          <w:rStyle w:val="SectionNumber"/>
        </w:rPr>
        <w:t xml:space="preserve">1.434</w:t>
      </w:r>
      <w:r>
        <w:tab/>
      </w:r>
      <w:r>
        <w:t xml:space="preserve">Prueba de auditoría</w:t>
      </w:r>
    </w:p>
    <w:p>
      <w:pPr>
        <w:pStyle w:val="FirstParagraph"/>
      </w:pPr>
      <w:r>
        <w:t xml:space="preserve">Seleccione una muestra de sistemas de IA de alto riesgo y verifique que el monitoreo es activo en lugar de puramente reactivo, cubre la versión de vida útil y producción real implementada, utiliza umbrales definidos, analiza datos relevantes y desencadena procesos documentados de riesgo, incidente y acción correctiva.</w:t>
      </w:r>
    </w:p>
    <w:bookmarkEnd w:id="477"/>
    <w:bookmarkStart w:id="478" w:name="referencias-jurídicas-primarias-17"/>
    <w:p>
      <w:pPr>
        <w:pStyle w:val="Heading2"/>
      </w:pPr>
      <w:r>
        <w:rPr>
          <w:rStyle w:val="SectionNumber"/>
        </w:rPr>
        <w:t xml:space="preserve">1.435</w:t>
      </w:r>
      <w:r>
        <w:tab/>
      </w:r>
      <w:r>
        <w:t xml:space="preserve">Referencias jurídicas primarias</w:t>
      </w:r>
    </w:p>
    <w:p>
      <w:pPr>
        <w:numPr>
          <w:ilvl w:val="0"/>
          <w:numId w:val="1118"/>
        </w:numPr>
        <w:pStyle w:val="Compact"/>
      </w:pPr>
      <w:r>
        <w:t xml:space="preserve">Reglamento (UE) 2024/1689, modificado: artículo 72 y anexo IV.</w:t>
      </w:r>
    </w:p>
    <w:p>
      <w:pPr>
        <w:numPr>
          <w:ilvl w:val="0"/>
          <w:numId w:val="1118"/>
        </w:numPr>
        <w:pStyle w:val="Compact"/>
      </w:pPr>
      <w:r>
        <w:t xml:space="preserve">Los actuales controles consolidados de texto EUR-Lex sobre los resúmenes antiguos.</w:t>
      </w:r>
    </w:p>
    <w:bookmarkEnd w:id="478"/>
    <w:bookmarkStart w:id="479" w:name="X313c827c67ace7eaa974b2ac7db1bfd118e1f42"/>
    <w:p>
      <w:pPr>
        <w:pStyle w:val="Heading2"/>
      </w:pPr>
      <w:r>
        <w:rPr>
          <w:rStyle w:val="SectionNumber"/>
        </w:rPr>
        <w:t xml:space="preserve">1.436</w:t>
      </w:r>
      <w:r>
        <w:tab/>
      </w:r>
      <w:r>
        <w:t xml:space="preserve">Capítulo 50 — Información sobre incidentes graves</w:t>
      </w:r>
    </w:p>
    <w:p>
      <w:pPr>
        <w:pStyle w:val="BlockText"/>
      </w:pPr>
      <w:r>
        <w:rPr>
          <w:bCs/>
          <w:b/>
        </w:rPr>
        <w:t xml:space="preserve">Estatus legal:</w:t>
      </w:r>
      <w:r>
        <w:t xml:space="preserve"> </w:t>
      </w:r>
      <w:r>
        <w:t xml:space="preserve">Corregido Maestro Inglés para la consolidación. Este archivo controla el lenguaje de borrador del Capítulo 50 anterior.</w:t>
      </w:r>
    </w:p>
    <w:bookmarkEnd w:id="479"/>
    <w:bookmarkStart w:id="480" w:name="requisito-48"/>
    <w:p>
      <w:pPr>
        <w:pStyle w:val="Heading2"/>
      </w:pPr>
      <w:r>
        <w:rPr>
          <w:rStyle w:val="SectionNumber"/>
        </w:rPr>
        <w:t xml:space="preserve">1.437</w:t>
      </w:r>
      <w:r>
        <w:tab/>
      </w:r>
      <w:r>
        <w:t xml:space="preserve">Requisito</w:t>
      </w:r>
    </w:p>
    <w:p>
      <w:pPr>
        <w:pStyle w:val="FirstParagraph"/>
      </w:pPr>
      <w:r>
        <w:t xml:space="preserve">Los proveedores de sistemas de IA de alto riesgo introducidos en el mercado de la Unión deben notificar incidentes graves a las autoridades de vigilancia del mercado de los Estados miembros en los que se produjo el incidente.</w:t>
      </w:r>
    </w:p>
    <w:bookmarkEnd w:id="480"/>
    <w:bookmarkStart w:id="481" w:name="explicación-en-lenguaje-sencillo-45"/>
    <w:p>
      <w:pPr>
        <w:pStyle w:val="Heading2"/>
      </w:pPr>
      <w:r>
        <w:rPr>
          <w:rStyle w:val="SectionNumber"/>
        </w:rPr>
        <w:t xml:space="preserve">1.438</w:t>
      </w:r>
      <w:r>
        <w:tab/>
      </w:r>
      <w:r>
        <w:t xml:space="preserve">Explicación en lenguaje sencillo</w:t>
      </w:r>
    </w:p>
    <w:p>
      <w:pPr>
        <w:pStyle w:val="FirstParagraph"/>
      </w:pPr>
      <w:r>
        <w:t xml:space="preserve">Un incidente grave no puede esperar a la reunión mensual normal de gobernanza.El proveedor necesita un proceso operativo que identifique eventos reportables, establezca o sospeche razonablemente la relación causal, presente información inicial oportuna cuando los hechos siguen incompletos, y coordine con los despliegues, autoridades, organismos notificados cuando corresponda, equipos de privacidad, equipos de seguridad y reguladores sectoriales.</w:t>
      </w:r>
    </w:p>
    <w:bookmarkEnd w:id="481"/>
    <w:bookmarkStart w:id="482" w:name="plazos-de-presentación-de-informes"/>
    <w:p>
      <w:pPr>
        <w:pStyle w:val="Heading2"/>
      </w:pPr>
      <w:r>
        <w:rPr>
          <w:rStyle w:val="SectionNumber"/>
        </w:rPr>
        <w:t xml:space="preserve">1.439</w:t>
      </w:r>
      <w:r>
        <w:tab/>
      </w:r>
      <w:r>
        <w:t xml:space="preserve">Plazos de presentación de informes</w:t>
      </w:r>
    </w:p>
    <w:p>
      <w:pPr>
        <w:pStyle w:val="FirstParagraph"/>
      </w:pPr>
      <w:r>
        <w:t xml:space="preserve">El proceso de incidente debe distinguir al menos:</w:t>
      </w:r>
    </w:p>
    <w:p>
      <w:pPr>
        <w:numPr>
          <w:ilvl w:val="0"/>
          <w:numId w:val="1119"/>
        </w:numPr>
        <w:pStyle w:val="Compact"/>
      </w:pPr>
      <w:r>
        <w:t xml:space="preserve">el plazo general: inmediatamente después de establecer un vínculo causal o una probabilidad razonable de un vínculo y, en cualquier caso, a más tardar 15 días después del conocimiento;</w:t>
      </w:r>
    </w:p>
    <w:p>
      <w:pPr>
        <w:numPr>
          <w:ilvl w:val="0"/>
          <w:numId w:val="1119"/>
        </w:numPr>
        <w:pStyle w:val="Compact"/>
      </w:pPr>
      <w:r>
        <w:t xml:space="preserve">la infracción generalizada o la categoría de incidentes graves a que se refiere el artículo 3, apartado 49, letra b): inmediatamente y a más tardar dos días después del conocimiento;</w:t>
      </w:r>
    </w:p>
    <w:p>
      <w:pPr>
        <w:numPr>
          <w:ilvl w:val="0"/>
          <w:numId w:val="1119"/>
        </w:numPr>
        <w:pStyle w:val="Compact"/>
      </w:pPr>
      <w:r>
        <w:t xml:space="preserve">muerte de una persona: inmediatamente después de establecer o sospechar una relación causal y a más tardar diez días después de la toma de conciencia;</w:t>
      </w:r>
    </w:p>
    <w:p>
      <w:pPr>
        <w:numPr>
          <w:ilvl w:val="0"/>
          <w:numId w:val="1119"/>
        </w:numPr>
        <w:pStyle w:val="Compact"/>
      </w:pPr>
      <w:r>
        <w:t xml:space="preserve">informes iniciales incompletos seguidos de informes completos cuando sea necesario para la puntualidad.</w:t>
      </w:r>
    </w:p>
    <w:p>
      <w:pPr>
        <w:pStyle w:val="FirstParagraph"/>
      </w:pPr>
      <w:r>
        <w:t xml:space="preserve">Los plazos deben volver a verificarse con arreglo al texto modificado vigente y a las normas sectoriales aplicables antes de su publicación y funcionamiento.</w:t>
      </w:r>
    </w:p>
    <w:bookmarkEnd w:id="482"/>
    <w:bookmarkStart w:id="483" w:name="ejemplo-de-globalway-43"/>
    <w:p>
      <w:pPr>
        <w:pStyle w:val="Heading2"/>
      </w:pPr>
      <w:r>
        <w:rPr>
          <w:rStyle w:val="SectionNumber"/>
        </w:rPr>
        <w:t xml:space="preserve">1.440</w:t>
      </w:r>
      <w:r>
        <w:tab/>
      </w:r>
      <w:r>
        <w:t xml:space="preserve">Ejemplo de GlobalWay</w:t>
      </w:r>
    </w:p>
    <w:p>
      <w:pPr>
        <w:pStyle w:val="FirstParagraph"/>
      </w:pPr>
      <w:r>
        <w:t xml:space="preserve">Un sistema de selección de empleados de alto riesgo produce un defecto que excluye sistemáticamente a los solicitantes con una característica protegida en varios Estados miembros. GlobalWay suspende el flujo de trabajo afectado, preserva el sistema y los registros de decisiones, informa al proveedor, comienza la evaluación de impacto, determina la autoridad pertinente y el calendario de presentación de informes, y documenta la base para cada decisión de notificación.</w:t>
      </w:r>
    </w:p>
    <w:bookmarkEnd w:id="483"/>
    <w:bookmarkStart w:id="484" w:name="actividad-de-control-44"/>
    <w:p>
      <w:pPr>
        <w:pStyle w:val="Heading2"/>
      </w:pPr>
      <w:r>
        <w:rPr>
          <w:rStyle w:val="SectionNumber"/>
        </w:rPr>
        <w:t xml:space="preserve">1.441</w:t>
      </w:r>
      <w:r>
        <w:tab/>
      </w:r>
      <w:r>
        <w:t xml:space="preserve">Actividad de control</w:t>
      </w:r>
    </w:p>
    <w:p>
      <w:pPr>
        <w:pStyle w:val="FirstParagraph"/>
      </w:pPr>
      <w:r>
        <w:t xml:space="preserve">El proveedor y el implementador deben mantener un procedimiento de respuesta a incidentes graves con escalada 24/7, asignación de roles, triaje legal, cálculo de plazos, preservación de evidencia, información de contacto reguladora, plantillas de informes iniciales y complementarios, controles de investigación y vinculación de acciones correctivas.</w:t>
      </w:r>
    </w:p>
    <w:p>
      <w:pPr>
        <w:pStyle w:val="BodyText"/>
      </w:pPr>
      <w:r>
        <w:t xml:space="preserve">El proveedor no debe modificar el sistema afectado de manera que pueda comprometer la evaluación posterior de las causas del incidente antes de informar a las autoridades competentes de dicha acción.</w:t>
      </w:r>
    </w:p>
    <w:bookmarkEnd w:id="484"/>
    <w:bookmarkStart w:id="485" w:name="pruebas-49"/>
    <w:p>
      <w:pPr>
        <w:pStyle w:val="Heading2"/>
      </w:pPr>
      <w:r>
        <w:rPr>
          <w:rStyle w:val="SectionNumber"/>
        </w:rPr>
        <w:t xml:space="preserve">1.442</w:t>
      </w:r>
      <w:r>
        <w:tab/>
      </w:r>
      <w:r>
        <w:t xml:space="preserve">Pruebas</w:t>
      </w:r>
    </w:p>
    <w:p>
      <w:pPr>
        <w:numPr>
          <w:ilvl w:val="0"/>
          <w:numId w:val="1120"/>
        </w:numPr>
        <w:pStyle w:val="Compact"/>
      </w:pPr>
      <w:r>
        <w:t xml:space="preserve">admisión de incidentes y registro de clasificación;</w:t>
      </w:r>
    </w:p>
    <w:p>
      <w:pPr>
        <w:numPr>
          <w:ilvl w:val="0"/>
          <w:numId w:val="1120"/>
        </w:numPr>
        <w:pStyle w:val="Compact"/>
      </w:pPr>
      <w:r>
        <w:t xml:space="preserve">las marcas de tiempo de sensibilización y de fecha límite;</w:t>
      </w:r>
    </w:p>
    <w:p>
      <w:pPr>
        <w:numPr>
          <w:ilvl w:val="0"/>
          <w:numId w:val="1120"/>
        </w:numPr>
        <w:pStyle w:val="Compact"/>
      </w:pPr>
      <w:r>
        <w:t xml:space="preserve">evaluación de la relación causal;</w:t>
      </w:r>
    </w:p>
    <w:p>
      <w:pPr>
        <w:numPr>
          <w:ilvl w:val="0"/>
          <w:numId w:val="1120"/>
        </w:numPr>
        <w:pStyle w:val="Compact"/>
      </w:pPr>
      <w:r>
        <w:t xml:space="preserve">registros, versiones, datos y configuración conservados;</w:t>
      </w:r>
    </w:p>
    <w:p>
      <w:pPr>
        <w:numPr>
          <w:ilvl w:val="0"/>
          <w:numId w:val="1120"/>
        </w:numPr>
        <w:pStyle w:val="Compact"/>
      </w:pPr>
      <w:r>
        <w:t xml:space="preserve">los informes reglamentarios iniciales y firmes;</w:t>
      </w:r>
    </w:p>
    <w:p>
      <w:pPr>
        <w:numPr>
          <w:ilvl w:val="0"/>
          <w:numId w:val="1120"/>
        </w:numPr>
        <w:pStyle w:val="Compact"/>
      </w:pPr>
      <w:r>
        <w:t xml:space="preserve">las comunicaciones de las autoridades;</w:t>
      </w:r>
    </w:p>
    <w:p>
      <w:pPr>
        <w:numPr>
          <w:ilvl w:val="0"/>
          <w:numId w:val="1120"/>
        </w:numPr>
        <w:pStyle w:val="Compact"/>
      </w:pPr>
      <w:r>
        <w:t xml:space="preserve">investigación y evaluación del riesgo;</w:t>
      </w:r>
    </w:p>
    <w:p>
      <w:pPr>
        <w:numPr>
          <w:ilvl w:val="0"/>
          <w:numId w:val="1120"/>
        </w:numPr>
        <w:pStyle w:val="Compact"/>
      </w:pPr>
      <w:r>
        <w:t xml:space="preserve">registros de medidas correctoras;</w:t>
      </w:r>
    </w:p>
    <w:p>
      <w:pPr>
        <w:numPr>
          <w:ilvl w:val="0"/>
          <w:numId w:val="1120"/>
        </w:numPr>
        <w:pStyle w:val="Compact"/>
      </w:pPr>
      <w:r>
        <w:t xml:space="preserve">la coordinación de los despliegues, proveedores y organismos notificados;</w:t>
      </w:r>
    </w:p>
    <w:p>
      <w:pPr>
        <w:numPr>
          <w:ilvl w:val="0"/>
          <w:numId w:val="1120"/>
        </w:numPr>
        <w:pStyle w:val="Compact"/>
      </w:pPr>
      <w:r>
        <w:t xml:space="preserve">la gestión y la escalada de la junta.</w:t>
      </w:r>
    </w:p>
    <w:bookmarkEnd w:id="485"/>
    <w:bookmarkStart w:id="486" w:name="prueba-de-auditoría-45"/>
    <w:p>
      <w:pPr>
        <w:pStyle w:val="Heading2"/>
      </w:pPr>
      <w:r>
        <w:rPr>
          <w:rStyle w:val="SectionNumber"/>
        </w:rPr>
        <w:t xml:space="preserve">1.443</w:t>
      </w:r>
      <w:r>
        <w:tab/>
      </w:r>
      <w:r>
        <w:t xml:space="preserve">Prueba de auditoría</w:t>
      </w:r>
    </w:p>
    <w:p>
      <w:pPr>
        <w:pStyle w:val="FirstParagraph"/>
      </w:pPr>
      <w:r>
        <w:t xml:space="preserve">Recalcular el plazo de notificación aplicable, verificar la fecha de conocimiento y el análisis de la relación causal, confirmar la preservación de las pruebas y la coordinación de las autoridades, y comprobar si se han actualizado las medidas correctoras y el seguimiento posterior a la comercialización.</w:t>
      </w:r>
    </w:p>
    <w:bookmarkEnd w:id="486"/>
    <w:bookmarkStart w:id="487" w:name="referencias-jurídicas-primarias-18"/>
    <w:p>
      <w:pPr>
        <w:pStyle w:val="Heading2"/>
      </w:pPr>
      <w:r>
        <w:rPr>
          <w:rStyle w:val="SectionNumber"/>
        </w:rPr>
        <w:t xml:space="preserve">1.444</w:t>
      </w:r>
      <w:r>
        <w:tab/>
      </w:r>
      <w:r>
        <w:t xml:space="preserve">Referencias jurídicas primarias</w:t>
      </w:r>
    </w:p>
    <w:p>
      <w:pPr>
        <w:numPr>
          <w:ilvl w:val="0"/>
          <w:numId w:val="1121"/>
        </w:numPr>
        <w:pStyle w:val="Compact"/>
      </w:pPr>
      <w:r>
        <w:t xml:space="preserve">Reglamento (UE) 2024/1689, modificado: artículo 3, apartado 49, y artículo 73.</w:t>
      </w:r>
    </w:p>
    <w:p>
      <w:pPr>
        <w:numPr>
          <w:ilvl w:val="0"/>
          <w:numId w:val="1121"/>
        </w:numPr>
        <w:pStyle w:val="Compact"/>
      </w:pPr>
      <w:r>
        <w:t xml:space="preserve">Cuando proceda, armonización de la Unión y legislación sectorial aplicable.</w:t>
      </w:r>
    </w:p>
    <w:p>
      <w:pPr>
        <w:numPr>
          <w:ilvl w:val="0"/>
          <w:numId w:val="1121"/>
        </w:numPr>
        <w:pStyle w:val="Compact"/>
      </w:pPr>
      <w:r>
        <w:t xml:space="preserve">Los actuales controles consolidados de texto EUR-Lex sobre los resúmenes antiguos.</w:t>
      </w:r>
    </w:p>
    <w:bookmarkEnd w:id="487"/>
    <w:bookmarkStart w:id="488" w:name="X27dc56ddb30e40ee815c5d393366429220d3b8a"/>
    <w:p>
      <w:pPr>
        <w:pStyle w:val="Heading2"/>
      </w:pPr>
      <w:r>
        <w:rPr>
          <w:rStyle w:val="SectionNumber"/>
        </w:rPr>
        <w:t xml:space="preserve">1.445</w:t>
      </w:r>
      <w:r>
        <w:tab/>
      </w:r>
      <w:r>
        <w:t xml:space="preserve">Capítulo 51 — Acción correctiva, retirada y retirada</w:t>
      </w:r>
    </w:p>
    <w:p>
      <w:pPr>
        <w:pStyle w:val="BlockText"/>
      </w:pPr>
      <w:r>
        <w:rPr>
          <w:bCs/>
          <w:b/>
        </w:rPr>
        <w:t xml:space="preserve">Estatus legal:</w:t>
      </w:r>
      <w:r>
        <w:t xml:space="preserve"> </w:t>
      </w:r>
      <w:r>
        <w:t xml:space="preserve">Corregido Maestro Inglés para la consolidación. Este archivo controla el lenguaje de borrador anterior del Capítulo 51 en conflicto.</w:t>
      </w:r>
    </w:p>
    <w:bookmarkEnd w:id="488"/>
    <w:bookmarkStart w:id="489" w:name="requisito-49"/>
    <w:p>
      <w:pPr>
        <w:pStyle w:val="Heading2"/>
      </w:pPr>
      <w:r>
        <w:rPr>
          <w:rStyle w:val="SectionNumber"/>
        </w:rPr>
        <w:t xml:space="preserve">1.446</w:t>
      </w:r>
      <w:r>
        <w:tab/>
      </w:r>
      <w:r>
        <w:t xml:space="preserve">Requisito</w:t>
      </w:r>
    </w:p>
    <w:p>
      <w:pPr>
        <w:pStyle w:val="FirstParagraph"/>
      </w:pPr>
      <w:r>
        <w:t xml:space="preserve">Cuando un proveedor tenga motivos para considerar que un sistema de IA de alto riesgo no es conforme con el Reglamento (UE) 2024/1689, en su versión modificada, deberá adoptar inmediatamente las medidas correctoras necesarias para poner el sistema en conformidad, retirarlo, desactivarlo o retirarlo, según proceda. Los distribuidores, importadores, despliegues, representantes autorizados y autoridades competentes pertinentes deberán ser informados cuando sea necesario.</w:t>
      </w:r>
    </w:p>
    <w:bookmarkEnd w:id="489"/>
    <w:bookmarkStart w:id="490" w:name="explicación-en-lenguaje-sencillo-46"/>
    <w:p>
      <w:pPr>
        <w:pStyle w:val="Heading2"/>
      </w:pPr>
      <w:r>
        <w:rPr>
          <w:rStyle w:val="SectionNumber"/>
        </w:rPr>
        <w:t xml:space="preserve">1.447</w:t>
      </w:r>
      <w:r>
        <w:tab/>
      </w:r>
      <w:r>
        <w:t xml:space="preserve">Explicación en lenguaje sencillo</w:t>
      </w:r>
    </w:p>
    <w:p>
      <w:pPr>
        <w:pStyle w:val="FirstParagraph"/>
      </w:pPr>
      <w:r>
        <w:t xml:space="preserve">Un defecto o fallo de cumplimiento requiere más que documentar un hallazgo. La organización debe determinar las versiones e implementaciones afectadas, contener el riesgo, proteger a las personas afectadas, corregir el sistema cuando sea posible, y eliminarlo o desactivarlo cuando la corrección no pueda proporcionar la protección adecuada.</w:t>
      </w:r>
    </w:p>
    <w:bookmarkEnd w:id="490"/>
    <w:bookmarkStart w:id="491" w:name="proceso-de-acción-correctiva"/>
    <w:p>
      <w:pPr>
        <w:pStyle w:val="Heading2"/>
      </w:pPr>
      <w:r>
        <w:rPr>
          <w:rStyle w:val="SectionNumber"/>
        </w:rPr>
        <w:t xml:space="preserve">1.448</w:t>
      </w:r>
      <w:r>
        <w:tab/>
      </w:r>
      <w:r>
        <w:t xml:space="preserve">Proceso de acción correctiva</w:t>
      </w:r>
    </w:p>
    <w:p>
      <w:pPr>
        <w:pStyle w:val="FirstParagraph"/>
      </w:pPr>
      <w:r>
        <w:t xml:space="preserve">El proceso debería incluir:</w:t>
      </w:r>
    </w:p>
    <w:p>
      <w:pPr>
        <w:numPr>
          <w:ilvl w:val="0"/>
          <w:numId w:val="1122"/>
        </w:numPr>
        <w:pStyle w:val="Compact"/>
      </w:pPr>
      <w:r>
        <w:t xml:space="preserve">admisión y clasificación de la falta de conformidad;</w:t>
      </w:r>
    </w:p>
    <w:p>
      <w:pPr>
        <w:numPr>
          <w:ilvl w:val="0"/>
          <w:numId w:val="1122"/>
        </w:numPr>
        <w:pStyle w:val="Compact"/>
      </w:pPr>
      <w:r>
        <w:t xml:space="preserve">la contención inmediata y la identificación de la versión afectada;</w:t>
      </w:r>
    </w:p>
    <w:p>
      <w:pPr>
        <w:numPr>
          <w:ilvl w:val="0"/>
          <w:numId w:val="1122"/>
        </w:numPr>
        <w:pStyle w:val="Compact"/>
      </w:pPr>
      <w:r>
        <w:t xml:space="preserve">evaluación del riesgo, la seguridad, los derechos fundamentales, la privacidad y la seguridad;</w:t>
      </w:r>
    </w:p>
    <w:p>
      <w:pPr>
        <w:numPr>
          <w:ilvl w:val="0"/>
          <w:numId w:val="1122"/>
        </w:numPr>
        <w:pStyle w:val="Compact"/>
      </w:pPr>
      <w:r>
        <w:t xml:space="preserve">criterios de decisión para la corrección, suspensión, inhabilitación, retirada o retirada;</w:t>
      </w:r>
    </w:p>
    <w:p>
      <w:pPr>
        <w:numPr>
          <w:ilvl w:val="0"/>
          <w:numId w:val="1122"/>
        </w:numPr>
        <w:pStyle w:val="Compact"/>
      </w:pPr>
      <w:r>
        <w:t xml:space="preserve">las comunicaciones a los agentes de la cadena de valor, a las personas afectadas y a las autoridades cuando sea necesario;</w:t>
      </w:r>
    </w:p>
    <w:p>
      <w:pPr>
        <w:numPr>
          <w:ilvl w:val="0"/>
          <w:numId w:val="1122"/>
        </w:numPr>
        <w:pStyle w:val="Compact"/>
      </w:pPr>
      <w:r>
        <w:t xml:space="preserve">análisis de la causa raíz;</w:t>
      </w:r>
    </w:p>
    <w:p>
      <w:pPr>
        <w:numPr>
          <w:ilvl w:val="0"/>
          <w:numId w:val="1122"/>
        </w:numPr>
        <w:pStyle w:val="Compact"/>
      </w:pPr>
      <w:r>
        <w:t xml:space="preserve">validación de las medidas correctoras antes del redespliegue;</w:t>
      </w:r>
    </w:p>
    <w:p>
      <w:pPr>
        <w:numPr>
          <w:ilvl w:val="0"/>
          <w:numId w:val="1122"/>
        </w:numPr>
        <w:pStyle w:val="Compact"/>
      </w:pPr>
      <w:r>
        <w:t xml:space="preserve">documentación técnica, conformidad, gestión de riesgos y actualizaciones de seguimiento;</w:t>
      </w:r>
    </w:p>
    <w:p>
      <w:pPr>
        <w:numPr>
          <w:ilvl w:val="0"/>
          <w:numId w:val="1122"/>
        </w:numPr>
        <w:pStyle w:val="Compact"/>
      </w:pPr>
      <w:r>
        <w:t xml:space="preserve">pruebas de eficacia y cierre formal;</w:t>
      </w:r>
    </w:p>
    <w:p>
      <w:pPr>
        <w:numPr>
          <w:ilvl w:val="0"/>
          <w:numId w:val="1122"/>
        </w:numPr>
        <w:pStyle w:val="Compact"/>
      </w:pPr>
      <w:r>
        <w:t xml:space="preserve">prevención de recurrencias.</w:t>
      </w:r>
    </w:p>
    <w:bookmarkEnd w:id="491"/>
    <w:bookmarkStart w:id="492" w:name="ejemplo-de-globalway-44"/>
    <w:p>
      <w:pPr>
        <w:pStyle w:val="Heading2"/>
      </w:pPr>
      <w:r>
        <w:rPr>
          <w:rStyle w:val="SectionNumber"/>
        </w:rPr>
        <w:t xml:space="preserve">1.449</w:t>
      </w:r>
      <w:r>
        <w:tab/>
      </w:r>
      <w:r>
        <w:t xml:space="preserve">Ejemplo de GlobalWay</w:t>
      </w:r>
    </w:p>
    <w:p>
      <w:pPr>
        <w:pStyle w:val="FirstParagraph"/>
      </w:pPr>
      <w:r>
        <w:t xml:space="preserve">GlobalWay se entera de que una versión de selección de reclutamiento pondera incorrectamente una variable proxy y perjudica materialmente a un grupo protegido. La versión afectada está inhabilitada, las decisiones pendientes se dirigen a revisores humanos capacitados, el proveedor identifica todas las implementaciones impactadas, preserva la evidencia, corrige y vuelve a probar el modelo, se comunica con los actores relevantes y evalúa si se requieren notificaciones regulatorias y de personas afectadas.</w:t>
      </w:r>
    </w:p>
    <w:bookmarkEnd w:id="492"/>
    <w:bookmarkStart w:id="493" w:name="actividad-de-control-45"/>
    <w:p>
      <w:pPr>
        <w:pStyle w:val="Heading2"/>
      </w:pPr>
      <w:r>
        <w:rPr>
          <w:rStyle w:val="SectionNumber"/>
        </w:rPr>
        <w:t xml:space="preserve">1.450</w:t>
      </w:r>
      <w:r>
        <w:tab/>
      </w:r>
      <w:r>
        <w:t xml:space="preserve">Actividad de control</w:t>
      </w:r>
    </w:p>
    <w:p>
      <w:pPr>
        <w:pStyle w:val="FirstParagraph"/>
      </w:pPr>
      <w:r>
        <w:t xml:space="preserve">El proveedor debe mantener un procedimiento documentado de no conformidad y acción correctiva con autoridad definida para suspender el uso de la producción. Las acciones correctivas deben estar basadas en el riesgo, específicas de la versión, validadas independientemente del equipo de implementación cuando proceda, y vinculadas a incidentes, quejas, post-comercialización y procesos de gestión del cambio.</w:t>
      </w:r>
    </w:p>
    <w:bookmarkEnd w:id="493"/>
    <w:bookmarkStart w:id="494" w:name="pruebas-50"/>
    <w:p>
      <w:pPr>
        <w:pStyle w:val="Heading2"/>
      </w:pPr>
      <w:r>
        <w:rPr>
          <w:rStyle w:val="SectionNumber"/>
        </w:rPr>
        <w:t xml:space="preserve">1.451</w:t>
      </w:r>
      <w:r>
        <w:tab/>
      </w:r>
      <w:r>
        <w:t xml:space="preserve">Pruebas</w:t>
      </w:r>
    </w:p>
    <w:p>
      <w:pPr>
        <w:numPr>
          <w:ilvl w:val="0"/>
          <w:numId w:val="1123"/>
        </w:numPr>
        <w:pStyle w:val="Compact"/>
      </w:pPr>
      <w:r>
        <w:t xml:space="preserve">el registro de no conformidad;</w:t>
      </w:r>
    </w:p>
    <w:p>
      <w:pPr>
        <w:numPr>
          <w:ilvl w:val="0"/>
          <w:numId w:val="1123"/>
        </w:numPr>
        <w:pStyle w:val="Compact"/>
      </w:pPr>
      <w:r>
        <w:t xml:space="preserve">el sistema afectado y el inventario de versiones;</w:t>
      </w:r>
    </w:p>
    <w:p>
      <w:pPr>
        <w:numPr>
          <w:ilvl w:val="0"/>
          <w:numId w:val="1123"/>
        </w:numPr>
        <w:pStyle w:val="Compact"/>
      </w:pPr>
      <w:r>
        <w:t xml:space="preserve">decisión de contención y suspensión;</w:t>
      </w:r>
    </w:p>
    <w:p>
      <w:pPr>
        <w:numPr>
          <w:ilvl w:val="0"/>
          <w:numId w:val="1123"/>
        </w:numPr>
        <w:pStyle w:val="Compact"/>
      </w:pPr>
      <w:r>
        <w:t xml:space="preserve">análisis de la causa raíz;</w:t>
      </w:r>
    </w:p>
    <w:p>
      <w:pPr>
        <w:numPr>
          <w:ilvl w:val="0"/>
          <w:numId w:val="1123"/>
        </w:numPr>
        <w:pStyle w:val="Compact"/>
      </w:pPr>
      <w:r>
        <w:t xml:space="preserve">plan de medidas correctoras;</w:t>
      </w:r>
    </w:p>
    <w:p>
      <w:pPr>
        <w:numPr>
          <w:ilvl w:val="0"/>
          <w:numId w:val="1123"/>
        </w:numPr>
        <w:pStyle w:val="Compact"/>
      </w:pPr>
      <w:r>
        <w:t xml:space="preserve">resultados de reprueba y validación;</w:t>
      </w:r>
    </w:p>
    <w:p>
      <w:pPr>
        <w:numPr>
          <w:ilvl w:val="0"/>
          <w:numId w:val="1123"/>
        </w:numPr>
        <w:pStyle w:val="Compact"/>
      </w:pPr>
      <w:r>
        <w:t xml:space="preserve">las comunicaciones de retirada o retirada;</w:t>
      </w:r>
    </w:p>
    <w:p>
      <w:pPr>
        <w:numPr>
          <w:ilvl w:val="0"/>
          <w:numId w:val="1123"/>
        </w:numPr>
        <w:pStyle w:val="Compact"/>
      </w:pPr>
      <w:r>
        <w:t xml:space="preserve">la autoridad y las notificaciones a las personas afectadas, cuando proceda;</w:t>
      </w:r>
    </w:p>
    <w:p>
      <w:pPr>
        <w:numPr>
          <w:ilvl w:val="0"/>
          <w:numId w:val="1123"/>
        </w:numPr>
        <w:pStyle w:val="Compact"/>
      </w:pPr>
      <w:r>
        <w:t xml:space="preserve">los registros técnicos y de conformidad actualizados;</w:t>
      </w:r>
    </w:p>
    <w:p>
      <w:pPr>
        <w:numPr>
          <w:ilvl w:val="0"/>
          <w:numId w:val="1123"/>
        </w:numPr>
        <w:pStyle w:val="Compact"/>
      </w:pPr>
      <w:r>
        <w:t xml:space="preserve">revisión de la eficacia y aprobación del cierre.</w:t>
      </w:r>
    </w:p>
    <w:bookmarkEnd w:id="494"/>
    <w:bookmarkStart w:id="495" w:name="prueba-de-auditoría-46"/>
    <w:p>
      <w:pPr>
        <w:pStyle w:val="Heading2"/>
      </w:pPr>
      <w:r>
        <w:rPr>
          <w:rStyle w:val="SectionNumber"/>
        </w:rPr>
        <w:t xml:space="preserve">1.452</w:t>
      </w:r>
      <w:r>
        <w:tab/>
      </w:r>
      <w:r>
        <w:t xml:space="preserve">Prueba de auditoría</w:t>
      </w:r>
    </w:p>
    <w:p>
      <w:pPr>
        <w:pStyle w:val="FirstParagraph"/>
      </w:pPr>
      <w:r>
        <w:t xml:space="preserve">Seleccione una muestra de no conformidades significativas, confirme que la contención fue oportuna, que se identificaron versiones afectadas y despliegues, que el remedio seleccionado fue proporcionado, que las comunicaciones fueron completas, que las medidas correctivas fueron validadas antes del redespliegue, y que la evidencia de cierre demuestra eficacia.</w:t>
      </w:r>
    </w:p>
    <w:bookmarkEnd w:id="495"/>
    <w:bookmarkStart w:id="496" w:name="referencias-jurídicas-primarias-19"/>
    <w:p>
      <w:pPr>
        <w:pStyle w:val="Heading2"/>
      </w:pPr>
      <w:r>
        <w:rPr>
          <w:rStyle w:val="SectionNumber"/>
        </w:rPr>
        <w:t xml:space="preserve">1.453</w:t>
      </w:r>
      <w:r>
        <w:tab/>
      </w:r>
      <w:r>
        <w:t xml:space="preserve">Referencias jurídicas primarias</w:t>
      </w:r>
    </w:p>
    <w:p>
      <w:pPr>
        <w:numPr>
          <w:ilvl w:val="0"/>
          <w:numId w:val="1124"/>
        </w:numPr>
        <w:pStyle w:val="Compact"/>
      </w:pPr>
      <w:r>
        <w:t xml:space="preserve">Reglamento (UE) n.o 2024/1689, en su versión modificada: proveedor, importador, distribuidor, implementador, poscomercialización, vigilancia del mercado y disposiciones sobre medidas correctoras, incluidos los artículos 20 a 26 y el capítulo IX, según proceda.</w:t>
      </w:r>
    </w:p>
    <w:p>
      <w:pPr>
        <w:numPr>
          <w:ilvl w:val="0"/>
          <w:numId w:val="1124"/>
        </w:numPr>
        <w:pStyle w:val="Compact"/>
      </w:pPr>
      <w:r>
        <w:t xml:space="preserve">Armonización aplicable de la Unión y legislación sectorial.</w:t>
      </w:r>
    </w:p>
    <w:p>
      <w:pPr>
        <w:numPr>
          <w:ilvl w:val="0"/>
          <w:numId w:val="1124"/>
        </w:numPr>
        <w:pStyle w:val="Compact"/>
      </w:pPr>
      <w:r>
        <w:t xml:space="preserve">Los actuales controles consolidados de texto EUR-Lex sobre los resúmenes antiguos.</w:t>
      </w:r>
    </w:p>
    <w:bookmarkEnd w:id="496"/>
    <w:bookmarkStart w:id="497" w:name="Xdf535f53dd3d55539676a8e30bac383103fe553"/>
    <w:p>
      <w:pPr>
        <w:pStyle w:val="Heading2"/>
      </w:pPr>
      <w:r>
        <w:rPr>
          <w:rStyle w:val="SectionNumber"/>
        </w:rPr>
        <w:t xml:space="preserve">1.454</w:t>
      </w:r>
      <w:r>
        <w:tab/>
      </w:r>
      <w:r>
        <w:t xml:space="preserve">Capítulo 52 — Gestión del cambio y modificación sustancial</w:t>
      </w:r>
    </w:p>
    <w:p>
      <w:pPr>
        <w:pStyle w:val="BlockText"/>
      </w:pPr>
      <w:r>
        <w:rPr>
          <w:bCs/>
          <w:b/>
        </w:rPr>
        <w:t xml:space="preserve">Estatus legal:</w:t>
      </w:r>
      <w:r>
        <w:t xml:space="preserve"> </w:t>
      </w:r>
      <w:r>
        <w:t xml:space="preserve">Corregido Maestro Inglés para la consolidación. Este archivo controla el lenguaje de borrador del Capítulo 52 anterior.</w:t>
      </w:r>
    </w:p>
    <w:bookmarkEnd w:id="497"/>
    <w:bookmarkStart w:id="498" w:name="requisito-50"/>
    <w:p>
      <w:pPr>
        <w:pStyle w:val="Heading2"/>
      </w:pPr>
      <w:r>
        <w:rPr>
          <w:rStyle w:val="SectionNumber"/>
        </w:rPr>
        <w:t xml:space="preserve">1.455</w:t>
      </w:r>
      <w:r>
        <w:tab/>
      </w:r>
      <w:r>
        <w:t xml:space="preserve">Requisito</w:t>
      </w:r>
    </w:p>
    <w:p>
      <w:pPr>
        <w:pStyle w:val="FirstParagraph"/>
      </w:pPr>
      <w:r>
        <w:t xml:space="preserve">Los cambios en un sistema de IA de alto riesgo deben evaluarse antes de la implementación para determinar si afectan al propósito previsto, la clasificación reglamentaria, la conformidad, los controles de riesgo, el rendimiento, los datos, la supervisión humana, la ciberseguridad, la documentación o las funciones de actor. Una modificación sustancial puede transferir las obligaciones del proveedor al actor modificador y puede requerir una nueva evaluación de la conformidad y acciones de cumplimiento relacionadas.</w:t>
      </w:r>
    </w:p>
    <w:bookmarkEnd w:id="498"/>
    <w:bookmarkStart w:id="499" w:name="explicación-en-lenguaje-sencillo-47"/>
    <w:p>
      <w:pPr>
        <w:pStyle w:val="Heading2"/>
      </w:pPr>
      <w:r>
        <w:rPr>
          <w:rStyle w:val="SectionNumber"/>
        </w:rPr>
        <w:t xml:space="preserve">1.456</w:t>
      </w:r>
      <w:r>
        <w:tab/>
      </w:r>
      <w:r>
        <w:t xml:space="preserve">Explicación en lenguaje sencillo</w:t>
      </w:r>
    </w:p>
    <w:p>
      <w:pPr>
        <w:pStyle w:val="FirstParagraph"/>
      </w:pPr>
      <w:r>
        <w:t xml:space="preserve">No todos los parches son una modificación sustancial, pero ningún cambio material debe ser asumido inofensivo. La cuestión legal es si el cambio fue previsto y evaluado por el proveedor original y si afecta el cumplimiento o propósito previsto. Los cambios técnicos, comerciales, contractuales, de datos y operacionales pueden importar.</w:t>
      </w:r>
    </w:p>
    <w:bookmarkEnd w:id="499"/>
    <w:bookmarkStart w:id="500" w:name="criterios-de-evaluación-del-cambio"/>
    <w:p>
      <w:pPr>
        <w:pStyle w:val="Heading2"/>
      </w:pPr>
      <w:r>
        <w:rPr>
          <w:rStyle w:val="SectionNumber"/>
        </w:rPr>
        <w:t xml:space="preserve">1.457</w:t>
      </w:r>
      <w:r>
        <w:tab/>
      </w:r>
      <w:r>
        <w:t xml:space="preserve">Criterios de evaluación del cambio</w:t>
      </w:r>
    </w:p>
    <w:p>
      <w:pPr>
        <w:pStyle w:val="FirstParagraph"/>
      </w:pPr>
      <w:r>
        <w:t xml:space="preserve">Evaluar como mínimo:</w:t>
      </w:r>
    </w:p>
    <w:p>
      <w:pPr>
        <w:numPr>
          <w:ilvl w:val="0"/>
          <w:numId w:val="1125"/>
        </w:numPr>
        <w:pStyle w:val="Compact"/>
      </w:pPr>
      <w:r>
        <w:t xml:space="preserve">el cambio a la finalidad prevista, a los usuarios, a la población afectada, a la jurisdicción o a las consecuencias de la decisión;</w:t>
      </w:r>
    </w:p>
    <w:p>
      <w:pPr>
        <w:numPr>
          <w:ilvl w:val="0"/>
          <w:numId w:val="1125"/>
        </w:numPr>
        <w:pStyle w:val="Compact"/>
      </w:pPr>
      <w:r>
        <w:t xml:space="preserve">readiestramiento, ajuste, sustitución de modelos, cambios de parámetros o nuevas fuentes de recuperación;</w:t>
      </w:r>
    </w:p>
    <w:p>
      <w:pPr>
        <w:numPr>
          <w:ilvl w:val="0"/>
          <w:numId w:val="1125"/>
        </w:numPr>
        <w:pStyle w:val="Compact"/>
      </w:pPr>
      <w:r>
        <w:t xml:space="preserve">conjuntos de datos, características, umbral, interfaz o cambios en el flujo de trabajo del material;</w:t>
      </w:r>
    </w:p>
    <w:p>
      <w:pPr>
        <w:numPr>
          <w:ilvl w:val="0"/>
          <w:numId w:val="1125"/>
        </w:numPr>
        <w:pStyle w:val="Compact"/>
      </w:pPr>
      <w:r>
        <w:t xml:space="preserve">nuevas integraciones, funciones autónomas o usos posteriores;</w:t>
      </w:r>
    </w:p>
    <w:p>
      <w:pPr>
        <w:numPr>
          <w:ilvl w:val="0"/>
          <w:numId w:val="1125"/>
        </w:numPr>
        <w:pStyle w:val="Compact"/>
      </w:pPr>
      <w:r>
        <w:t xml:space="preserve">cambios en la exactitud, robustez, seguridad cibernética, sesgo, seguridad o riesgo de derechos fundamentales;</w:t>
      </w:r>
    </w:p>
    <w:p>
      <w:pPr>
        <w:numPr>
          <w:ilvl w:val="0"/>
          <w:numId w:val="1125"/>
        </w:numPr>
        <w:pStyle w:val="Compact"/>
      </w:pPr>
      <w:r>
        <w:t xml:space="preserve">cambios en la supervisión humana, registro, instrucciones o transparencia;</w:t>
      </w:r>
    </w:p>
    <w:p>
      <w:pPr>
        <w:numPr>
          <w:ilvl w:val="0"/>
          <w:numId w:val="1125"/>
        </w:numPr>
        <w:pStyle w:val="Compact"/>
      </w:pPr>
      <w:r>
        <w:t xml:space="preserve">cambios en la marca del proveedor, la asignación contractual o el control operativo;</w:t>
      </w:r>
    </w:p>
    <w:p>
      <w:pPr>
        <w:numPr>
          <w:ilvl w:val="0"/>
          <w:numId w:val="1125"/>
        </w:numPr>
        <w:pStyle w:val="Compact"/>
      </w:pPr>
      <w:r>
        <w:t xml:space="preserve">si el cambio estaba previsto en la evaluación de la conformidad original y en la documentación técnica;</w:t>
      </w:r>
    </w:p>
    <w:p>
      <w:pPr>
        <w:numPr>
          <w:ilvl w:val="0"/>
          <w:numId w:val="1125"/>
        </w:numPr>
        <w:pStyle w:val="Compact"/>
      </w:pPr>
      <w:r>
        <w:t xml:space="preserve">si es necesario renovar la evaluación de la conformidad, el registro, la declaración, el marcado, la notificación o la reevaluación de la función del proveedor.</w:t>
      </w:r>
    </w:p>
    <w:bookmarkEnd w:id="500"/>
    <w:bookmarkStart w:id="501" w:name="ejemplo-de-globalway-45"/>
    <w:p>
      <w:pPr>
        <w:pStyle w:val="Heading2"/>
      </w:pPr>
      <w:r>
        <w:rPr>
          <w:rStyle w:val="SectionNumber"/>
        </w:rPr>
        <w:t xml:space="preserve">1.458</w:t>
      </w:r>
      <w:r>
        <w:tab/>
      </w:r>
      <w:r>
        <w:t xml:space="preserve">Ejemplo de GlobalWay</w:t>
      </w:r>
    </w:p>
    <w:p>
      <w:pPr>
        <w:pStyle w:val="FirstParagraph"/>
      </w:pPr>
      <w:r>
        <w:t xml:space="preserve">GlobalWay afina un modelo de contratación de proveedores utilizando sus propios datos históricos de solicitantes, cambia los umbrales de clasificación e implementa el resultado bajo su propia marca. La tabla de cambios no trata esto como configuración de rutina. Realiza una modificación sustancial y una evaluación del rol del proveedor, actualiza los archivos de riesgo y gobernanza de datos, y bloquea la liberación hasta que se documentan las decisiones legales y de conformidad.</w:t>
      </w:r>
    </w:p>
    <w:bookmarkEnd w:id="501"/>
    <w:bookmarkStart w:id="502" w:name="actividad-de-control-46"/>
    <w:p>
      <w:pPr>
        <w:pStyle w:val="Heading2"/>
      </w:pPr>
      <w:r>
        <w:rPr>
          <w:rStyle w:val="SectionNumber"/>
        </w:rPr>
        <w:t xml:space="preserve">1.459</w:t>
      </w:r>
      <w:r>
        <w:tab/>
      </w:r>
      <w:r>
        <w:t xml:space="preserve">Actividad de control</w:t>
      </w:r>
    </w:p>
    <w:p>
      <w:pPr>
        <w:pStyle w:val="FirstParagraph"/>
      </w:pPr>
      <w:r>
        <w:t xml:space="preserve">Cada cambio de producción debe pasar una evaluación documentada del cambio de IA antes de la aprobación. Los cambios de alto impacto requieren legal, cumplimiento, privacidad, seguridad, modelo-riesgo y revisión del dueño de negocio.</w:t>
      </w:r>
    </w:p>
    <w:bookmarkEnd w:id="502"/>
    <w:bookmarkStart w:id="503" w:name="pruebas-51"/>
    <w:p>
      <w:pPr>
        <w:pStyle w:val="Heading2"/>
      </w:pPr>
      <w:r>
        <w:rPr>
          <w:rStyle w:val="SectionNumber"/>
        </w:rPr>
        <w:t xml:space="preserve">1.460</w:t>
      </w:r>
      <w:r>
        <w:tab/>
      </w:r>
      <w:r>
        <w:t xml:space="preserve">Pruebas</w:t>
      </w:r>
    </w:p>
    <w:p>
      <w:pPr>
        <w:numPr>
          <w:ilvl w:val="0"/>
          <w:numId w:val="1126"/>
        </w:numPr>
        <w:pStyle w:val="Compact"/>
      </w:pPr>
      <w:r>
        <w:t xml:space="preserve">la solicitud de modificación y la descripción técnica;</w:t>
      </w:r>
    </w:p>
    <w:p>
      <w:pPr>
        <w:numPr>
          <w:ilvl w:val="0"/>
          <w:numId w:val="1126"/>
        </w:numPr>
        <w:pStyle w:val="Compact"/>
      </w:pPr>
      <w:r>
        <w:t xml:space="preserve">análisis de los fines previstos antes y después;</w:t>
      </w:r>
    </w:p>
    <w:p>
      <w:pPr>
        <w:numPr>
          <w:ilvl w:val="0"/>
          <w:numId w:val="1126"/>
        </w:numPr>
        <w:pStyle w:val="Compact"/>
      </w:pPr>
      <w:r>
        <w:t xml:space="preserve">evaluación de la modificación sustancial;</w:t>
      </w:r>
    </w:p>
    <w:p>
      <w:pPr>
        <w:numPr>
          <w:ilvl w:val="0"/>
          <w:numId w:val="1126"/>
        </w:numPr>
        <w:pStyle w:val="Compact"/>
      </w:pPr>
      <w:r>
        <w:t xml:space="preserve">la reevaluación de la función del proveedor;</w:t>
      </w:r>
    </w:p>
    <w:p>
      <w:pPr>
        <w:numPr>
          <w:ilvl w:val="0"/>
          <w:numId w:val="1126"/>
        </w:numPr>
        <w:pStyle w:val="Compact"/>
      </w:pPr>
      <w:r>
        <w:t xml:space="preserve">información actualizada sobre riesgos, datos, supervisión y pruebas de ciberseguridad;</w:t>
      </w:r>
    </w:p>
    <w:p>
      <w:pPr>
        <w:numPr>
          <w:ilvl w:val="0"/>
          <w:numId w:val="1126"/>
        </w:numPr>
        <w:pStyle w:val="Compact"/>
      </w:pPr>
      <w:r>
        <w:t xml:space="preserve">regresión, subgrupo y pruebas de seguridad;</w:t>
      </w:r>
    </w:p>
    <w:p>
      <w:pPr>
        <w:numPr>
          <w:ilvl w:val="0"/>
          <w:numId w:val="1126"/>
        </w:numPr>
        <w:pStyle w:val="Compact"/>
      </w:pPr>
      <w:r>
        <w:t xml:space="preserve">las decisiones de conformidad y registro;</w:t>
      </w:r>
    </w:p>
    <w:p>
      <w:pPr>
        <w:numPr>
          <w:ilvl w:val="0"/>
          <w:numId w:val="1126"/>
        </w:numPr>
        <w:pStyle w:val="Compact"/>
      </w:pPr>
      <w:r>
        <w:t xml:space="preserve">documentación técnica e instrucciones actualizadas;</w:t>
      </w:r>
    </w:p>
    <w:p>
      <w:pPr>
        <w:numPr>
          <w:ilvl w:val="0"/>
          <w:numId w:val="1126"/>
        </w:numPr>
        <w:pStyle w:val="Compact"/>
      </w:pPr>
      <w:r>
        <w:t xml:space="preserve">aprobación de la liberación y plan de reversión;</w:t>
      </w:r>
    </w:p>
    <w:p>
      <w:pPr>
        <w:numPr>
          <w:ilvl w:val="0"/>
          <w:numId w:val="1126"/>
        </w:numPr>
        <w:pStyle w:val="Compact"/>
      </w:pPr>
      <w:r>
        <w:t xml:space="preserve">resultados de seguimiento tras el cambio.</w:t>
      </w:r>
    </w:p>
    <w:bookmarkEnd w:id="503"/>
    <w:bookmarkStart w:id="504" w:name="prueba-de-auditoría-47"/>
    <w:p>
      <w:pPr>
        <w:pStyle w:val="Heading2"/>
      </w:pPr>
      <w:r>
        <w:rPr>
          <w:rStyle w:val="SectionNumber"/>
        </w:rPr>
        <w:t xml:space="preserve">1.461</w:t>
      </w:r>
      <w:r>
        <w:tab/>
      </w:r>
      <w:r>
        <w:t xml:space="preserve">Prueba de auditoría</w:t>
      </w:r>
    </w:p>
    <w:p>
      <w:pPr>
        <w:pStyle w:val="FirstParagraph"/>
      </w:pPr>
      <w:r>
        <w:t xml:space="preserve">Seleccione una muestra de cambios significativos. Confirme que la organización evaluó el propósito previsto, la previsibilidad, el impacto en el cumplimiento, la transferencia de funciones y las consecuencias de conformidad antes de la liberación; verifique que los ensayos y la documentación coinciden con la versión implementada; y confirme que se realizó la supervisión posterior al cambio.</w:t>
      </w:r>
    </w:p>
    <w:bookmarkEnd w:id="504"/>
    <w:bookmarkStart w:id="505" w:name="referencias-jurídicas-primarias-20"/>
    <w:p>
      <w:pPr>
        <w:pStyle w:val="Heading2"/>
      </w:pPr>
      <w:r>
        <w:rPr>
          <w:rStyle w:val="SectionNumber"/>
        </w:rPr>
        <w:t xml:space="preserve">1.462</w:t>
      </w:r>
      <w:r>
        <w:tab/>
      </w:r>
      <w:r>
        <w:t xml:space="preserve">Referencias jurídicas primarias</w:t>
      </w:r>
    </w:p>
    <w:p>
      <w:pPr>
        <w:numPr>
          <w:ilvl w:val="0"/>
          <w:numId w:val="1127"/>
        </w:numPr>
        <w:pStyle w:val="Compact"/>
      </w:pPr>
      <w:r>
        <w:t xml:space="preserve">Reglamento (UE) 2024/1689, modificado: artículo 3, definición de modificación sustancial, artículo 25, y disposiciones aplicables de conformidad, registro, documentación técnica y poscomercialización.</w:t>
      </w:r>
    </w:p>
    <w:p>
      <w:pPr>
        <w:numPr>
          <w:ilvl w:val="0"/>
          <w:numId w:val="1127"/>
        </w:numPr>
        <w:pStyle w:val="Compact"/>
      </w:pPr>
      <w:r>
        <w:t xml:space="preserve">Los actuales controles consolidados de texto EUR-Lex sobre los resúmenes antiguos.</w:t>
      </w:r>
    </w:p>
    <w:p>
      <w:pPr>
        <w:numPr>
          <w:ilvl w:val="0"/>
          <w:numId w:val="1127"/>
        </w:numPr>
        <w:pStyle w:val="Compact"/>
      </w:pPr>
      <w:r>
        <w:t xml:space="preserve">Las orientaciones de la Comisión sobre modificaciones sustanciales deben identificarse como no vinculantes a menos que se adopten formalmente con efecto vinculante y hasta su adopción.</w:t>
      </w:r>
    </w:p>
    <w:bookmarkEnd w:id="505"/>
    <w:bookmarkStart w:id="506" w:name="X348ae7f2c33beef3e9c901bb562f3caf6d6def7"/>
    <w:p>
      <w:pPr>
        <w:pStyle w:val="Heading2"/>
      </w:pPr>
      <w:r>
        <w:rPr>
          <w:rStyle w:val="SectionNumber"/>
        </w:rPr>
        <w:t xml:space="preserve">1.463</w:t>
      </w:r>
      <w:r>
        <w:tab/>
      </w:r>
      <w:r>
        <w:t xml:space="preserve">Capítulo 53 — Comprensión de las funciones de la GPAI</w:t>
      </w:r>
    </w:p>
    <w:p>
      <w:pPr>
        <w:pStyle w:val="BlockText"/>
      </w:pPr>
      <w:r>
        <w:rPr>
          <w:bCs/>
          <w:b/>
        </w:rPr>
        <w:t xml:space="preserve">Estatus legal:</w:t>
      </w:r>
      <w:r>
        <w:t xml:space="preserve"> </w:t>
      </w:r>
      <w:r>
        <w:t xml:space="preserve">Corregido Maestro Inglés para la consolidación. Este archivo controla el lenguaje de borrador anterior del Capítulo 53.</w:t>
      </w:r>
    </w:p>
    <w:bookmarkEnd w:id="506"/>
    <w:bookmarkStart w:id="507" w:name="requisito-51"/>
    <w:p>
      <w:pPr>
        <w:pStyle w:val="Heading2"/>
      </w:pPr>
      <w:r>
        <w:rPr>
          <w:rStyle w:val="SectionNumber"/>
        </w:rPr>
        <w:t xml:space="preserve">1.464</w:t>
      </w:r>
      <w:r>
        <w:tab/>
      </w:r>
      <w:r>
        <w:t xml:space="preserve">Requisito</w:t>
      </w:r>
    </w:p>
    <w:p>
      <w:pPr>
        <w:pStyle w:val="FirstParagraph"/>
      </w:pPr>
      <w:r>
        <w:t xml:space="preserve">Las organizaciones deben determinar si son proveedores de un modelo de IA de uso general, proveedores de un sistema de IA basado en dicho modelo, proveedores intermedios, implementadores, representantes autorizados o actores cuya modificación de un modelo crea obligaciones para los proveedores. La clasificación de funciones debe reflejar la conducta real, no sólo las etiquetas contractuales.</w:t>
      </w:r>
    </w:p>
    <w:bookmarkEnd w:id="507"/>
    <w:bookmarkStart w:id="508" w:name="explicación-en-lenguaje-sencillo-48"/>
    <w:p>
      <w:pPr>
        <w:pStyle w:val="Heading2"/>
      </w:pPr>
      <w:r>
        <w:rPr>
          <w:rStyle w:val="SectionNumber"/>
        </w:rPr>
        <w:t xml:space="preserve">1.465</w:t>
      </w:r>
      <w:r>
        <w:tab/>
      </w:r>
      <w:r>
        <w:t xml:space="preserve">Explicación en lenguaje sencillo</w:t>
      </w:r>
    </w:p>
    <w:p>
      <w:pPr>
        <w:pStyle w:val="FirstParagraph"/>
      </w:pPr>
      <w:r>
        <w:t xml:space="preserve">Una empresa que utiliza un modelo de terceros en una herramienta interna no es automáticamente el proveedor de ese modelo. Una empresa que desarrolla, encarga, pone en el mercado de la Unión o modifica significativamente un modelo GPAI puede llevar a cabo funciones de proveedor. Una empresa también puede ser un proveedor de sistemas o implementador al mismo tiempo. Cada papel debe ser evaluado por separado.</w:t>
      </w:r>
    </w:p>
    <w:bookmarkEnd w:id="508"/>
    <w:bookmarkStart w:id="509" w:name="evaluación-de-las-funciones"/>
    <w:p>
      <w:pPr>
        <w:pStyle w:val="Heading2"/>
      </w:pPr>
      <w:r>
        <w:rPr>
          <w:rStyle w:val="SectionNumber"/>
        </w:rPr>
        <w:t xml:space="preserve">1.466</w:t>
      </w:r>
      <w:r>
        <w:tab/>
      </w:r>
      <w:r>
        <w:t xml:space="preserve">Evaluación de las funciones</w:t>
      </w:r>
    </w:p>
    <w:p>
      <w:pPr>
        <w:pStyle w:val="FirstParagraph"/>
      </w:pPr>
      <w:r>
        <w:t xml:space="preserve">Documento como mínimo:</w:t>
      </w:r>
    </w:p>
    <w:p>
      <w:pPr>
        <w:numPr>
          <w:ilvl w:val="0"/>
          <w:numId w:val="1128"/>
        </w:numPr>
        <w:pStyle w:val="Compact"/>
      </w:pPr>
      <w:r>
        <w:t xml:space="preserve">que hayan desarrollado o hayan desarrollado el modelo;</w:t>
      </w:r>
    </w:p>
    <w:p>
      <w:pPr>
        <w:numPr>
          <w:ilvl w:val="0"/>
          <w:numId w:val="1128"/>
        </w:numPr>
        <w:pStyle w:val="Compact"/>
      </w:pPr>
      <w:r>
        <w:t xml:space="preserve">bajo cuyo nombre o marca comercial se comercialice el modelo;</w:t>
      </w:r>
    </w:p>
    <w:p>
      <w:pPr>
        <w:numPr>
          <w:ilvl w:val="0"/>
          <w:numId w:val="1128"/>
        </w:numPr>
        <w:pStyle w:val="Compact"/>
      </w:pPr>
      <w:r>
        <w:t xml:space="preserve">que controla la arquitectura del modelo, pesas, entrenamiento, ajuste y liberación;</w:t>
      </w:r>
    </w:p>
    <w:p>
      <w:pPr>
        <w:numPr>
          <w:ilvl w:val="0"/>
          <w:numId w:val="1128"/>
        </w:numPr>
        <w:pStyle w:val="Compact"/>
      </w:pPr>
      <w:r>
        <w:t xml:space="preserve">si una modificación es menor o significativa con arreglo a la interpretación actual de la Comisión;</w:t>
      </w:r>
    </w:p>
    <w:p>
      <w:pPr>
        <w:numPr>
          <w:ilvl w:val="0"/>
          <w:numId w:val="1128"/>
        </w:numPr>
        <w:pStyle w:val="Compact"/>
      </w:pPr>
      <w:r>
        <w:t xml:space="preserve">que facilite documentación e información a los agentes intermedios;</w:t>
      </w:r>
    </w:p>
    <w:p>
      <w:pPr>
        <w:numPr>
          <w:ilvl w:val="0"/>
          <w:numId w:val="1128"/>
        </w:numPr>
        <w:pStyle w:val="Compact"/>
      </w:pPr>
      <w:r>
        <w:t xml:space="preserve">que mantiene la política de derechos de autor y el resumen de contenidos de formación;</w:t>
      </w:r>
    </w:p>
    <w:p>
      <w:pPr>
        <w:numPr>
          <w:ilvl w:val="0"/>
          <w:numId w:val="1128"/>
        </w:numPr>
        <w:pStyle w:val="Compact"/>
      </w:pPr>
      <w:r>
        <w:t xml:space="preserve">si se requiere un representante autorizado;</w:t>
      </w:r>
    </w:p>
    <w:p>
      <w:pPr>
        <w:numPr>
          <w:ilvl w:val="0"/>
          <w:numId w:val="1128"/>
        </w:numPr>
        <w:pStyle w:val="Compact"/>
      </w:pPr>
      <w:r>
        <w:t xml:space="preserve">si el modelo cumple o puede cumplir los criterios de riesgo sistémico;</w:t>
      </w:r>
    </w:p>
    <w:p>
      <w:pPr>
        <w:numPr>
          <w:ilvl w:val="0"/>
          <w:numId w:val="1128"/>
        </w:numPr>
        <w:pStyle w:val="Compact"/>
      </w:pPr>
      <w:r>
        <w:t xml:space="preserve">si también se aplica una función independiente de proveedor de sistemas o de despliegue.</w:t>
      </w:r>
    </w:p>
    <w:bookmarkEnd w:id="509"/>
    <w:bookmarkStart w:id="510" w:name="ejemplo-de-globalway-46"/>
    <w:p>
      <w:pPr>
        <w:pStyle w:val="Heading2"/>
      </w:pPr>
      <w:r>
        <w:rPr>
          <w:rStyle w:val="SectionNumber"/>
        </w:rPr>
        <w:t xml:space="preserve">1.467</w:t>
      </w:r>
      <w:r>
        <w:tab/>
      </w:r>
      <w:r>
        <w:t xml:space="preserve">Ejemplo de GlobalWay</w:t>
      </w:r>
    </w:p>
    <w:p>
      <w:pPr>
        <w:pStyle w:val="FirstParagraph"/>
      </w:pPr>
      <w:r>
        <w:t xml:space="preserve">GlobalWay obtiene acceso a un modelo de GPAI de terceros a través de una API y lo utiliza en un asistente consultor de viajes. GlobalWay es normalmente un proveedor de sistemas e implementador de aguas abajo, no el proveedor de modelos. Si más tarde GlobalWay realiza ajustes significativos, controla una nueva versión del modelo y la comercializa bajo su propio nombre, el análisis de funciones debe reabrirse.</w:t>
      </w:r>
    </w:p>
    <w:bookmarkEnd w:id="510"/>
    <w:bookmarkStart w:id="511" w:name="actividad-de-control-47"/>
    <w:p>
      <w:pPr>
        <w:pStyle w:val="Heading2"/>
      </w:pPr>
      <w:r>
        <w:rPr>
          <w:rStyle w:val="SectionNumber"/>
        </w:rPr>
        <w:t xml:space="preserve">1.468</w:t>
      </w:r>
      <w:r>
        <w:tab/>
      </w:r>
      <w:r>
        <w:t xml:space="preserve">Actividad de control</w:t>
      </w:r>
    </w:p>
    <w:p>
      <w:pPr>
        <w:pStyle w:val="FirstParagraph"/>
      </w:pPr>
      <w:r>
        <w:t xml:space="preserve">Las funciones Legal y AI Governance deben aprobar una evaluación de roles de GPAI antes de la contratación, modificación de modelos, publicación pública o cambio de contrato material. La evaluación debe repetirse después de cambios en la marca, capacitación, ajuste, distribución, licencia o control operativo.</w:t>
      </w:r>
    </w:p>
    <w:bookmarkEnd w:id="511"/>
    <w:bookmarkStart w:id="512" w:name="pruebas-52"/>
    <w:p>
      <w:pPr>
        <w:pStyle w:val="Heading2"/>
      </w:pPr>
      <w:r>
        <w:rPr>
          <w:rStyle w:val="SectionNumber"/>
        </w:rPr>
        <w:t xml:space="preserve">1.469</w:t>
      </w:r>
      <w:r>
        <w:tab/>
      </w:r>
      <w:r>
        <w:t xml:space="preserve">Pruebas</w:t>
      </w:r>
    </w:p>
    <w:p>
      <w:pPr>
        <w:numPr>
          <w:ilvl w:val="0"/>
          <w:numId w:val="1129"/>
        </w:numPr>
        <w:pStyle w:val="Compact"/>
      </w:pPr>
      <w:r>
        <w:t xml:space="preserve">el modelo y la arquitectura del sistema;</w:t>
      </w:r>
    </w:p>
    <w:p>
      <w:pPr>
        <w:numPr>
          <w:ilvl w:val="0"/>
          <w:numId w:val="1129"/>
        </w:numPr>
        <w:pStyle w:val="Compact"/>
      </w:pPr>
      <w:r>
        <w:t xml:space="preserve">contratos y condiciones de licencia;</w:t>
      </w:r>
    </w:p>
    <w:p>
      <w:pPr>
        <w:numPr>
          <w:ilvl w:val="0"/>
          <w:numId w:val="1129"/>
        </w:numPr>
        <w:pStyle w:val="Compact"/>
      </w:pPr>
      <w:r>
        <w:t xml:space="preserve">los registros de marca y colocación en el mercado;</w:t>
      </w:r>
    </w:p>
    <w:p>
      <w:pPr>
        <w:numPr>
          <w:ilvl w:val="0"/>
          <w:numId w:val="1129"/>
        </w:numPr>
        <w:pStyle w:val="Compact"/>
      </w:pPr>
      <w:r>
        <w:t xml:space="preserve">el historial de desarrollo y modificación;</w:t>
      </w:r>
    </w:p>
    <w:p>
      <w:pPr>
        <w:numPr>
          <w:ilvl w:val="0"/>
          <w:numId w:val="1129"/>
        </w:numPr>
        <w:pStyle w:val="Compact"/>
      </w:pPr>
      <w:r>
        <w:t xml:space="preserve">hoja de trabajo de evaluación de funciones;</w:t>
      </w:r>
    </w:p>
    <w:p>
      <w:pPr>
        <w:numPr>
          <w:ilvl w:val="0"/>
          <w:numId w:val="1129"/>
        </w:numPr>
        <w:pStyle w:val="Compact"/>
      </w:pPr>
      <w:r>
        <w:t xml:space="preserve">análisis jurídico;</w:t>
      </w:r>
    </w:p>
    <w:p>
      <w:pPr>
        <w:numPr>
          <w:ilvl w:val="0"/>
          <w:numId w:val="1129"/>
        </w:numPr>
        <w:pStyle w:val="Compact"/>
      </w:pPr>
      <w:r>
        <w:t xml:space="preserve">el proveedor y la documentación posterior;</w:t>
      </w:r>
    </w:p>
    <w:p>
      <w:pPr>
        <w:numPr>
          <w:ilvl w:val="0"/>
          <w:numId w:val="1129"/>
        </w:numPr>
        <w:pStyle w:val="Compact"/>
      </w:pPr>
      <w:r>
        <w:t xml:space="preserve">registros de reevaluación.</w:t>
      </w:r>
    </w:p>
    <w:bookmarkEnd w:id="512"/>
    <w:bookmarkStart w:id="513" w:name="prueba-de-auditoría-48"/>
    <w:p>
      <w:pPr>
        <w:pStyle w:val="Heading2"/>
      </w:pPr>
      <w:r>
        <w:rPr>
          <w:rStyle w:val="SectionNumber"/>
        </w:rPr>
        <w:t xml:space="preserve">1.470</w:t>
      </w:r>
      <w:r>
        <w:tab/>
      </w:r>
      <w:r>
        <w:t xml:space="preserve">Prueba de auditoría</w:t>
      </w:r>
    </w:p>
    <w:p>
      <w:pPr>
        <w:pStyle w:val="FirstParagraph"/>
      </w:pPr>
      <w:r>
        <w:t xml:space="preserve">Seleccione una muestra de sistemas habilitados para GPAI. Confirme que los roles de modelo-proveedor, sistema-proveedor, downstream-proveedor, implementador y representante autorizado fueron evaluados por separado y que modificaciones significativas desencadenaron la reevaluación.</w:t>
      </w:r>
    </w:p>
    <w:bookmarkEnd w:id="513"/>
    <w:bookmarkStart w:id="514" w:name="referencias-jurídicas-primarias-21"/>
    <w:p>
      <w:pPr>
        <w:pStyle w:val="Heading2"/>
      </w:pPr>
      <w:r>
        <w:rPr>
          <w:rStyle w:val="SectionNumber"/>
        </w:rPr>
        <w:t xml:space="preserve">1.471</w:t>
      </w:r>
      <w:r>
        <w:tab/>
      </w:r>
      <w:r>
        <w:t xml:space="preserve">Referencias jurídicas primarias</w:t>
      </w:r>
    </w:p>
    <w:p>
      <w:pPr>
        <w:numPr>
          <w:ilvl w:val="0"/>
          <w:numId w:val="1130"/>
        </w:numPr>
        <w:pStyle w:val="Compact"/>
      </w:pPr>
      <w:r>
        <w:t xml:space="preserve">Reglamento (UE) 2024/1689, modificado: artículos 3, 51 a 56 y anexos conexos.</w:t>
      </w:r>
    </w:p>
    <w:p>
      <w:pPr>
        <w:numPr>
          <w:ilvl w:val="0"/>
          <w:numId w:val="1130"/>
        </w:numPr>
        <w:pStyle w:val="Compact"/>
      </w:pPr>
      <w:r>
        <w:t xml:space="preserve">Directrices de la Comisión Europea para los proveedores de modelos GPAI, identificadas como orientaciones no vinculantes.</w:t>
      </w:r>
    </w:p>
    <w:p>
      <w:pPr>
        <w:numPr>
          <w:ilvl w:val="0"/>
          <w:numId w:val="1130"/>
        </w:numPr>
        <w:pStyle w:val="Compact"/>
      </w:pPr>
      <w:r>
        <w:t xml:space="preserve">Los actuales controles consolidados de texto EUR-Lex sobre los resúmenes antiguos.</w:t>
      </w:r>
    </w:p>
    <w:bookmarkEnd w:id="514"/>
    <w:bookmarkStart w:id="515" w:name="X0baa31c39bf0211697ef71a2e1b6c798fcf87b9"/>
    <w:p>
      <w:pPr>
        <w:pStyle w:val="Heading2"/>
      </w:pPr>
      <w:r>
        <w:rPr>
          <w:rStyle w:val="SectionNumber"/>
        </w:rPr>
        <w:t xml:space="preserve">1.472</w:t>
      </w:r>
      <w:r>
        <w:tab/>
      </w:r>
      <w:r>
        <w:t xml:space="preserve">Capítulo 54 — Documentación del GPAI e información de fondo</w:t>
      </w:r>
    </w:p>
    <w:p>
      <w:pPr>
        <w:pStyle w:val="BlockText"/>
      </w:pPr>
      <w:r>
        <w:rPr>
          <w:bCs/>
          <w:b/>
        </w:rPr>
        <w:t xml:space="preserve">Estatus legal:</w:t>
      </w:r>
      <w:r>
        <w:t xml:space="preserve"> </w:t>
      </w:r>
      <w:r>
        <w:t xml:space="preserve">Corregido Maestro Inglés para la consolidación. Este archivo controla el lenguaje de borrador anterior del Capítulo 54.</w:t>
      </w:r>
    </w:p>
    <w:bookmarkEnd w:id="515"/>
    <w:bookmarkStart w:id="516" w:name="requisito-52"/>
    <w:p>
      <w:pPr>
        <w:pStyle w:val="Heading2"/>
      </w:pPr>
      <w:r>
        <w:rPr>
          <w:rStyle w:val="SectionNumber"/>
        </w:rPr>
        <w:t xml:space="preserve">1.473</w:t>
      </w:r>
      <w:r>
        <w:tab/>
      </w:r>
      <w:r>
        <w:t xml:space="preserve">Requisito</w:t>
      </w:r>
    </w:p>
    <w:p>
      <w:pPr>
        <w:pStyle w:val="FirstParagraph"/>
      </w:pPr>
      <w:r>
        <w:t xml:space="preserve">Los proveedores de modelos de IA de uso general deben preparar, mantener y proporcionar la documentación y la información exigidas por el artículo 53 y los anexos aplicables para que los proveedores posteriores puedan comprender las capacidades y limitaciones del modelo y cumplir con sus propias obligaciones.</w:t>
      </w:r>
    </w:p>
    <w:bookmarkEnd w:id="516"/>
    <w:bookmarkStart w:id="517" w:name="explicación-en-lenguaje-sencillo-49"/>
    <w:p>
      <w:pPr>
        <w:pStyle w:val="Heading2"/>
      </w:pPr>
      <w:r>
        <w:rPr>
          <w:rStyle w:val="SectionNumber"/>
        </w:rPr>
        <w:t xml:space="preserve">1.474</w:t>
      </w:r>
      <w:r>
        <w:tab/>
      </w:r>
      <w:r>
        <w:t xml:space="preserve">Explicación en lenguaje sencillo</w:t>
      </w:r>
    </w:p>
    <w:p>
      <w:pPr>
        <w:pStyle w:val="FirstParagraph"/>
      </w:pPr>
      <w:r>
        <w:t xml:space="preserve">Los usuarios intermedios necesitan más que una descripción de marketing. Necesitan información controlada, actual y técnicamente significativa sobre el modelo, sus usos previstos y previsibles, limitaciones, enfoque de capacitación y evaluación, interfaces, dependencias y condiciones de uso. La información debe ser suficiente para que un proveedor intermedio realice un trabajo de riesgo, conformidad, transparencia, seguridad y supervisión humana.</w:t>
      </w:r>
    </w:p>
    <w:bookmarkEnd w:id="517"/>
    <w:bookmarkStart w:id="518" w:name="controles-de-documentación"/>
    <w:p>
      <w:pPr>
        <w:pStyle w:val="Heading2"/>
      </w:pPr>
      <w:r>
        <w:rPr>
          <w:rStyle w:val="SectionNumber"/>
        </w:rPr>
        <w:t xml:space="preserve">1.475</w:t>
      </w:r>
      <w:r>
        <w:tab/>
      </w:r>
      <w:r>
        <w:t xml:space="preserve">Controles de documentación</w:t>
      </w:r>
    </w:p>
    <w:p>
      <w:pPr>
        <w:pStyle w:val="FirstParagraph"/>
      </w:pPr>
      <w:r>
        <w:t xml:space="preserve">El proveedor debe mantener, según proceda:</w:t>
      </w:r>
    </w:p>
    <w:p>
      <w:pPr>
        <w:numPr>
          <w:ilvl w:val="0"/>
          <w:numId w:val="1131"/>
        </w:numPr>
        <w:pStyle w:val="Compact"/>
      </w:pPr>
      <w:r>
        <w:t xml:space="preserve">identidad del modelo, versión, fecha de publicación y detalles del proveedor;</w:t>
      </w:r>
    </w:p>
    <w:p>
      <w:pPr>
        <w:numPr>
          <w:ilvl w:val="0"/>
          <w:numId w:val="1131"/>
        </w:numPr>
        <w:pStyle w:val="Compact"/>
      </w:pPr>
      <w:r>
        <w:t xml:space="preserve">arquitectura, modalidad, capacidades y usos previstos;</w:t>
      </w:r>
    </w:p>
    <w:p>
      <w:pPr>
        <w:numPr>
          <w:ilvl w:val="0"/>
          <w:numId w:val="1131"/>
        </w:numPr>
        <w:pStyle w:val="Compact"/>
      </w:pPr>
      <w:r>
        <w:t xml:space="preserve">limitaciones de uso prohibidas, no apoyadas y de alto riesgo;</w:t>
      </w:r>
    </w:p>
    <w:p>
      <w:pPr>
        <w:numPr>
          <w:ilvl w:val="0"/>
          <w:numId w:val="1131"/>
        </w:numPr>
        <w:pStyle w:val="Compact"/>
      </w:pPr>
      <w:r>
        <w:t xml:space="preserve">información sobre la formación, el ajuste, la evaluación y las pruebas;</w:t>
      </w:r>
    </w:p>
    <w:p>
      <w:pPr>
        <w:numPr>
          <w:ilvl w:val="0"/>
          <w:numId w:val="1131"/>
        </w:numPr>
        <w:pStyle w:val="Compact"/>
      </w:pPr>
      <w:r>
        <w:t xml:space="preserve">límites de rendimiento conocidos, modos de fallo y uso indebido previsible;</w:t>
      </w:r>
    </w:p>
    <w:p>
      <w:pPr>
        <w:numPr>
          <w:ilvl w:val="0"/>
          <w:numId w:val="1131"/>
        </w:numPr>
        <w:pStyle w:val="Compact"/>
      </w:pPr>
      <w:r>
        <w:t xml:space="preserve">información sobre seguridad cibernética y resiliencia;</w:t>
      </w:r>
    </w:p>
    <w:p>
      <w:pPr>
        <w:numPr>
          <w:ilvl w:val="0"/>
          <w:numId w:val="1131"/>
        </w:numPr>
        <w:pStyle w:val="Compact"/>
      </w:pPr>
      <w:r>
        <w:t xml:space="preserve">requisitos de integración y controles de interfaz;</w:t>
      </w:r>
    </w:p>
    <w:p>
      <w:pPr>
        <w:numPr>
          <w:ilvl w:val="0"/>
          <w:numId w:val="1131"/>
        </w:numPr>
        <w:pStyle w:val="Compact"/>
      </w:pPr>
      <w:r>
        <w:t xml:space="preserve">documentación requerida para la Oficina de IA y las autoridades competentes;</w:t>
      </w:r>
    </w:p>
    <w:p>
      <w:pPr>
        <w:numPr>
          <w:ilvl w:val="0"/>
          <w:numId w:val="1131"/>
        </w:numPr>
        <w:pStyle w:val="Compact"/>
      </w:pPr>
      <w:r>
        <w:t xml:space="preserve">información requerida para los proveedores intermedios;</w:t>
      </w:r>
    </w:p>
    <w:p>
      <w:pPr>
        <w:numPr>
          <w:ilvl w:val="0"/>
          <w:numId w:val="1131"/>
        </w:numPr>
        <w:pStyle w:val="Compact"/>
      </w:pPr>
      <w:r>
        <w:t xml:space="preserve">cambiar el historial y actualizar los avisos.</w:t>
      </w:r>
    </w:p>
    <w:bookmarkEnd w:id="518"/>
    <w:bookmarkStart w:id="519" w:name="ejemplo-de-globalway-47"/>
    <w:p>
      <w:pPr>
        <w:pStyle w:val="Heading2"/>
      </w:pPr>
      <w:r>
        <w:rPr>
          <w:rStyle w:val="SectionNumber"/>
        </w:rPr>
        <w:t xml:space="preserve">1.476</w:t>
      </w:r>
      <w:r>
        <w:tab/>
      </w:r>
      <w:r>
        <w:t xml:space="preserve">Ejemplo de GlobalWay</w:t>
      </w:r>
    </w:p>
    <w:p>
      <w:pPr>
        <w:pStyle w:val="FirstParagraph"/>
      </w:pPr>
      <w:r>
        <w:t xml:space="preserve">Antes de integrar un modelo GPAI en su asistente de viajero, GlobalWay obtiene la documentación controlada del modelo del proveedor, notas de liberación, limitaciones, información de seguridad, requisitos de interfaz técnica e información de cumplimiento posterior. Una nueva versión del modelo no se puede implementar hasta que se revise la documentación modificada.</w:t>
      </w:r>
    </w:p>
    <w:bookmarkEnd w:id="519"/>
    <w:bookmarkStart w:id="520" w:name="actividad-de-control-48"/>
    <w:p>
      <w:pPr>
        <w:pStyle w:val="Heading2"/>
      </w:pPr>
      <w:r>
        <w:rPr>
          <w:rStyle w:val="SectionNumber"/>
        </w:rPr>
        <w:t xml:space="preserve">1.477</w:t>
      </w:r>
      <w:r>
        <w:tab/>
      </w:r>
      <w:r>
        <w:t xml:space="preserve">Actividad de control</w:t>
      </w:r>
    </w:p>
    <w:p>
      <w:pPr>
        <w:pStyle w:val="FirstParagraph"/>
      </w:pPr>
      <w:r>
        <w:t xml:space="preserve">El proveedor debe operar un proceso de documentación de GPAI controlado por versiones. La información de abajo debe ser revisada para verificar su integridad, exactitud, confidencialidad y usabilidad antes de su publicación.</w:t>
      </w:r>
    </w:p>
    <w:bookmarkEnd w:id="520"/>
    <w:bookmarkStart w:id="521" w:name="pruebas-53"/>
    <w:p>
      <w:pPr>
        <w:pStyle w:val="Heading2"/>
      </w:pPr>
      <w:r>
        <w:rPr>
          <w:rStyle w:val="SectionNumber"/>
        </w:rPr>
        <w:t xml:space="preserve">1.478</w:t>
      </w:r>
      <w:r>
        <w:tab/>
      </w:r>
      <w:r>
        <w:t xml:space="preserve">Pruebas</w:t>
      </w:r>
    </w:p>
    <w:p>
      <w:pPr>
        <w:numPr>
          <w:ilvl w:val="0"/>
          <w:numId w:val="1132"/>
        </w:numPr>
        <w:pStyle w:val="Compact"/>
      </w:pPr>
      <w:r>
        <w:t xml:space="preserve">documentación técnica modelo;</w:t>
      </w:r>
    </w:p>
    <w:p>
      <w:pPr>
        <w:numPr>
          <w:ilvl w:val="0"/>
          <w:numId w:val="1132"/>
        </w:numPr>
        <w:pStyle w:val="Compact"/>
      </w:pPr>
      <w:r>
        <w:t xml:space="preserve">el paquete de información posterior;</w:t>
      </w:r>
    </w:p>
    <w:p>
      <w:pPr>
        <w:numPr>
          <w:ilvl w:val="0"/>
          <w:numId w:val="1132"/>
        </w:numPr>
        <w:pStyle w:val="Compact"/>
      </w:pPr>
      <w:r>
        <w:t xml:space="preserve">los registros de versiones y versiones;</w:t>
      </w:r>
    </w:p>
    <w:p>
      <w:pPr>
        <w:numPr>
          <w:ilvl w:val="0"/>
          <w:numId w:val="1132"/>
        </w:numPr>
        <w:pStyle w:val="Compact"/>
      </w:pPr>
      <w:r>
        <w:t xml:space="preserve">los avisos de cambio;</w:t>
      </w:r>
    </w:p>
    <w:p>
      <w:pPr>
        <w:numPr>
          <w:ilvl w:val="0"/>
          <w:numId w:val="1132"/>
        </w:numPr>
        <w:pStyle w:val="Compact"/>
      </w:pPr>
      <w:r>
        <w:t xml:space="preserve">los registros de evaluación y limitación;</w:t>
      </w:r>
    </w:p>
    <w:p>
      <w:pPr>
        <w:numPr>
          <w:ilvl w:val="0"/>
          <w:numId w:val="1132"/>
        </w:numPr>
        <w:pStyle w:val="Compact"/>
      </w:pPr>
      <w:r>
        <w:t xml:space="preserve">registros de distribución;</w:t>
      </w:r>
    </w:p>
    <w:p>
      <w:pPr>
        <w:numPr>
          <w:ilvl w:val="0"/>
          <w:numId w:val="1132"/>
        </w:numPr>
        <w:pStyle w:val="Compact"/>
      </w:pPr>
      <w:r>
        <w:t xml:space="preserve">los acuse de recibo, cuando se utilicen;</w:t>
      </w:r>
    </w:p>
    <w:p>
      <w:pPr>
        <w:numPr>
          <w:ilvl w:val="0"/>
          <w:numId w:val="1132"/>
        </w:numPr>
        <w:pStyle w:val="Compact"/>
      </w:pPr>
      <w:r>
        <w:t xml:space="preserve">los registros de revisión y aprobación.</w:t>
      </w:r>
    </w:p>
    <w:bookmarkEnd w:id="521"/>
    <w:bookmarkStart w:id="522" w:name="prueba-de-auditoría-49"/>
    <w:p>
      <w:pPr>
        <w:pStyle w:val="Heading2"/>
      </w:pPr>
      <w:r>
        <w:rPr>
          <w:rStyle w:val="SectionNumber"/>
        </w:rPr>
        <w:t xml:space="preserve">1.479</w:t>
      </w:r>
      <w:r>
        <w:tab/>
      </w:r>
      <w:r>
        <w:t xml:space="preserve">Prueba de auditoría</w:t>
      </w:r>
    </w:p>
    <w:p>
      <w:pPr>
        <w:pStyle w:val="FirstParagraph"/>
      </w:pPr>
      <w:r>
        <w:t xml:space="preserve">Seleccione una versión modelo y confirme que la documentación requerida existía cuando el modelo se puso en el mercado, coincide con la versión publicada, se proporcionó a los proveedores intermedios pertinentes y se actualizó después de cambios importantes.</w:t>
      </w:r>
    </w:p>
    <w:bookmarkEnd w:id="522"/>
    <w:bookmarkStart w:id="523" w:name="referencias-jurídicas-primarias-22"/>
    <w:p>
      <w:pPr>
        <w:pStyle w:val="Heading2"/>
      </w:pPr>
      <w:r>
        <w:rPr>
          <w:rStyle w:val="SectionNumber"/>
        </w:rPr>
        <w:t xml:space="preserve">1.480</w:t>
      </w:r>
      <w:r>
        <w:tab/>
      </w:r>
      <w:r>
        <w:t xml:space="preserve">Referencias jurídicas primarias</w:t>
      </w:r>
    </w:p>
    <w:p>
      <w:pPr>
        <w:numPr>
          <w:ilvl w:val="0"/>
          <w:numId w:val="1133"/>
        </w:numPr>
        <w:pStyle w:val="Compact"/>
      </w:pPr>
      <w:r>
        <w:t xml:space="preserve">Reglamento (UE) 2024/1689, modificado: artículo 53 y anexos aplicables.</w:t>
      </w:r>
    </w:p>
    <w:p>
      <w:pPr>
        <w:numPr>
          <w:ilvl w:val="0"/>
          <w:numId w:val="1133"/>
        </w:numPr>
        <w:pStyle w:val="Compact"/>
      </w:pPr>
      <w:r>
        <w:t xml:space="preserve">Directrices del proveedor de GPAI de la Comisión Europea, identificadas como orientaciones no vinculantes.</w:t>
      </w:r>
    </w:p>
    <w:p>
      <w:pPr>
        <w:numPr>
          <w:ilvl w:val="0"/>
          <w:numId w:val="1133"/>
        </w:numPr>
        <w:pStyle w:val="Compact"/>
      </w:pPr>
      <w:r>
        <w:t xml:space="preserve">Los actuales controles consolidados de texto EUR-Lex sobre los resúmenes antiguos.</w:t>
      </w:r>
    </w:p>
    <w:bookmarkEnd w:id="523"/>
    <w:bookmarkStart w:id="524" w:name="Xbfba84209199fcb061e2e58be30ce4a30cc5c22"/>
    <w:p>
      <w:pPr>
        <w:pStyle w:val="Heading2"/>
      </w:pPr>
      <w:r>
        <w:rPr>
          <w:rStyle w:val="SectionNumber"/>
        </w:rPr>
        <w:t xml:space="preserve">1.481</w:t>
      </w:r>
      <w:r>
        <w:tab/>
      </w:r>
      <w:r>
        <w:t xml:space="preserve">Capítulo 55 — Política de derechos de autor y contenido de formación</w:t>
      </w:r>
    </w:p>
    <w:p>
      <w:pPr>
        <w:pStyle w:val="BlockText"/>
      </w:pPr>
      <w:r>
        <w:rPr>
          <w:bCs/>
          <w:b/>
        </w:rPr>
        <w:t xml:space="preserve">Estatus legal:</w:t>
      </w:r>
      <w:r>
        <w:t xml:space="preserve"> </w:t>
      </w:r>
      <w:r>
        <w:t xml:space="preserve">Corregido Maestro Inglés para la consolidación. Este archivo controla el lenguaje de borrador anterior del Capítulo 55.</w:t>
      </w:r>
    </w:p>
    <w:bookmarkEnd w:id="524"/>
    <w:bookmarkStart w:id="525" w:name="requisito-53"/>
    <w:p>
      <w:pPr>
        <w:pStyle w:val="Heading2"/>
      </w:pPr>
      <w:r>
        <w:rPr>
          <w:rStyle w:val="SectionNumber"/>
        </w:rPr>
        <w:t xml:space="preserve">1.482</w:t>
      </w:r>
      <w:r>
        <w:tab/>
      </w:r>
      <w:r>
        <w:t xml:space="preserve">Requisito</w:t>
      </w:r>
    </w:p>
    <w:p>
      <w:pPr>
        <w:pStyle w:val="FirstParagraph"/>
      </w:pPr>
      <w:r>
        <w:t xml:space="preserve">Los proveedores de modelos de IA de finalidad general deben mantener una política de cumplimiento de la legislación de la Unión en materia de derechos de autor y derechos afines, incluida la identificación y observancia de las reservas de derechos expresadas en virtud del artículo 4, apartado 3, de la Directiva (UE) 2019/790, y deben poner a disposición del público un resumen suficientemente detallado del contenido utilizado para formar el modelo utilizando la plantilla de la Comisión, cuando proceda.</w:t>
      </w:r>
    </w:p>
    <w:bookmarkEnd w:id="525"/>
    <w:bookmarkStart w:id="526" w:name="explicación-en-lenguaje-sencillo-50"/>
    <w:p>
      <w:pPr>
        <w:pStyle w:val="Heading2"/>
      </w:pPr>
      <w:r>
        <w:rPr>
          <w:rStyle w:val="SectionNumber"/>
        </w:rPr>
        <w:t xml:space="preserve">1.483</w:t>
      </w:r>
      <w:r>
        <w:tab/>
      </w:r>
      <w:r>
        <w:t xml:space="preserve">Explicación en lenguaje sencillo</w:t>
      </w:r>
    </w:p>
    <w:p>
      <w:pPr>
        <w:pStyle w:val="FirstParagraph"/>
      </w:pPr>
      <w:r>
        <w:t xml:space="preserve">La política de derechos de autor y el resumen de contenidos de capacitación pública son controles separados. La política rige cómo el contenido de capacitación se origina, se examina, se documenta y se maneja cuando los titulares de derechos se reservan sus derechos. El resumen público da visibilidad significativa en categorías y fuentes de contenido de capacitación sin exigir la divulgación de secretos comerciales protegidos o cada artículo individual.</w:t>
      </w:r>
    </w:p>
    <w:bookmarkEnd w:id="526"/>
    <w:bookmarkStart w:id="527" w:name="requisitos-de-control"/>
    <w:p>
      <w:pPr>
        <w:pStyle w:val="Heading2"/>
      </w:pPr>
      <w:r>
        <w:rPr>
          <w:rStyle w:val="SectionNumber"/>
        </w:rPr>
        <w:t xml:space="preserve">1.484</w:t>
      </w:r>
      <w:r>
        <w:tab/>
      </w:r>
      <w:r>
        <w:t xml:space="preserve">Requisitos de control</w:t>
      </w:r>
    </w:p>
    <w:p>
      <w:pPr>
        <w:pStyle w:val="FirstParagraph"/>
      </w:pPr>
      <w:r>
        <w:t xml:space="preserve">El proveedor debe documentar:</w:t>
      </w:r>
    </w:p>
    <w:p>
      <w:pPr>
        <w:numPr>
          <w:ilvl w:val="0"/>
          <w:numId w:val="1134"/>
        </w:numPr>
        <w:pStyle w:val="Compact"/>
      </w:pPr>
      <w:r>
        <w:t xml:space="preserve">categorías de fuentes de contenido de formación y métodos de adquisición;</w:t>
      </w:r>
    </w:p>
    <w:p>
      <w:pPr>
        <w:numPr>
          <w:ilvl w:val="0"/>
          <w:numId w:val="1134"/>
        </w:numPr>
        <w:pStyle w:val="Compact"/>
      </w:pPr>
      <w:r>
        <w:t xml:space="preserve">licencia, permiso, dominio público, excepción y análisis de la preservación de los derechos;</w:t>
      </w:r>
    </w:p>
    <w:p>
      <w:pPr>
        <w:numPr>
          <w:ilvl w:val="0"/>
          <w:numId w:val="1134"/>
        </w:numPr>
        <w:pStyle w:val="Compact"/>
      </w:pPr>
      <w:r>
        <w:t xml:space="preserve">medidas para detectar y respetar las reservas de derechos legibles por máquina;</w:t>
      </w:r>
    </w:p>
    <w:p>
      <w:pPr>
        <w:numPr>
          <w:ilvl w:val="0"/>
          <w:numId w:val="1134"/>
        </w:numPr>
        <w:pStyle w:val="Compact"/>
      </w:pPr>
      <w:r>
        <w:t xml:space="preserve">procesos de denuncia, impugnación y rehabilitación;</w:t>
      </w:r>
    </w:p>
    <w:p>
      <w:pPr>
        <w:numPr>
          <w:ilvl w:val="0"/>
          <w:numId w:val="1134"/>
        </w:numPr>
        <w:pStyle w:val="Compact"/>
      </w:pPr>
      <w:r>
        <w:t xml:space="preserve">controles de proveedores y proveedores de conjuntos de datos;</w:t>
      </w:r>
    </w:p>
    <w:p>
      <w:pPr>
        <w:numPr>
          <w:ilvl w:val="0"/>
          <w:numId w:val="1134"/>
        </w:numPr>
        <w:pStyle w:val="Compact"/>
      </w:pPr>
      <w:r>
        <w:t xml:space="preserve">el método utilizado para preparar el resumen público;</w:t>
      </w:r>
    </w:p>
    <w:p>
      <w:pPr>
        <w:numPr>
          <w:ilvl w:val="0"/>
          <w:numId w:val="1134"/>
        </w:numPr>
        <w:pStyle w:val="Compact"/>
      </w:pPr>
      <w:r>
        <w:t xml:space="preserve">revisión de la exactitud, confidencialidad, datos personales y secretos comerciales;</w:t>
      </w:r>
    </w:p>
    <w:p>
      <w:pPr>
        <w:numPr>
          <w:ilvl w:val="0"/>
          <w:numId w:val="1134"/>
        </w:numPr>
        <w:pStyle w:val="Compact"/>
      </w:pPr>
      <w:r>
        <w:t xml:space="preserve">la versión y la actualización desencadenan después del readiestramiento material o los cambios en el conjunto de datos.</w:t>
      </w:r>
    </w:p>
    <w:bookmarkEnd w:id="527"/>
    <w:bookmarkStart w:id="528" w:name="ejemplo-de-globalway-48"/>
    <w:p>
      <w:pPr>
        <w:pStyle w:val="Heading2"/>
      </w:pPr>
      <w:r>
        <w:rPr>
          <w:rStyle w:val="SectionNumber"/>
        </w:rPr>
        <w:t xml:space="preserve">1.485</w:t>
      </w:r>
      <w:r>
        <w:tab/>
      </w:r>
      <w:r>
        <w:t xml:space="preserve">Ejemplo de GlobalWay</w:t>
      </w:r>
    </w:p>
    <w:p>
      <w:pPr>
        <w:pStyle w:val="FirstParagraph"/>
      </w:pPr>
      <w:r>
        <w:t xml:space="preserve">GlobalWay no asume que la declaración de un proveedor de GPAI de que utiliza</w:t>
      </w:r>
      <w:r>
        <w:t xml:space="preserve"> </w:t>
      </w:r>
      <w:r>
        <w:t xml:space="preserve">“</w:t>
      </w:r>
      <w:r>
        <w:t xml:space="preserve">datos disponibles públicamente</w:t>
      </w:r>
      <w:r>
        <w:t xml:space="preserve">”</w:t>
      </w:r>
      <w:r>
        <w:t xml:space="preserve"> </w:t>
      </w:r>
      <w:r>
        <w:t xml:space="preserve">resuelve el riesgo de derechos de autor. La contratación requiere la política de derechos de autor del proveedor, resumen de contenidos de capacitación pública, proceso de preservación de derechos, ruta de queja y compromisos de notificación de cambios.</w:t>
      </w:r>
    </w:p>
    <w:bookmarkEnd w:id="528"/>
    <w:bookmarkStart w:id="529" w:name="actividad-de-control-49"/>
    <w:p>
      <w:pPr>
        <w:pStyle w:val="Heading2"/>
      </w:pPr>
      <w:r>
        <w:rPr>
          <w:rStyle w:val="SectionNumber"/>
        </w:rPr>
        <w:t xml:space="preserve">1.486</w:t>
      </w:r>
      <w:r>
        <w:tab/>
      </w:r>
      <w:r>
        <w:t xml:space="preserve">Actividad de control</w:t>
      </w:r>
    </w:p>
    <w:p>
      <w:pPr>
        <w:pStyle w:val="FirstParagraph"/>
      </w:pPr>
      <w:r>
        <w:t xml:space="preserve">El proveedor debe aprobar y mantener una política de conformidad con los derechos de autor y publicar el resumen de contenido de capacitación requerido. Las funciones legales, de gobernanza de datos y de desarrollo de modelos deben revisar los cambios en el conjunto de datos materiales antes de que se prolongue la capacitación o el readiestramiento.</w:t>
      </w:r>
    </w:p>
    <w:bookmarkEnd w:id="529"/>
    <w:bookmarkStart w:id="530" w:name="pruebas-54"/>
    <w:p>
      <w:pPr>
        <w:pStyle w:val="Heading2"/>
      </w:pPr>
      <w:r>
        <w:rPr>
          <w:rStyle w:val="SectionNumber"/>
        </w:rPr>
        <w:t xml:space="preserve">1.487</w:t>
      </w:r>
      <w:r>
        <w:tab/>
      </w:r>
      <w:r>
        <w:t xml:space="preserve">Pruebas</w:t>
      </w:r>
    </w:p>
    <w:p>
      <w:pPr>
        <w:numPr>
          <w:ilvl w:val="0"/>
          <w:numId w:val="1135"/>
        </w:numPr>
        <w:pStyle w:val="Compact"/>
      </w:pPr>
      <w:r>
        <w:t xml:space="preserve">la política de derechos de autor;</w:t>
      </w:r>
    </w:p>
    <w:p>
      <w:pPr>
        <w:numPr>
          <w:ilvl w:val="0"/>
          <w:numId w:val="1135"/>
        </w:numPr>
        <w:pStyle w:val="Compact"/>
      </w:pPr>
      <w:r>
        <w:t xml:space="preserve">los registros de origen y de licencia;</w:t>
      </w:r>
    </w:p>
    <w:p>
      <w:pPr>
        <w:numPr>
          <w:ilvl w:val="0"/>
          <w:numId w:val="1135"/>
        </w:numPr>
        <w:pStyle w:val="Compact"/>
      </w:pPr>
      <w:r>
        <w:t xml:space="preserve">controles de detección de la preservación de los derechos;</w:t>
      </w:r>
    </w:p>
    <w:p>
      <w:pPr>
        <w:numPr>
          <w:ilvl w:val="0"/>
          <w:numId w:val="1135"/>
        </w:numPr>
        <w:pStyle w:val="Compact"/>
      </w:pPr>
      <w:r>
        <w:t xml:space="preserve">contratos con proveedores de conjuntos de datos;</w:t>
      </w:r>
    </w:p>
    <w:p>
      <w:pPr>
        <w:numPr>
          <w:ilvl w:val="0"/>
          <w:numId w:val="1135"/>
        </w:numPr>
        <w:pStyle w:val="Compact"/>
      </w:pPr>
      <w:r>
        <w:t xml:space="preserve">los registros de quejas y medidas correctivas;</w:t>
      </w:r>
    </w:p>
    <w:p>
      <w:pPr>
        <w:numPr>
          <w:ilvl w:val="0"/>
          <w:numId w:val="1135"/>
        </w:numPr>
        <w:pStyle w:val="Compact"/>
      </w:pPr>
      <w:r>
        <w:t xml:space="preserve">Resumen de la formación de la Comisión y de las plantillas;</w:t>
      </w:r>
    </w:p>
    <w:p>
      <w:pPr>
        <w:numPr>
          <w:ilvl w:val="0"/>
          <w:numId w:val="1135"/>
        </w:numPr>
        <w:pStyle w:val="Compact"/>
      </w:pPr>
      <w:r>
        <w:t xml:space="preserve">el registro de la publicación;</w:t>
      </w:r>
    </w:p>
    <w:p>
      <w:pPr>
        <w:numPr>
          <w:ilvl w:val="0"/>
          <w:numId w:val="1135"/>
        </w:numPr>
        <w:pStyle w:val="Compact"/>
      </w:pPr>
      <w:r>
        <w:t xml:space="preserve">actualización y historial de aprobación.</w:t>
      </w:r>
    </w:p>
    <w:bookmarkEnd w:id="530"/>
    <w:bookmarkStart w:id="531" w:name="prueba-de-auditoría-50"/>
    <w:p>
      <w:pPr>
        <w:pStyle w:val="Heading2"/>
      </w:pPr>
      <w:r>
        <w:rPr>
          <w:rStyle w:val="SectionNumber"/>
        </w:rPr>
        <w:t xml:space="preserve">1.488</w:t>
      </w:r>
      <w:r>
        <w:tab/>
      </w:r>
      <w:r>
        <w:t xml:space="preserve">Prueba de auditoría</w:t>
      </w:r>
    </w:p>
    <w:p>
      <w:pPr>
        <w:pStyle w:val="FirstParagraph"/>
      </w:pPr>
      <w:r>
        <w:t xml:space="preserve">Seleccione un modelo y una muestra de fuentes de contenido de capacitación. Confirme que el proveedor aplicó su política de derechos de autor, documentó la base de uso, respetó las reservas de derechos aplicables, publicó el resumen requerido y lo actualizó después de cambios materiales de capacitación.</w:t>
      </w:r>
    </w:p>
    <w:bookmarkEnd w:id="531"/>
    <w:bookmarkStart w:id="532" w:name="referencias-jurídicas-primarias-23"/>
    <w:p>
      <w:pPr>
        <w:pStyle w:val="Heading2"/>
      </w:pPr>
      <w:r>
        <w:rPr>
          <w:rStyle w:val="SectionNumber"/>
        </w:rPr>
        <w:t xml:space="preserve">1.489</w:t>
      </w:r>
      <w:r>
        <w:tab/>
      </w:r>
      <w:r>
        <w:t xml:space="preserve">Referencias jurídicas primarias</w:t>
      </w:r>
    </w:p>
    <w:p>
      <w:pPr>
        <w:numPr>
          <w:ilvl w:val="0"/>
          <w:numId w:val="1136"/>
        </w:numPr>
        <w:pStyle w:val="Compact"/>
      </w:pPr>
      <w:r>
        <w:t xml:space="preserve">Reglamento (UE) 2024/1689, modificado: artículo 53.</w:t>
      </w:r>
    </w:p>
    <w:p>
      <w:pPr>
        <w:numPr>
          <w:ilvl w:val="0"/>
          <w:numId w:val="1136"/>
        </w:numPr>
        <w:pStyle w:val="Compact"/>
      </w:pPr>
      <w:r>
        <w:t xml:space="preserve">Directiva (UE) 2019/790, incluido su artículo 4, apartado 3.</w:t>
      </w:r>
    </w:p>
    <w:p>
      <w:pPr>
        <w:numPr>
          <w:ilvl w:val="0"/>
          <w:numId w:val="1136"/>
        </w:numPr>
        <w:pStyle w:val="Compact"/>
      </w:pPr>
      <w:r>
        <w:t xml:space="preserve">Plantilla y orientación actuales de la Comisión, identificadas en función del estatuto jurídico.</w:t>
      </w:r>
    </w:p>
    <w:bookmarkEnd w:id="532"/>
    <w:bookmarkStart w:id="533" w:name="X7884a066a93b83585d49be85dd9edc3cf554eea"/>
    <w:p>
      <w:pPr>
        <w:pStyle w:val="Heading2"/>
      </w:pPr>
      <w:r>
        <w:rPr>
          <w:rStyle w:val="SectionNumber"/>
        </w:rPr>
        <w:t xml:space="preserve">1.490</w:t>
      </w:r>
      <w:r>
        <w:tab/>
      </w:r>
      <w:r>
        <w:t xml:space="preserve">Capítulo 56 — Modelos GPAI con riesgo sistémico</w:t>
      </w:r>
    </w:p>
    <w:p>
      <w:pPr>
        <w:pStyle w:val="BlockText"/>
      </w:pPr>
      <w:r>
        <w:rPr>
          <w:bCs/>
          <w:b/>
        </w:rPr>
        <w:t xml:space="preserve">Estatus legal:</w:t>
      </w:r>
      <w:r>
        <w:t xml:space="preserve"> </w:t>
      </w:r>
      <w:r>
        <w:t xml:space="preserve">Corregido Maestro Inglés para la consolidación. Este archivo controla el lenguaje de borrador del Capítulo 56 anterior en conflicto.</w:t>
      </w:r>
    </w:p>
    <w:bookmarkEnd w:id="533"/>
    <w:bookmarkStart w:id="534" w:name="requisito-54"/>
    <w:p>
      <w:pPr>
        <w:pStyle w:val="Heading2"/>
      </w:pPr>
      <w:r>
        <w:rPr>
          <w:rStyle w:val="SectionNumber"/>
        </w:rPr>
        <w:t xml:space="preserve">1.491</w:t>
      </w:r>
      <w:r>
        <w:tab/>
      </w:r>
      <w:r>
        <w:t xml:space="preserve">Requisito</w:t>
      </w:r>
    </w:p>
    <w:p>
      <w:pPr>
        <w:pStyle w:val="FirstParagraph"/>
      </w:pPr>
      <w:r>
        <w:t xml:space="preserve">Un modelo de IA de uso general debe clasificarse como un modelo GPAI con riesgo sistémico cuando tiene capacidades de alto impacto en virtud del artículo 51 o cuando la Comisión lo designa como una capacidad o impacto equivalente. Los proveedores deben supervisar los criterios de clasificación, notificar a la Comisión cuando sea necesario y cumplir con las obligaciones adicionales aplicables a los modelos de riesgo sistémico.</w:t>
      </w:r>
    </w:p>
    <w:bookmarkEnd w:id="534"/>
    <w:bookmarkStart w:id="535" w:name="explicación-en-lenguaje-sencillo-51"/>
    <w:p>
      <w:pPr>
        <w:pStyle w:val="Heading2"/>
      </w:pPr>
      <w:r>
        <w:rPr>
          <w:rStyle w:val="SectionNumber"/>
        </w:rPr>
        <w:t xml:space="preserve">1.492</w:t>
      </w:r>
      <w:r>
        <w:tab/>
      </w:r>
      <w:r>
        <w:t xml:space="preserve">Explicación en lenguaje sencillo</w:t>
      </w:r>
    </w:p>
    <w:p>
      <w:pPr>
        <w:pStyle w:val="FirstParagraph"/>
      </w:pPr>
      <w:r>
        <w:t xml:space="preserve">La situación de riesgo sistémico puede surgir a través de una presunción legal o de una decisión de la Comisión.El reglamento actual presume capacidades de alto impacto cuando el cálculo acumulativo de la formación supera los 10 ^ 25 operaciones de punto flotante, con sujeción a futuras modificaciones.El umbral no es la única vía: la Comisión puede designar un modelo basado en los criterios más amplios del anexo XIII.</w:t>
      </w:r>
    </w:p>
    <w:bookmarkEnd w:id="535"/>
    <w:bookmarkStart w:id="536" w:name="proceso-de-clasificación-y-notificación"/>
    <w:p>
      <w:pPr>
        <w:pStyle w:val="Heading2"/>
      </w:pPr>
      <w:r>
        <w:rPr>
          <w:rStyle w:val="SectionNumber"/>
        </w:rPr>
        <w:t xml:space="preserve">1.493</w:t>
      </w:r>
      <w:r>
        <w:tab/>
      </w:r>
      <w:r>
        <w:t xml:space="preserve">Proceso de clasificación y notificación</w:t>
      </w:r>
    </w:p>
    <w:p>
      <w:pPr>
        <w:pStyle w:val="FirstParagraph"/>
      </w:pPr>
      <w:r>
        <w:t xml:space="preserve">El proveedor deberá:</w:t>
      </w:r>
    </w:p>
    <w:p>
      <w:pPr>
        <w:numPr>
          <w:ilvl w:val="0"/>
          <w:numId w:val="1137"/>
        </w:numPr>
        <w:pStyle w:val="Compact"/>
      </w:pPr>
      <w:r>
        <w:t xml:space="preserve">medir y documentar el cálculo acumulativo de la formación;</w:t>
      </w:r>
    </w:p>
    <w:p>
      <w:pPr>
        <w:numPr>
          <w:ilvl w:val="0"/>
          <w:numId w:val="1137"/>
        </w:numPr>
        <w:pStyle w:val="Compact"/>
      </w:pPr>
      <w:r>
        <w:t xml:space="preserve">evaluar las capacidades y el impacto de los modelos utilizando las herramientas, los parámetros de referencia y los criterios del anexo XIII;</w:t>
      </w:r>
    </w:p>
    <w:p>
      <w:pPr>
        <w:numPr>
          <w:ilvl w:val="0"/>
          <w:numId w:val="1137"/>
        </w:numPr>
        <w:pStyle w:val="Compact"/>
      </w:pPr>
      <w:r>
        <w:t xml:space="preserve">supervisará si se alcanzará el umbral antes de completar la formación;</w:t>
      </w:r>
    </w:p>
    <w:p>
      <w:pPr>
        <w:numPr>
          <w:ilvl w:val="0"/>
          <w:numId w:val="1137"/>
        </w:numPr>
        <w:pStyle w:val="Compact"/>
      </w:pPr>
      <w:r>
        <w:t xml:space="preserve">notificar sin demora a la Comisión y a más tardar dos semanas después de que se cumpla el criterio o el proveedor sepa que se cumplirá;</w:t>
      </w:r>
    </w:p>
    <w:p>
      <w:pPr>
        <w:numPr>
          <w:ilvl w:val="0"/>
          <w:numId w:val="1137"/>
        </w:numPr>
        <w:pStyle w:val="Compact"/>
      </w:pPr>
      <w:r>
        <w:t xml:space="preserve">incluir la información necesaria para apoyar la notificación;</w:t>
      </w:r>
    </w:p>
    <w:p>
      <w:pPr>
        <w:numPr>
          <w:ilvl w:val="0"/>
          <w:numId w:val="1137"/>
        </w:numPr>
        <w:pStyle w:val="Compact"/>
      </w:pPr>
      <w:r>
        <w:t xml:space="preserve">documentar cualquier argumento excepcional y fundamentado de que el modelo no presenta riesgo sistémico a pesar de cumplir la presunción;</w:t>
      </w:r>
    </w:p>
    <w:p>
      <w:pPr>
        <w:numPr>
          <w:ilvl w:val="0"/>
          <w:numId w:val="1137"/>
        </w:numPr>
        <w:pStyle w:val="Compact"/>
      </w:pPr>
      <w:r>
        <w:t xml:space="preserve">seguimiento de las decisiones de designación, rechazo, reevaluación o expulsión de la Comisión;</w:t>
      </w:r>
    </w:p>
    <w:p>
      <w:pPr>
        <w:numPr>
          <w:ilvl w:val="0"/>
          <w:numId w:val="1137"/>
        </w:numPr>
        <w:pStyle w:val="Compact"/>
      </w:pPr>
      <w:r>
        <w:t xml:space="preserve">activar los controles del artículo 55 cuando se aplique la clasificación de riesgos sistémicos.</w:t>
      </w:r>
    </w:p>
    <w:bookmarkEnd w:id="536"/>
    <w:bookmarkStart w:id="537" w:name="ejemplo-de-globalway-49"/>
    <w:p>
      <w:pPr>
        <w:pStyle w:val="Heading2"/>
      </w:pPr>
      <w:r>
        <w:rPr>
          <w:rStyle w:val="SectionNumber"/>
        </w:rPr>
        <w:t xml:space="preserve">1.494</w:t>
      </w:r>
      <w:r>
        <w:tab/>
      </w:r>
      <w:r>
        <w:t xml:space="preserve">Ejemplo de GlobalWay</w:t>
      </w:r>
    </w:p>
    <w:p>
      <w:pPr>
        <w:pStyle w:val="FirstParagraph"/>
      </w:pPr>
      <w:r>
        <w:t xml:space="preserve">GlobalWay no es el proveedor del modelo GPAI de terceros utilizado en su plataforma de viajes, pero la diligencia debida del proveedor confirma si el proveedor ha evaluado el estado de riesgo sistémico, completado las notificaciones requeridas y proporcionado información adecuada sobre seguridad a los clientes intermedios.</w:t>
      </w:r>
    </w:p>
    <w:bookmarkEnd w:id="537"/>
    <w:bookmarkStart w:id="538" w:name="actividad-de-control-50"/>
    <w:p>
      <w:pPr>
        <w:pStyle w:val="Heading2"/>
      </w:pPr>
      <w:r>
        <w:rPr>
          <w:rStyle w:val="SectionNumber"/>
        </w:rPr>
        <w:t xml:space="preserve">1.495</w:t>
      </w:r>
      <w:r>
        <w:tab/>
      </w:r>
      <w:r>
        <w:t xml:space="preserve">Actividad de control</w:t>
      </w:r>
    </w:p>
    <w:p>
      <w:pPr>
        <w:pStyle w:val="FirstParagraph"/>
      </w:pPr>
      <w:r>
        <w:t xml:space="preserve">El proveedor de GPAI debe mantener un proceso documentado de clasificación de riesgos sistémicos vinculado a los planes de formación, los registros de cálculo, los resultados de la evaluación, las comunicaciones de la Comisión y las puertas de liberación.</w:t>
      </w:r>
    </w:p>
    <w:bookmarkEnd w:id="538"/>
    <w:bookmarkStart w:id="539" w:name="pruebas-55"/>
    <w:p>
      <w:pPr>
        <w:pStyle w:val="Heading2"/>
      </w:pPr>
      <w:r>
        <w:rPr>
          <w:rStyle w:val="SectionNumber"/>
        </w:rPr>
        <w:t xml:space="preserve">1.496</w:t>
      </w:r>
      <w:r>
        <w:tab/>
      </w:r>
      <w:r>
        <w:t xml:space="preserve">Pruebas</w:t>
      </w:r>
    </w:p>
    <w:p>
      <w:pPr>
        <w:numPr>
          <w:ilvl w:val="0"/>
          <w:numId w:val="1138"/>
        </w:numPr>
        <w:pStyle w:val="Compact"/>
      </w:pPr>
      <w:r>
        <w:t xml:space="preserve">el cálculo de la formación y el cálculo de la computación;</w:t>
      </w:r>
    </w:p>
    <w:p>
      <w:pPr>
        <w:numPr>
          <w:ilvl w:val="0"/>
          <w:numId w:val="1138"/>
        </w:numPr>
        <w:pStyle w:val="Compact"/>
      </w:pPr>
      <w:r>
        <w:t xml:space="preserve">la capacidad y las evaluaciones de impacto;</w:t>
      </w:r>
    </w:p>
    <w:p>
      <w:pPr>
        <w:numPr>
          <w:ilvl w:val="0"/>
          <w:numId w:val="1138"/>
        </w:numPr>
        <w:pStyle w:val="Compact"/>
      </w:pPr>
      <w:r>
        <w:t xml:space="preserve">Análisis del anexo XIII;</w:t>
      </w:r>
    </w:p>
    <w:p>
      <w:pPr>
        <w:numPr>
          <w:ilvl w:val="0"/>
          <w:numId w:val="1138"/>
        </w:numPr>
        <w:pStyle w:val="Compact"/>
      </w:pPr>
      <w:r>
        <w:t xml:space="preserve">los registros de vigilancia de umbral;</w:t>
      </w:r>
    </w:p>
    <w:p>
      <w:pPr>
        <w:numPr>
          <w:ilvl w:val="0"/>
          <w:numId w:val="1138"/>
        </w:numPr>
        <w:pStyle w:val="Compact"/>
      </w:pPr>
      <w:r>
        <w:t xml:space="preserve">Notificación de la Comisión y marca de tiempo;</w:t>
      </w:r>
    </w:p>
    <w:p>
      <w:pPr>
        <w:numPr>
          <w:ilvl w:val="0"/>
          <w:numId w:val="1138"/>
        </w:numPr>
        <w:pStyle w:val="Compact"/>
      </w:pPr>
      <w:r>
        <w:t xml:space="preserve">presentación de la refutación, en su caso;</w:t>
      </w:r>
    </w:p>
    <w:p>
      <w:pPr>
        <w:numPr>
          <w:ilvl w:val="0"/>
          <w:numId w:val="1138"/>
        </w:numPr>
        <w:pStyle w:val="Compact"/>
      </w:pPr>
      <w:r>
        <w:t xml:space="preserve">Decisión o correspondencia de la Comisión;</w:t>
      </w:r>
    </w:p>
    <w:p>
      <w:pPr>
        <w:numPr>
          <w:ilvl w:val="0"/>
          <w:numId w:val="1138"/>
        </w:numPr>
        <w:pStyle w:val="Compact"/>
      </w:pPr>
      <w:r>
        <w:t xml:space="preserve">Artículo 55 Preparación y pruebas de cumplimiento.</w:t>
      </w:r>
    </w:p>
    <w:bookmarkEnd w:id="539"/>
    <w:bookmarkStart w:id="540" w:name="prueba-de-auditoría-51"/>
    <w:p>
      <w:pPr>
        <w:pStyle w:val="Heading2"/>
      </w:pPr>
      <w:r>
        <w:rPr>
          <w:rStyle w:val="SectionNumber"/>
        </w:rPr>
        <w:t xml:space="preserve">1.497</w:t>
      </w:r>
      <w:r>
        <w:tab/>
      </w:r>
      <w:r>
        <w:t xml:space="preserve">Prueba de auditoría</w:t>
      </w:r>
    </w:p>
    <w:p>
      <w:pPr>
        <w:pStyle w:val="FirstParagraph"/>
      </w:pPr>
      <w:r>
        <w:t xml:space="preserve">Recalcular o validar la cifra de entrenamiento-computación, inspeccionar el análisis del Anexo XIII, confirmar la fecha de notificación cuando sea necesario, y verificar que las obligaciones de riesgo sistémico fueron activadas antes de la liberación.</w:t>
      </w:r>
    </w:p>
    <w:bookmarkEnd w:id="540"/>
    <w:bookmarkStart w:id="541" w:name="referencias-jurídicas-primarias-24"/>
    <w:p>
      <w:pPr>
        <w:pStyle w:val="Heading2"/>
      </w:pPr>
      <w:r>
        <w:rPr>
          <w:rStyle w:val="SectionNumber"/>
        </w:rPr>
        <w:t xml:space="preserve">1.498</w:t>
      </w:r>
      <w:r>
        <w:tab/>
      </w:r>
      <w:r>
        <w:t xml:space="preserve">Referencias jurídicas primarias</w:t>
      </w:r>
    </w:p>
    <w:p>
      <w:pPr>
        <w:numPr>
          <w:ilvl w:val="0"/>
          <w:numId w:val="1139"/>
        </w:numPr>
        <w:pStyle w:val="Compact"/>
      </w:pPr>
      <w:r>
        <w:t xml:space="preserve">Reglamento (UE) 2024/1689, modificado: artículos 51 a 52 y anexo XIII.</w:t>
      </w:r>
    </w:p>
    <w:p>
      <w:pPr>
        <w:numPr>
          <w:ilvl w:val="0"/>
          <w:numId w:val="1139"/>
        </w:numPr>
        <w:pStyle w:val="Compact"/>
      </w:pPr>
      <w:r>
        <w:t xml:space="preserve">Directrices del proveedor de GPAI de la Comisión Europea, identificadas como orientaciones no vinculantes.</w:t>
      </w:r>
    </w:p>
    <w:p>
      <w:pPr>
        <w:numPr>
          <w:ilvl w:val="0"/>
          <w:numId w:val="1139"/>
        </w:numPr>
        <w:pStyle w:val="Compact"/>
      </w:pPr>
      <w:r>
        <w:t xml:space="preserve">Los actuales controles consolidados de texto EUR-Lex sobre los resúmenes antiguos.</w:t>
      </w:r>
    </w:p>
    <w:bookmarkEnd w:id="541"/>
    <w:bookmarkStart w:id="542" w:name="X93ea1b02cd97eb5a3d0b40e406a4985544a5203"/>
    <w:p>
      <w:pPr>
        <w:pStyle w:val="Heading2"/>
      </w:pPr>
      <w:r>
        <w:rPr>
          <w:rStyle w:val="SectionNumber"/>
        </w:rPr>
        <w:t xml:space="preserve">1.499</w:t>
      </w:r>
      <w:r>
        <w:tab/>
      </w:r>
      <w:r>
        <w:t xml:space="preserve">Capítulo 57 — Evaluaciones de modelos y ensayos contradictorios</w:t>
      </w:r>
    </w:p>
    <w:p>
      <w:pPr>
        <w:pStyle w:val="BlockText"/>
      </w:pPr>
      <w:r>
        <w:rPr>
          <w:bCs/>
          <w:b/>
        </w:rPr>
        <w:t xml:space="preserve">Estatus legal:</w:t>
      </w:r>
      <w:r>
        <w:t xml:space="preserve"> </w:t>
      </w:r>
      <w:r>
        <w:t xml:space="preserve">Corregido Maestro Inglés para la consolidación. Este archivo controla el lenguaje de borrador del Capítulo 57 anterior.</w:t>
      </w:r>
    </w:p>
    <w:bookmarkEnd w:id="542"/>
    <w:bookmarkStart w:id="543" w:name="requisito-55"/>
    <w:p>
      <w:pPr>
        <w:pStyle w:val="Heading2"/>
      </w:pPr>
      <w:r>
        <w:rPr>
          <w:rStyle w:val="SectionNumber"/>
        </w:rPr>
        <w:t xml:space="preserve">1.500</w:t>
      </w:r>
      <w:r>
        <w:tab/>
      </w:r>
      <w:r>
        <w:t xml:space="preserve">Requisito</w:t>
      </w:r>
    </w:p>
    <w:p>
      <w:pPr>
        <w:pStyle w:val="FirstParagraph"/>
      </w:pPr>
      <w:r>
        <w:t xml:space="preserve">Los proveedores de modelos de IA de uso general con riesgo sistémico deben realizar evaluaciones de modelos de acuerdo con protocolos e instrumentos normalizados que reflejen el estado de la técnica, incluidas pruebas de contradicción cuando proceda, para identificar y mitigar los riesgos sistémicos.</w:t>
      </w:r>
    </w:p>
    <w:bookmarkEnd w:id="543"/>
    <w:bookmarkStart w:id="544" w:name="explicación-en-lenguaje-sencillo-52"/>
    <w:p>
      <w:pPr>
        <w:pStyle w:val="Heading2"/>
      </w:pPr>
      <w:r>
        <w:rPr>
          <w:rStyle w:val="SectionNumber"/>
        </w:rPr>
        <w:t xml:space="preserve">1.501</w:t>
      </w:r>
      <w:r>
        <w:tab/>
      </w:r>
      <w:r>
        <w:t xml:space="preserve">Explicación en lenguaje sencillo</w:t>
      </w:r>
    </w:p>
    <w:p>
      <w:pPr>
        <w:pStyle w:val="FirstParagraph"/>
      </w:pPr>
      <w:r>
        <w:t xml:space="preserve">La evaluación no es un ejercicio de referencia de una sola vez. El proveedor debe probar lo que el modelo puede hacer, donde falla, cómo puede ser mal utilizado, cómo se pueden eludir las salvaguardias, y si las nuevas liberaciones o ajuste fino cambian el riesgo material. Las pruebas de confrontación deben incluir intentos realistas de derrotar los controles y exponer capacidades peligrosas o no deseadas.</w:t>
      </w:r>
    </w:p>
    <w:bookmarkEnd w:id="544"/>
    <w:bookmarkStart w:id="545" w:name="programa-de-evaluación"/>
    <w:p>
      <w:pPr>
        <w:pStyle w:val="Heading2"/>
      </w:pPr>
      <w:r>
        <w:rPr>
          <w:rStyle w:val="SectionNumber"/>
        </w:rPr>
        <w:t xml:space="preserve">1.502</w:t>
      </w:r>
      <w:r>
        <w:tab/>
      </w:r>
      <w:r>
        <w:t xml:space="preserve">Programa de evaluación</w:t>
      </w:r>
    </w:p>
    <w:p>
      <w:pPr>
        <w:pStyle w:val="FirstParagraph"/>
      </w:pPr>
      <w:r>
        <w:t xml:space="preserve">El proveedor debe definir:</w:t>
      </w:r>
    </w:p>
    <w:p>
      <w:pPr>
        <w:numPr>
          <w:ilvl w:val="0"/>
          <w:numId w:val="1140"/>
        </w:numPr>
        <w:pStyle w:val="Compact"/>
      </w:pPr>
      <w:r>
        <w:t xml:space="preserve">objetivos de evaluación vinculados a los riesgos sistémicos detectados;</w:t>
      </w:r>
    </w:p>
    <w:p>
      <w:pPr>
        <w:numPr>
          <w:ilvl w:val="0"/>
          <w:numId w:val="1140"/>
        </w:numPr>
        <w:pStyle w:val="Compact"/>
      </w:pPr>
      <w:r>
        <w:t xml:space="preserve">capacidad, seguridad, robustez, mal uso y autonomía de los dominios de prueba;</w:t>
      </w:r>
    </w:p>
    <w:p>
      <w:pPr>
        <w:numPr>
          <w:ilvl w:val="0"/>
          <w:numId w:val="1140"/>
        </w:numPr>
        <w:pStyle w:val="Compact"/>
      </w:pPr>
      <w:r>
        <w:t xml:space="preserve">puntos de evaluación previos a la liberación, posteriores a la liberación y activados por el cambio;</w:t>
      </w:r>
    </w:p>
    <w:p>
      <w:pPr>
        <w:numPr>
          <w:ilvl w:val="0"/>
          <w:numId w:val="1140"/>
        </w:numPr>
        <w:pStyle w:val="Compact"/>
      </w:pPr>
      <w:r>
        <w:t xml:space="preserve">ensayos independientes o funcionalmente separados cuando sean proporcionados;</w:t>
      </w:r>
    </w:p>
    <w:p>
      <w:pPr>
        <w:numPr>
          <w:ilvl w:val="0"/>
          <w:numId w:val="1140"/>
        </w:numPr>
        <w:pStyle w:val="Compact"/>
      </w:pPr>
      <w:r>
        <w:t xml:space="preserve">escenarios representativos y de ensayo de estrés;</w:t>
      </w:r>
    </w:p>
    <w:p>
      <w:pPr>
        <w:numPr>
          <w:ilvl w:val="0"/>
          <w:numId w:val="1140"/>
        </w:numPr>
        <w:pStyle w:val="Compact"/>
      </w:pPr>
      <w:r>
        <w:t xml:space="preserve">las cualificaciones del equipo rojo, los controles de conflictos y las normas para entablar combate;</w:t>
      </w:r>
    </w:p>
    <w:p>
      <w:pPr>
        <w:numPr>
          <w:ilvl w:val="0"/>
          <w:numId w:val="1140"/>
        </w:numPr>
        <w:pStyle w:val="Compact"/>
      </w:pPr>
      <w:r>
        <w:t xml:space="preserve">severidad, explotabilidad, reproducibilidad y criterios de riesgo residual;</w:t>
      </w:r>
    </w:p>
    <w:p>
      <w:pPr>
        <w:numPr>
          <w:ilvl w:val="0"/>
          <w:numId w:val="1140"/>
        </w:numPr>
        <w:pStyle w:val="Compact"/>
      </w:pPr>
      <w:r>
        <w:t xml:space="preserve">los umbrales de rehabilitación, reensayo y bloqueo de las liberaciones;</w:t>
      </w:r>
    </w:p>
    <w:p>
      <w:pPr>
        <w:numPr>
          <w:ilvl w:val="0"/>
          <w:numId w:val="1140"/>
        </w:numPr>
        <w:pStyle w:val="Compact"/>
      </w:pPr>
      <w:r>
        <w:t xml:space="preserve">el tratamiento confidencial de las conclusiones sensibles;</w:t>
      </w:r>
    </w:p>
    <w:p>
      <w:pPr>
        <w:numPr>
          <w:ilvl w:val="0"/>
          <w:numId w:val="1140"/>
        </w:numPr>
        <w:pStyle w:val="Compact"/>
      </w:pPr>
      <w:r>
        <w:t xml:space="preserve">documentación suficiente para la supervisión y el examen reglamentario.</w:t>
      </w:r>
    </w:p>
    <w:bookmarkEnd w:id="545"/>
    <w:bookmarkStart w:id="546" w:name="ejemplo-de-globalway-50"/>
    <w:p>
      <w:pPr>
        <w:pStyle w:val="Heading2"/>
      </w:pPr>
      <w:r>
        <w:rPr>
          <w:rStyle w:val="SectionNumber"/>
        </w:rPr>
        <w:t xml:space="preserve">1.503</w:t>
      </w:r>
      <w:r>
        <w:tab/>
      </w:r>
      <w:r>
        <w:t xml:space="preserve">Ejemplo de GlobalWay</w:t>
      </w:r>
    </w:p>
    <w:p>
      <w:pPr>
        <w:pStyle w:val="FirstParagraph"/>
      </w:pPr>
      <w:r>
        <w:t xml:space="preserve">Antes de integrar un modelo GPAI de riesgo sistémico en su plataforma de asistencia a los viajes, GlobalWay revisa el resumen de evaluación del proveedor, prueba la resistencia a la inyección rápida, generación de documentos de viaje dañinos, fugas de datos sensibles, orientación falsa de emergencia y salvaguardias en torno al contenido prohibido, y registra las limitaciones posteriores y los controles compensatorios.</w:t>
      </w:r>
    </w:p>
    <w:bookmarkEnd w:id="546"/>
    <w:bookmarkStart w:id="547" w:name="actividad-de-control-51"/>
    <w:p>
      <w:pPr>
        <w:pStyle w:val="Heading2"/>
      </w:pPr>
      <w:r>
        <w:rPr>
          <w:rStyle w:val="SectionNumber"/>
        </w:rPr>
        <w:t xml:space="preserve">1.504</w:t>
      </w:r>
      <w:r>
        <w:tab/>
      </w:r>
      <w:r>
        <w:t xml:space="preserve">Actividad de control</w:t>
      </w:r>
    </w:p>
    <w:p>
      <w:pPr>
        <w:pStyle w:val="FirstParagraph"/>
      </w:pPr>
      <w:r>
        <w:t xml:space="preserve">El proveedor de GPAI debe mantener un programa documentado de evaluación y pruebas de contradicción vinculado a la gobernanza de las liberaciones. Una liberación no debe proceder cuando las conclusiones no resueltas superen los umbrales de riesgo aprobados o cuando las pruebas no cubran los riesgos sistémicos detectados.</w:t>
      </w:r>
    </w:p>
    <w:bookmarkEnd w:id="547"/>
    <w:bookmarkStart w:id="548" w:name="pruebas-56"/>
    <w:p>
      <w:pPr>
        <w:pStyle w:val="Heading2"/>
      </w:pPr>
      <w:r>
        <w:rPr>
          <w:rStyle w:val="SectionNumber"/>
        </w:rPr>
        <w:t xml:space="preserve">1.505</w:t>
      </w:r>
      <w:r>
        <w:tab/>
      </w:r>
      <w:r>
        <w:t xml:space="preserve">Pruebas</w:t>
      </w:r>
    </w:p>
    <w:p>
      <w:pPr>
        <w:numPr>
          <w:ilvl w:val="0"/>
          <w:numId w:val="1141"/>
        </w:numPr>
        <w:pStyle w:val="Compact"/>
      </w:pPr>
      <w:r>
        <w:t xml:space="preserve">el plan de evaluación y el catálogo de pruebas;</w:t>
      </w:r>
    </w:p>
    <w:p>
      <w:pPr>
        <w:numPr>
          <w:ilvl w:val="0"/>
          <w:numId w:val="1141"/>
        </w:numPr>
        <w:pStyle w:val="Compact"/>
      </w:pPr>
      <w:r>
        <w:t xml:space="preserve">justificación de referencia y escenario;</w:t>
      </w:r>
    </w:p>
    <w:p>
      <w:pPr>
        <w:numPr>
          <w:ilvl w:val="0"/>
          <w:numId w:val="1141"/>
        </w:numPr>
        <w:pStyle w:val="Compact"/>
      </w:pPr>
      <w:r>
        <w:t xml:space="preserve">informes de pruebas contradictorias;</w:t>
      </w:r>
    </w:p>
    <w:p>
      <w:pPr>
        <w:numPr>
          <w:ilvl w:val="0"/>
          <w:numId w:val="1141"/>
        </w:numPr>
        <w:pStyle w:val="Compact"/>
      </w:pPr>
      <w:r>
        <w:t xml:space="preserve">las cualificaciones del equipo rojo y los registros de independencia;</w:t>
      </w:r>
    </w:p>
    <w:p>
      <w:pPr>
        <w:numPr>
          <w:ilvl w:val="0"/>
          <w:numId w:val="1141"/>
        </w:numPr>
        <w:pStyle w:val="Compact"/>
      </w:pPr>
      <w:r>
        <w:t xml:space="preserve">los resultados y las calificaciones de gravedad;</w:t>
      </w:r>
    </w:p>
    <w:p>
      <w:pPr>
        <w:numPr>
          <w:ilvl w:val="0"/>
          <w:numId w:val="1141"/>
        </w:numPr>
        <w:pStyle w:val="Compact"/>
      </w:pPr>
      <w:r>
        <w:t xml:space="preserve">la rehabilitación y el nuevo ensayo de las pruebas;</w:t>
      </w:r>
    </w:p>
    <w:p>
      <w:pPr>
        <w:numPr>
          <w:ilvl w:val="0"/>
          <w:numId w:val="1141"/>
        </w:numPr>
        <w:pStyle w:val="Compact"/>
      </w:pPr>
      <w:r>
        <w:t xml:space="preserve">la decisión de liberación y la aprobación del riesgo residual;</w:t>
      </w:r>
    </w:p>
    <w:p>
      <w:pPr>
        <w:numPr>
          <w:ilvl w:val="0"/>
          <w:numId w:val="1141"/>
        </w:numPr>
        <w:pStyle w:val="Compact"/>
      </w:pPr>
      <w:r>
        <w:t xml:space="preserve">resultados de la evaluación posterior a la liberación.</w:t>
      </w:r>
    </w:p>
    <w:bookmarkEnd w:id="548"/>
    <w:bookmarkStart w:id="549" w:name="prueba-de-auditoría-52"/>
    <w:p>
      <w:pPr>
        <w:pStyle w:val="Heading2"/>
      </w:pPr>
      <w:r>
        <w:rPr>
          <w:rStyle w:val="SectionNumber"/>
        </w:rPr>
        <w:t xml:space="preserve">1.506</w:t>
      </w:r>
      <w:r>
        <w:tab/>
      </w:r>
      <w:r>
        <w:t xml:space="preserve">Prueba de auditoría</w:t>
      </w:r>
    </w:p>
    <w:p>
      <w:pPr>
        <w:pStyle w:val="FirstParagraph"/>
      </w:pPr>
      <w:r>
        <w:t xml:space="preserve">Confirme que las evaluaciones abordaron la evaluación de riesgo actual, incluyeron pruebas contradictorias realistas, utilizaron criterios de aceptación definidos, dieron lugar a una corrección de seguimiento y se completaron antes de la aprobación de la liberación.</w:t>
      </w:r>
    </w:p>
    <w:bookmarkEnd w:id="549"/>
    <w:bookmarkStart w:id="550" w:name="referencias-jurídicas-primarias-25"/>
    <w:p>
      <w:pPr>
        <w:pStyle w:val="Heading2"/>
      </w:pPr>
      <w:r>
        <w:rPr>
          <w:rStyle w:val="SectionNumber"/>
        </w:rPr>
        <w:t xml:space="preserve">1.507</w:t>
      </w:r>
      <w:r>
        <w:tab/>
      </w:r>
      <w:r>
        <w:t xml:space="preserve">Referencias jurídicas primarias</w:t>
      </w:r>
    </w:p>
    <w:p>
      <w:pPr>
        <w:numPr>
          <w:ilvl w:val="0"/>
          <w:numId w:val="1142"/>
        </w:numPr>
        <w:pStyle w:val="Compact"/>
      </w:pPr>
      <w:r>
        <w:t xml:space="preserve">Reglamento (UE) 2024/1689, modificado: artículo 55, apartado 1, letra a).</w:t>
      </w:r>
    </w:p>
    <w:p>
      <w:pPr>
        <w:numPr>
          <w:ilvl w:val="0"/>
          <w:numId w:val="1142"/>
        </w:numPr>
        <w:pStyle w:val="Compact"/>
      </w:pPr>
      <w:r>
        <w:t xml:space="preserve">Los actuales controles consolidados de texto EUR-Lex sobre los resúmenes antiguos.</w:t>
      </w:r>
    </w:p>
    <w:p>
      <w:pPr>
        <w:numPr>
          <w:ilvl w:val="0"/>
          <w:numId w:val="1142"/>
        </w:numPr>
        <w:pStyle w:val="Compact"/>
      </w:pPr>
      <w:r>
        <w:t xml:space="preserve">La orientación aplicable de la Comisión y de la Oficina de Inteligencia Artificial debe considerarse no vinculante a menos que se adopte legalmente.</w:t>
      </w:r>
    </w:p>
    <w:bookmarkEnd w:id="550"/>
    <w:bookmarkStart w:id="551" w:name="X14e9c3f3a6a9e63e537b322faef9d49f56ef006"/>
    <w:p>
      <w:pPr>
        <w:pStyle w:val="Heading2"/>
      </w:pPr>
      <w:r>
        <w:rPr>
          <w:rStyle w:val="SectionNumber"/>
        </w:rPr>
        <w:t xml:space="preserve">1.508</w:t>
      </w:r>
      <w:r>
        <w:tab/>
      </w:r>
      <w:r>
        <w:t xml:space="preserve">Capítulo 58 — Evaluación y mitigación del riesgo sistémico</w:t>
      </w:r>
    </w:p>
    <w:p>
      <w:pPr>
        <w:pStyle w:val="BlockText"/>
      </w:pPr>
      <w:r>
        <w:rPr>
          <w:bCs/>
          <w:b/>
        </w:rPr>
        <w:t xml:space="preserve">Estatus legal:</w:t>
      </w:r>
      <w:r>
        <w:t xml:space="preserve"> </w:t>
      </w:r>
      <w:r>
        <w:t xml:space="preserve">Corregido Maestro Inglés para la consolidación. Este archivo controla el lenguaje de borrador anterior del Capítulo 58.</w:t>
      </w:r>
    </w:p>
    <w:bookmarkEnd w:id="551"/>
    <w:bookmarkStart w:id="552" w:name="requisito-56"/>
    <w:p>
      <w:pPr>
        <w:pStyle w:val="Heading2"/>
      </w:pPr>
      <w:r>
        <w:rPr>
          <w:rStyle w:val="SectionNumber"/>
        </w:rPr>
        <w:t xml:space="preserve">1.509</w:t>
      </w:r>
      <w:r>
        <w:tab/>
      </w:r>
      <w:r>
        <w:t xml:space="preserve">Requisito</w:t>
      </w:r>
    </w:p>
    <w:p>
      <w:pPr>
        <w:pStyle w:val="FirstParagraph"/>
      </w:pPr>
      <w:r>
        <w:t xml:space="preserve">Los proveedores de modelos de IA de uso general con riesgo sistémico deben evaluar y mitigar los posibles riesgos sistémicos a nivel de la Unión, incluidas sus fuentes, vías, sectores afectados, uso indebido previsible y materialización a lo largo del ciclo de vida del modelo.</w:t>
      </w:r>
    </w:p>
    <w:bookmarkEnd w:id="552"/>
    <w:bookmarkStart w:id="553" w:name="explicación-en-lenguaje-sencillo-53"/>
    <w:p>
      <w:pPr>
        <w:pStyle w:val="Heading2"/>
      </w:pPr>
      <w:r>
        <w:rPr>
          <w:rStyle w:val="SectionNumber"/>
        </w:rPr>
        <w:t xml:space="preserve">1.510</w:t>
      </w:r>
      <w:r>
        <w:tab/>
      </w:r>
      <w:r>
        <w:t xml:space="preserve">Explicación en lenguaje sencillo</w:t>
      </w:r>
    </w:p>
    <w:p>
      <w:pPr>
        <w:pStyle w:val="FirstParagraph"/>
      </w:pPr>
      <w:r>
        <w:t xml:space="preserve">El riesgo sistémico se refiere a los daños que pueden extenderse ampliamente, afectar a muchas personas o sectores, socavar los intereses públicos o crear graves efectos transfronterizos. El proveedor debe determinar cómo las capacidades modelo, la distribución, las integraciones, las dependencias y el uso indebido pueden crear tales daños y debe aplicar salvaguardias proporcionales al riesgo.</w:t>
      </w:r>
    </w:p>
    <w:bookmarkEnd w:id="553"/>
    <w:bookmarkStart w:id="554" w:name="estructura-de-evaluación"/>
    <w:p>
      <w:pPr>
        <w:pStyle w:val="Heading2"/>
      </w:pPr>
      <w:r>
        <w:rPr>
          <w:rStyle w:val="SectionNumber"/>
        </w:rPr>
        <w:t xml:space="preserve">1.511</w:t>
      </w:r>
      <w:r>
        <w:tab/>
      </w:r>
      <w:r>
        <w:t xml:space="preserve">Estructura de evaluación</w:t>
      </w:r>
    </w:p>
    <w:p>
      <w:pPr>
        <w:pStyle w:val="FirstParagraph"/>
      </w:pPr>
      <w:r>
        <w:t xml:space="preserve">La evaluación debería abordar:</w:t>
      </w:r>
    </w:p>
    <w:p>
      <w:pPr>
        <w:numPr>
          <w:ilvl w:val="0"/>
          <w:numId w:val="1143"/>
        </w:numPr>
        <w:pStyle w:val="Compact"/>
      </w:pPr>
      <w:r>
        <w:t xml:space="preserve">capacidades, limitaciones y evolución previsible del modelo;</w:t>
      </w:r>
    </w:p>
    <w:p>
      <w:pPr>
        <w:numPr>
          <w:ilvl w:val="0"/>
          <w:numId w:val="1143"/>
        </w:numPr>
        <w:pStyle w:val="Compact"/>
      </w:pPr>
      <w:r>
        <w:t xml:space="preserve">las condiciones de acceso, la escala de distribución y la integración descendente;</w:t>
      </w:r>
    </w:p>
    <w:p>
      <w:pPr>
        <w:numPr>
          <w:ilvl w:val="0"/>
          <w:numId w:val="1143"/>
        </w:numPr>
        <w:pStyle w:val="Compact"/>
      </w:pPr>
      <w:r>
        <w:t xml:space="preserve">el uso indebido y las vías de elusión;</w:t>
      </w:r>
    </w:p>
    <w:p>
      <w:pPr>
        <w:numPr>
          <w:ilvl w:val="0"/>
          <w:numId w:val="1143"/>
        </w:numPr>
        <w:pStyle w:val="Compact"/>
      </w:pPr>
      <w:r>
        <w:t xml:space="preserve">riesgos cibernéticos, biológicos, químicos, radiológicos, de integridad de la información, de discriminación, de seguridad, de autonomía y de infraestructura crítica, cuando proceda;</w:t>
      </w:r>
    </w:p>
    <w:p>
      <w:pPr>
        <w:numPr>
          <w:ilvl w:val="0"/>
          <w:numId w:val="1143"/>
        </w:numPr>
        <w:pStyle w:val="Compact"/>
      </w:pPr>
      <w:r>
        <w:t xml:space="preserve">riesgos de concentración, dependencia y fallo en cascada;</w:t>
      </w:r>
    </w:p>
    <w:p>
      <w:pPr>
        <w:numPr>
          <w:ilvl w:val="0"/>
          <w:numId w:val="1143"/>
        </w:numPr>
        <w:pStyle w:val="Compact"/>
      </w:pPr>
      <w:r>
        <w:t xml:space="preserve">poblaciones, sectores, derechos y alcance geográfico afectados;</w:t>
      </w:r>
    </w:p>
    <w:p>
      <w:pPr>
        <w:numPr>
          <w:ilvl w:val="0"/>
          <w:numId w:val="1143"/>
        </w:numPr>
        <w:pStyle w:val="Compact"/>
      </w:pPr>
      <w:r>
        <w:t xml:space="preserve">probabilidad, gravedad, velocidad, reversibilidad y detectabilidad;</w:t>
      </w:r>
    </w:p>
    <w:p>
      <w:pPr>
        <w:numPr>
          <w:ilvl w:val="0"/>
          <w:numId w:val="1143"/>
        </w:numPr>
        <w:pStyle w:val="Compact"/>
      </w:pPr>
      <w:r>
        <w:t xml:space="preserve">las salvaguardias existentes y el riesgo residual;</w:t>
      </w:r>
    </w:p>
    <w:p>
      <w:pPr>
        <w:numPr>
          <w:ilvl w:val="0"/>
          <w:numId w:val="1143"/>
        </w:numPr>
        <w:pStyle w:val="Compact"/>
      </w:pPr>
      <w:r>
        <w:t xml:space="preserve">propietarios de mitigación, plazos, validación y supervisión;</w:t>
      </w:r>
    </w:p>
    <w:p>
      <w:pPr>
        <w:numPr>
          <w:ilvl w:val="0"/>
          <w:numId w:val="1143"/>
        </w:numPr>
        <w:pStyle w:val="Compact"/>
      </w:pPr>
      <w:r>
        <w:t xml:space="preserve">activadores de reevaluación, incluyendo nuevas capacidades, incidentes, evaluaciones y cambios materiales.</w:t>
      </w:r>
    </w:p>
    <w:bookmarkEnd w:id="554"/>
    <w:bookmarkStart w:id="555" w:name="ejemplo-de-globalway-51"/>
    <w:p>
      <w:pPr>
        <w:pStyle w:val="Heading2"/>
      </w:pPr>
      <w:r>
        <w:rPr>
          <w:rStyle w:val="SectionNumber"/>
        </w:rPr>
        <w:t xml:space="preserve">1.512</w:t>
      </w:r>
      <w:r>
        <w:tab/>
      </w:r>
      <w:r>
        <w:t xml:space="preserve">Ejemplo de GlobalWay</w:t>
      </w:r>
    </w:p>
    <w:p>
      <w:pPr>
        <w:pStyle w:val="FirstParagraph"/>
      </w:pPr>
      <w:r>
        <w:t xml:space="preserve">GlobalWay evalúa si un modelo de GPAI de riesgo sistémico utilizado en los flujos de trabajo de reserva, gestión de interrupciones, fraude y asistencia a los empleados podría propagar orientaciones de emergencia falsas, exponer datos de viajeros sensibles, permitir la ingeniería social a gran escala o crear fallas operacionales correlacionadas.</w:t>
      </w:r>
    </w:p>
    <w:bookmarkEnd w:id="555"/>
    <w:bookmarkStart w:id="556" w:name="actividad-de-control-52"/>
    <w:p>
      <w:pPr>
        <w:pStyle w:val="Heading2"/>
      </w:pPr>
      <w:r>
        <w:rPr>
          <w:rStyle w:val="SectionNumber"/>
        </w:rPr>
        <w:t xml:space="preserve">1.513</w:t>
      </w:r>
      <w:r>
        <w:tab/>
      </w:r>
      <w:r>
        <w:t xml:space="preserve">Actividad de control</w:t>
      </w:r>
    </w:p>
    <w:p>
      <w:pPr>
        <w:pStyle w:val="FirstParagraph"/>
      </w:pPr>
      <w:r>
        <w:t xml:space="preserve">El proveedor debe mantener un registro de riesgos sistémicos específico para cada versión vinculado a evaluaciones de modelos, información sobre incidentes, controles de ciberseguridad, decisiones de liberación y seguimiento posterior a la comercialización. Los riesgos absolutos de los materiales deben bloquear la liberación o requerir restricciones documentadas, despliegue escalonado, limitación de acceso u otras salvaguardias validadas.</w:t>
      </w:r>
    </w:p>
    <w:bookmarkEnd w:id="556"/>
    <w:bookmarkStart w:id="557" w:name="pruebas-57"/>
    <w:p>
      <w:pPr>
        <w:pStyle w:val="Heading2"/>
      </w:pPr>
      <w:r>
        <w:rPr>
          <w:rStyle w:val="SectionNumber"/>
        </w:rPr>
        <w:t xml:space="preserve">1.514</w:t>
      </w:r>
      <w:r>
        <w:tab/>
      </w:r>
      <w:r>
        <w:t xml:space="preserve">Pruebas</w:t>
      </w:r>
    </w:p>
    <w:p>
      <w:pPr>
        <w:numPr>
          <w:ilvl w:val="0"/>
          <w:numId w:val="1144"/>
        </w:numPr>
        <w:pStyle w:val="Compact"/>
      </w:pPr>
      <w:r>
        <w:t xml:space="preserve">metodología de riesgos sistémicos;</w:t>
      </w:r>
    </w:p>
    <w:p>
      <w:pPr>
        <w:numPr>
          <w:ilvl w:val="0"/>
          <w:numId w:val="1144"/>
        </w:numPr>
        <w:pStyle w:val="Compact"/>
      </w:pPr>
      <w:r>
        <w:t xml:space="preserve">registro de riesgos y análisis de escenarios;</w:t>
      </w:r>
    </w:p>
    <w:p>
      <w:pPr>
        <w:numPr>
          <w:ilvl w:val="0"/>
          <w:numId w:val="1144"/>
        </w:numPr>
        <w:pStyle w:val="Compact"/>
      </w:pPr>
      <w:r>
        <w:t xml:space="preserve">mapeo del sector afectado y de la dependencia;</w:t>
      </w:r>
    </w:p>
    <w:p>
      <w:pPr>
        <w:numPr>
          <w:ilvl w:val="0"/>
          <w:numId w:val="1144"/>
        </w:numPr>
        <w:pStyle w:val="Compact"/>
      </w:pPr>
      <w:r>
        <w:t xml:space="preserve">el uso indebido y la evaluación de las amenazas;</w:t>
      </w:r>
    </w:p>
    <w:p>
      <w:pPr>
        <w:numPr>
          <w:ilvl w:val="0"/>
          <w:numId w:val="1144"/>
        </w:numPr>
        <w:pStyle w:val="Compact"/>
      </w:pPr>
      <w:r>
        <w:t xml:space="preserve">el plan de mitigación y los propietarios;</w:t>
      </w:r>
    </w:p>
    <w:p>
      <w:pPr>
        <w:numPr>
          <w:ilvl w:val="0"/>
          <w:numId w:val="1144"/>
        </w:numPr>
        <w:pStyle w:val="Compact"/>
      </w:pPr>
      <w:r>
        <w:t xml:space="preserve">validación y aprobación del riesgo residual;</w:t>
      </w:r>
    </w:p>
    <w:p>
      <w:pPr>
        <w:numPr>
          <w:ilvl w:val="0"/>
          <w:numId w:val="1144"/>
        </w:numPr>
        <w:pStyle w:val="Compact"/>
      </w:pPr>
      <w:r>
        <w:t xml:space="preserve">restricciones de liberación y controles de acceso;</w:t>
      </w:r>
    </w:p>
    <w:p>
      <w:pPr>
        <w:numPr>
          <w:ilvl w:val="0"/>
          <w:numId w:val="1144"/>
        </w:numPr>
        <w:pStyle w:val="Compact"/>
      </w:pPr>
      <w:r>
        <w:t xml:space="preserve">los registros de seguimiento y reevaluación.</w:t>
      </w:r>
    </w:p>
    <w:bookmarkEnd w:id="557"/>
    <w:bookmarkStart w:id="558" w:name="prueba-de-auditoría-53"/>
    <w:p>
      <w:pPr>
        <w:pStyle w:val="Heading2"/>
      </w:pPr>
      <w:r>
        <w:rPr>
          <w:rStyle w:val="SectionNumber"/>
        </w:rPr>
        <w:t xml:space="preserve">1.515</w:t>
      </w:r>
      <w:r>
        <w:tab/>
      </w:r>
      <w:r>
        <w:t xml:space="preserve">Prueba de auditoría</w:t>
      </w:r>
    </w:p>
    <w:p>
      <w:pPr>
        <w:pStyle w:val="FirstParagraph"/>
      </w:pPr>
      <w:r>
        <w:t xml:space="preserve">Seleccione un modelo de liberación de riesgo sistémico y verifique que la evaluación abarca la capacidad pertinente, el uso indebido, la dependencia y las vías intersectoriales; que las medidas de mitigación son validadas y rastreables; y que los riesgos residuales se aprobaron al nivel apropiado antes de la liberación.</w:t>
      </w:r>
    </w:p>
    <w:bookmarkEnd w:id="558"/>
    <w:bookmarkStart w:id="559" w:name="referencias-jurídicas-primarias-26"/>
    <w:p>
      <w:pPr>
        <w:pStyle w:val="Heading2"/>
      </w:pPr>
      <w:r>
        <w:rPr>
          <w:rStyle w:val="SectionNumber"/>
        </w:rPr>
        <w:t xml:space="preserve">1.516</w:t>
      </w:r>
      <w:r>
        <w:tab/>
      </w:r>
      <w:r>
        <w:t xml:space="preserve">Referencias jurídicas primarias</w:t>
      </w:r>
    </w:p>
    <w:p>
      <w:pPr>
        <w:numPr>
          <w:ilvl w:val="0"/>
          <w:numId w:val="1145"/>
        </w:numPr>
        <w:pStyle w:val="Compact"/>
      </w:pPr>
      <w:r>
        <w:t xml:space="preserve">Reglamento (UE) 2024/1689, modificado: artículo 55, apartado 1, letra b), y disposiciones sobre riesgos sistémicos conexas.</w:t>
      </w:r>
    </w:p>
    <w:p>
      <w:pPr>
        <w:numPr>
          <w:ilvl w:val="0"/>
          <w:numId w:val="1145"/>
        </w:numPr>
        <w:pStyle w:val="Compact"/>
      </w:pPr>
      <w:r>
        <w:t xml:space="preserve">Los actuales controles consolidados de texto EUR-Lex sobre los resúmenes antiguos.</w:t>
      </w:r>
    </w:p>
    <w:p>
      <w:pPr>
        <w:numPr>
          <w:ilvl w:val="0"/>
          <w:numId w:val="1145"/>
        </w:numPr>
        <w:pStyle w:val="Compact"/>
      </w:pPr>
      <w:r>
        <w:t xml:space="preserve">La orientación aplicable de la Comisión y de la Oficina de Inteligencia Artificial debe considerarse no vinculante a menos que se adopte legalmente.</w:t>
      </w:r>
    </w:p>
    <w:bookmarkEnd w:id="559"/>
    <w:bookmarkStart w:id="560" w:name="X6772e104fd11e894893903fa382c8d78220cdc1"/>
    <w:p>
      <w:pPr>
        <w:pStyle w:val="Heading2"/>
      </w:pPr>
      <w:r>
        <w:rPr>
          <w:rStyle w:val="SectionNumber"/>
        </w:rPr>
        <w:t xml:space="preserve">1.517</w:t>
      </w:r>
      <w:r>
        <w:tab/>
      </w:r>
      <w:r>
        <w:t xml:space="preserve">Capítulo 59 — Seguridad cibernética e información sobre incidentes para el GPAI de riesgo sistémico</w:t>
      </w:r>
    </w:p>
    <w:p>
      <w:pPr>
        <w:pStyle w:val="BlockText"/>
      </w:pPr>
      <w:r>
        <w:rPr>
          <w:bCs/>
          <w:b/>
        </w:rPr>
        <w:t xml:space="preserve">Estatus legal:</w:t>
      </w:r>
      <w:r>
        <w:t xml:space="preserve"> </w:t>
      </w:r>
      <w:r>
        <w:t xml:space="preserve">Corregido Maestro de inglés para la consolidación. Este archivo controla el lenguaje de borrador anterior del Capítulo 59.</w:t>
      </w:r>
    </w:p>
    <w:bookmarkEnd w:id="560"/>
    <w:bookmarkStart w:id="561" w:name="requisito-57"/>
    <w:p>
      <w:pPr>
        <w:pStyle w:val="Heading2"/>
      </w:pPr>
      <w:r>
        <w:rPr>
          <w:rStyle w:val="SectionNumber"/>
        </w:rPr>
        <w:t xml:space="preserve">1.518</w:t>
      </w:r>
      <w:r>
        <w:tab/>
      </w:r>
      <w:r>
        <w:t xml:space="preserve">Requisito</w:t>
      </w:r>
    </w:p>
    <w:p>
      <w:pPr>
        <w:pStyle w:val="FirstParagraph"/>
      </w:pPr>
      <w:r>
        <w:t xml:space="preserve">Los proveedores de modelos de IA de uso general con riesgo sistémico deben garantizar un nivel adecuado de protección de la ciberseguridad para el modelo y su infraestructura física y deben seguir, documentar y notificar los incidentes graves pertinentes y las posibles medidas correctoras a la Oficina de IA y, cuando proceda, a las autoridades nacionales competentes.</w:t>
      </w:r>
    </w:p>
    <w:bookmarkEnd w:id="561"/>
    <w:bookmarkStart w:id="562" w:name="explicación-en-lenguaje-sencillo-54"/>
    <w:p>
      <w:pPr>
        <w:pStyle w:val="Heading2"/>
      </w:pPr>
      <w:r>
        <w:rPr>
          <w:rStyle w:val="SectionNumber"/>
        </w:rPr>
        <w:t xml:space="preserve">1.519</w:t>
      </w:r>
      <w:r>
        <w:tab/>
      </w:r>
      <w:r>
        <w:t xml:space="preserve">Explicación en lenguaje sencillo</w:t>
      </w:r>
    </w:p>
    <w:p>
      <w:pPr>
        <w:pStyle w:val="FirstParagraph"/>
      </w:pPr>
      <w:r>
        <w:t xml:space="preserve">Un modelo de riesgo sistémico puede causar grandes daños si los pesos del modelo, la infraestructura de capacitación, los sistemas de despliegue o los controles de seguridad están comprometidos. La seguridad debe cubrir el ciclo de vida completo del modelo, incluyendo desarrollo, capacitación, evaluación, liberación, acceso, actualizaciones, detección de incidentes y recuperación.</w:t>
      </w:r>
    </w:p>
    <w:bookmarkEnd w:id="562"/>
    <w:bookmarkStart w:id="563" w:name="zonas-de-control-de-la-ciberseguridad"/>
    <w:p>
      <w:pPr>
        <w:pStyle w:val="Heading2"/>
      </w:pPr>
      <w:r>
        <w:rPr>
          <w:rStyle w:val="SectionNumber"/>
        </w:rPr>
        <w:t xml:space="preserve">1.520</w:t>
      </w:r>
      <w:r>
        <w:tab/>
      </w:r>
      <w:r>
        <w:t xml:space="preserve">Zonas de control de la ciberseguridad</w:t>
      </w:r>
    </w:p>
    <w:p>
      <w:pPr>
        <w:pStyle w:val="FirstParagraph"/>
      </w:pPr>
      <w:r>
        <w:t xml:space="preserve">El proveedor debe dirigirse a:</w:t>
      </w:r>
    </w:p>
    <w:p>
      <w:pPr>
        <w:numPr>
          <w:ilvl w:val="0"/>
          <w:numId w:val="1146"/>
        </w:numPr>
        <w:pStyle w:val="Compact"/>
      </w:pPr>
      <w:r>
        <w:t xml:space="preserve">un entorno seguro de desarrollo y formación;</w:t>
      </w:r>
    </w:p>
    <w:p>
      <w:pPr>
        <w:numPr>
          <w:ilvl w:val="0"/>
          <w:numId w:val="1146"/>
        </w:numPr>
        <w:pStyle w:val="Compact"/>
      </w:pPr>
      <w:r>
        <w:t xml:space="preserve">identidad, acceso, privilegio y gestión de secretos;</w:t>
      </w:r>
    </w:p>
    <w:p>
      <w:pPr>
        <w:numPr>
          <w:ilvl w:val="0"/>
          <w:numId w:val="1146"/>
        </w:numPr>
        <w:pStyle w:val="Compact"/>
      </w:pPr>
      <w:r>
        <w:t xml:space="preserve">protección de las ponderaciones de modelos, conjuntos de datos, código y activos de evaluación;</w:t>
      </w:r>
    </w:p>
    <w:p>
      <w:pPr>
        <w:numPr>
          <w:ilvl w:val="0"/>
          <w:numId w:val="1146"/>
        </w:numPr>
        <w:pStyle w:val="Compact"/>
      </w:pPr>
      <w:r>
        <w:t xml:space="preserve">vulnerabilidades de software, hardware, nube y cadena de suministro;</w:t>
      </w:r>
    </w:p>
    <w:p>
      <w:pPr>
        <w:numPr>
          <w:ilvl w:val="0"/>
          <w:numId w:val="1146"/>
        </w:numPr>
        <w:pStyle w:val="Compact"/>
      </w:pPr>
      <w:r>
        <w:t xml:space="preserve">amenazas contradictorias de aprendizaje automático, como envenenamiento, extracción, evasión y abuso rápido;</w:t>
      </w:r>
    </w:p>
    <w:p>
      <w:pPr>
        <w:numPr>
          <w:ilvl w:val="0"/>
          <w:numId w:val="1146"/>
        </w:numPr>
        <w:pStyle w:val="Compact"/>
      </w:pPr>
      <w:r>
        <w:t xml:space="preserve">registro, vigilancia, detección de anomalías y preparación forense;</w:t>
      </w:r>
    </w:p>
    <w:p>
      <w:pPr>
        <w:numPr>
          <w:ilvl w:val="0"/>
          <w:numId w:val="1146"/>
        </w:numPr>
        <w:pStyle w:val="Compact"/>
      </w:pPr>
      <w:r>
        <w:t xml:space="preserve">segmentación, resiliencia, respaldo y recuperación;</w:t>
      </w:r>
    </w:p>
    <w:p>
      <w:pPr>
        <w:numPr>
          <w:ilvl w:val="0"/>
          <w:numId w:val="1146"/>
        </w:numPr>
        <w:pStyle w:val="Compact"/>
      </w:pPr>
      <w:r>
        <w:t xml:space="preserve">la divulgación y la rehabilitación de la vulnerabilidad;</w:t>
      </w:r>
    </w:p>
    <w:p>
      <w:pPr>
        <w:numPr>
          <w:ilvl w:val="0"/>
          <w:numId w:val="1146"/>
        </w:numPr>
        <w:pStyle w:val="Compact"/>
      </w:pPr>
      <w:r>
        <w:t xml:space="preserve">coordinación de terceros y proveedores de infraestructuras;</w:t>
      </w:r>
    </w:p>
    <w:p>
      <w:pPr>
        <w:numPr>
          <w:ilvl w:val="0"/>
          <w:numId w:val="1146"/>
        </w:numPr>
        <w:pStyle w:val="Compact"/>
      </w:pPr>
      <w:r>
        <w:t xml:space="preserve">clasificación de incidentes, escalada, notificación y medidas correctivas.</w:t>
      </w:r>
    </w:p>
    <w:bookmarkEnd w:id="563"/>
    <w:bookmarkStart w:id="564" w:name="proceso-de-incidencia"/>
    <w:p>
      <w:pPr>
        <w:pStyle w:val="Heading2"/>
      </w:pPr>
      <w:r>
        <w:rPr>
          <w:rStyle w:val="SectionNumber"/>
        </w:rPr>
        <w:t xml:space="preserve">1.521</w:t>
      </w:r>
      <w:r>
        <w:tab/>
      </w:r>
      <w:r>
        <w:t xml:space="preserve">Proceso de incidencia</w:t>
      </w:r>
    </w:p>
    <w:p>
      <w:pPr>
        <w:pStyle w:val="FirstParagraph"/>
      </w:pPr>
      <w:r>
        <w:t xml:space="preserve">El proceso debe definir criterios de sensibilización y escalada, evaluación de causalidades y de impacto, preservación de pruebas de modelos e infraestructuras, responsabilidades de presentación de informes, contactos con las autoridades, informes iniciales y complementarios, medidas correctivas y reevaluación del riesgo posterior al incidente.</w:t>
      </w:r>
    </w:p>
    <w:bookmarkEnd w:id="564"/>
    <w:bookmarkStart w:id="565" w:name="ejemplo-de-globalway-52"/>
    <w:p>
      <w:pPr>
        <w:pStyle w:val="Heading2"/>
      </w:pPr>
      <w:r>
        <w:rPr>
          <w:rStyle w:val="SectionNumber"/>
        </w:rPr>
        <w:t xml:space="preserve">1.522</w:t>
      </w:r>
      <w:r>
        <w:tab/>
      </w:r>
      <w:r>
        <w:t xml:space="preserve">Ejemplo de GlobalWay</w:t>
      </w:r>
    </w:p>
    <w:p>
      <w:pPr>
        <w:pStyle w:val="FirstParagraph"/>
      </w:pPr>
      <w:r>
        <w:t xml:space="preserve">GlobalWay requiere que su proveedor de GPAI de riesgo sistémico proporcione evidencia de protección contra el peso, controles de acceso privilegiado, pruebas de seguridad, compromisos de notificación de incidentes y procedimientos de recuperación. GlobalWay monitorea por separado sus propias claves API, tiendas de recuperación, plugins, avisos, registros e integraciones posteriores.</w:t>
      </w:r>
    </w:p>
    <w:bookmarkEnd w:id="565"/>
    <w:bookmarkStart w:id="566" w:name="actividad-de-control-53"/>
    <w:p>
      <w:pPr>
        <w:pStyle w:val="Heading2"/>
      </w:pPr>
      <w:r>
        <w:rPr>
          <w:rStyle w:val="SectionNumber"/>
        </w:rPr>
        <w:t xml:space="preserve">1.523</w:t>
      </w:r>
      <w:r>
        <w:tab/>
      </w:r>
      <w:r>
        <w:t xml:space="preserve">Actividad de control</w:t>
      </w:r>
    </w:p>
    <w:p>
      <w:pPr>
        <w:pStyle w:val="FirstParagraph"/>
      </w:pPr>
      <w:r>
        <w:t xml:space="preserve">El proveedor debe llevar a cabo un programa integrado de seguridad de modelos y gestión de incidentes con umbrales de gravedad definidos, escalada permanente de los acontecimientos críticos, pruebas protegidas y restricciones de liberación o servicio cuando el riesgo no pueda controlarse adecuadamente.</w:t>
      </w:r>
    </w:p>
    <w:bookmarkEnd w:id="566"/>
    <w:bookmarkStart w:id="567" w:name="pruebas-58"/>
    <w:p>
      <w:pPr>
        <w:pStyle w:val="Heading2"/>
      </w:pPr>
      <w:r>
        <w:rPr>
          <w:rStyle w:val="SectionNumber"/>
        </w:rPr>
        <w:t xml:space="preserve">1.524</w:t>
      </w:r>
      <w:r>
        <w:tab/>
      </w:r>
      <w:r>
        <w:t xml:space="preserve">Pruebas</w:t>
      </w:r>
    </w:p>
    <w:p>
      <w:pPr>
        <w:numPr>
          <w:ilvl w:val="0"/>
          <w:numId w:val="1147"/>
        </w:numPr>
        <w:pStyle w:val="Compact"/>
      </w:pPr>
      <w:r>
        <w:t xml:space="preserve">arquitectura de ciberseguridad y evaluación de riesgos;</w:t>
      </w:r>
    </w:p>
    <w:p>
      <w:pPr>
        <w:numPr>
          <w:ilvl w:val="0"/>
          <w:numId w:val="1147"/>
        </w:numPr>
        <w:pStyle w:val="Compact"/>
      </w:pPr>
      <w:r>
        <w:t xml:space="preserve">registros de acceso y privilegios;</w:t>
      </w:r>
    </w:p>
    <w:p>
      <w:pPr>
        <w:numPr>
          <w:ilvl w:val="0"/>
          <w:numId w:val="1147"/>
        </w:numPr>
        <w:pStyle w:val="Compact"/>
      </w:pPr>
      <w:r>
        <w:t xml:space="preserve">control del peso del modelo y de la protección de datos;</w:t>
      </w:r>
    </w:p>
    <w:p>
      <w:pPr>
        <w:numPr>
          <w:ilvl w:val="0"/>
          <w:numId w:val="1147"/>
        </w:numPr>
        <w:pStyle w:val="Compact"/>
      </w:pPr>
      <w:r>
        <w:t xml:space="preserve">los resultados de los ensayos de seguridad y contradictorios;</w:t>
      </w:r>
    </w:p>
    <w:p>
      <w:pPr>
        <w:numPr>
          <w:ilvl w:val="0"/>
          <w:numId w:val="1147"/>
        </w:numPr>
        <w:pStyle w:val="Compact"/>
      </w:pPr>
      <w:r>
        <w:t xml:space="preserve">los registros de vulnerabilidad y rehabilitación;</w:t>
      </w:r>
    </w:p>
    <w:p>
      <w:pPr>
        <w:numPr>
          <w:ilvl w:val="0"/>
          <w:numId w:val="1147"/>
        </w:numPr>
        <w:pStyle w:val="Compact"/>
      </w:pPr>
      <w:r>
        <w:t xml:space="preserve">pruebas de seguimiento y detección;</w:t>
      </w:r>
    </w:p>
    <w:p>
      <w:pPr>
        <w:numPr>
          <w:ilvl w:val="0"/>
          <w:numId w:val="1147"/>
        </w:numPr>
        <w:pStyle w:val="Compact"/>
      </w:pPr>
      <w:r>
        <w:t xml:space="preserve">los informes de incidentes y las comunicaciones de las autoridades;</w:t>
      </w:r>
    </w:p>
    <w:p>
      <w:pPr>
        <w:numPr>
          <w:ilvl w:val="0"/>
          <w:numId w:val="1147"/>
        </w:numPr>
        <w:pStyle w:val="Compact"/>
      </w:pPr>
      <w:r>
        <w:t xml:space="preserve">medidas correctoras y pruebas de recuperación;</w:t>
      </w:r>
    </w:p>
    <w:p>
      <w:pPr>
        <w:numPr>
          <w:ilvl w:val="0"/>
          <w:numId w:val="1147"/>
        </w:numPr>
        <w:pStyle w:val="Compact"/>
      </w:pPr>
      <w:r>
        <w:t xml:space="preserve">reevaluación posterior al incidente.</w:t>
      </w:r>
    </w:p>
    <w:bookmarkEnd w:id="567"/>
    <w:bookmarkStart w:id="568" w:name="prueba-de-auditoría-54"/>
    <w:p>
      <w:pPr>
        <w:pStyle w:val="Heading2"/>
      </w:pPr>
      <w:r>
        <w:rPr>
          <w:rStyle w:val="SectionNumber"/>
        </w:rPr>
        <w:t xml:space="preserve">1.525</w:t>
      </w:r>
      <w:r>
        <w:tab/>
      </w:r>
      <w:r>
        <w:t xml:space="preserve">Prueba de auditoría</w:t>
      </w:r>
    </w:p>
    <w:p>
      <w:pPr>
        <w:pStyle w:val="FirstParagraph"/>
      </w:pPr>
      <w:r>
        <w:t xml:space="preserve">Seleccione un modelo de riesgo sistémico y una muestra de eventos de seguridad. Confirme que los controles cubren el modelo y la infraestructura física, los eventos fueron clasificados y escalados consistentemente, las pruebas fueron preservadas, los informes requeridos fueron presentados y las medidas correctivas fueron validadas.</w:t>
      </w:r>
    </w:p>
    <w:bookmarkEnd w:id="568"/>
    <w:bookmarkStart w:id="569" w:name="referencias-jurídicas-primarias-27"/>
    <w:p>
      <w:pPr>
        <w:pStyle w:val="Heading2"/>
      </w:pPr>
      <w:r>
        <w:rPr>
          <w:rStyle w:val="SectionNumber"/>
        </w:rPr>
        <w:t xml:space="preserve">1.526</w:t>
      </w:r>
      <w:r>
        <w:tab/>
      </w:r>
      <w:r>
        <w:t xml:space="preserve">Referencias jurídicas primarias</w:t>
      </w:r>
    </w:p>
    <w:p>
      <w:pPr>
        <w:numPr>
          <w:ilvl w:val="0"/>
          <w:numId w:val="1148"/>
        </w:numPr>
        <w:pStyle w:val="Compact"/>
      </w:pPr>
      <w:r>
        <w:t xml:space="preserve">Reglamento (UE) 2024/1689, modificado: artículo 55, apartado 1, letras c) y d).</w:t>
      </w:r>
    </w:p>
    <w:p>
      <w:pPr>
        <w:numPr>
          <w:ilvl w:val="0"/>
          <w:numId w:val="1148"/>
        </w:numPr>
        <w:pStyle w:val="Compact"/>
      </w:pPr>
      <w:r>
        <w:t xml:space="preserve">Los actuales controles consolidados de texto EUR-Lex sobre los resúmenes antiguos.</w:t>
      </w:r>
    </w:p>
    <w:p>
      <w:pPr>
        <w:numPr>
          <w:ilvl w:val="0"/>
          <w:numId w:val="1148"/>
        </w:numPr>
        <w:pStyle w:val="Compact"/>
      </w:pPr>
      <w:r>
        <w:t xml:space="preserve">La orientación aplicable de la Comisión y de la Oficina de Inteligencia Artificial debe considerarse no vinculante a menos que se adopte legalmente.</w:t>
      </w:r>
    </w:p>
    <w:bookmarkEnd w:id="569"/>
    <w:bookmarkStart w:id="570" w:name="X06dc923ee5213d5db5ea17adf16bff27f96836e"/>
    <w:p>
      <w:pPr>
        <w:pStyle w:val="Heading2"/>
      </w:pPr>
      <w:r>
        <w:rPr>
          <w:rStyle w:val="SectionNumber"/>
        </w:rPr>
        <w:t xml:space="preserve">1.527</w:t>
      </w:r>
      <w:r>
        <w:tab/>
      </w:r>
      <w:r>
        <w:t xml:space="preserve">Capítulo 60 — Información sobre energía y recursos</w:t>
      </w:r>
    </w:p>
    <w:p>
      <w:pPr>
        <w:pStyle w:val="BlockText"/>
      </w:pPr>
      <w:r>
        <w:rPr>
          <w:bCs/>
          <w:b/>
        </w:rPr>
        <w:t xml:space="preserve">Estatus legal:</w:t>
      </w:r>
      <w:r>
        <w:t xml:space="preserve"> </w:t>
      </w:r>
      <w:r>
        <w:t xml:space="preserve">Corregido Maestro Inglés para la consolidación. Este archivo controla el lenguaje de borrador del Capítulo 60 anterior en conflicto.</w:t>
      </w:r>
    </w:p>
    <w:bookmarkEnd w:id="570"/>
    <w:bookmarkStart w:id="571" w:name="requisito-58"/>
    <w:p>
      <w:pPr>
        <w:pStyle w:val="Heading2"/>
      </w:pPr>
      <w:r>
        <w:rPr>
          <w:rStyle w:val="SectionNumber"/>
        </w:rPr>
        <w:t xml:space="preserve">1.528</w:t>
      </w:r>
      <w:r>
        <w:tab/>
      </w:r>
      <w:r>
        <w:t xml:space="preserve">Requisito</w:t>
      </w:r>
    </w:p>
    <w:p>
      <w:pPr>
        <w:pStyle w:val="FirstParagraph"/>
      </w:pPr>
      <w:r>
        <w:t xml:space="preserve">Los proveedores de modelos de IA de uso general deben mantener y proporcionar la información técnica requerida por el Reglamento (UE) 2024/1689, en su versión modificada, incluida la información relativa al consumo de energía del modelo, cuando proceda. Los proveedores de modelos de IAGP de riesgo sistémico también deben integrar los impactos de los recursos en sus procesos más amplios de riesgo, supervisión y gobernanza.</w:t>
      </w:r>
    </w:p>
    <w:bookmarkEnd w:id="571"/>
    <w:bookmarkStart w:id="572" w:name="explicación-en-lenguaje-sencillo-55"/>
    <w:p>
      <w:pPr>
        <w:pStyle w:val="Heading2"/>
      </w:pPr>
      <w:r>
        <w:rPr>
          <w:rStyle w:val="SectionNumber"/>
        </w:rPr>
        <w:t xml:space="preserve">1.529</w:t>
      </w:r>
      <w:r>
        <w:tab/>
      </w:r>
      <w:r>
        <w:t xml:space="preserve">Explicación en lenguaje sencillo</w:t>
      </w:r>
    </w:p>
    <w:p>
      <w:pPr>
        <w:pStyle w:val="FirstParagraph"/>
      </w:pPr>
      <w:r>
        <w:t xml:space="preserve">La información sobre energía debe basarse en datos mensurables y reproducibles, no en estimaciones de comercialización. El proveedor debe explicar qué se ha medido, en qué etapa del ciclo de vida, con qué método y con qué limitaciones. La capacitación, el ajuste, la evaluación y la inferencia pueden tener diferentes perfiles de recursos y no deben combinarse sin explicación.</w:t>
      </w:r>
    </w:p>
    <w:bookmarkEnd w:id="572"/>
    <w:bookmarkStart w:id="573" w:name="marco-de-presentación-de-informes"/>
    <w:p>
      <w:pPr>
        <w:pStyle w:val="Heading2"/>
      </w:pPr>
      <w:r>
        <w:rPr>
          <w:rStyle w:val="SectionNumber"/>
        </w:rPr>
        <w:t xml:space="preserve">1.530</w:t>
      </w:r>
      <w:r>
        <w:tab/>
      </w:r>
      <w:r>
        <w:t xml:space="preserve">Marco de presentación de informes</w:t>
      </w:r>
    </w:p>
    <w:p>
      <w:pPr>
        <w:pStyle w:val="FirstParagraph"/>
      </w:pPr>
      <w:r>
        <w:t xml:space="preserve">El proveedor deberá documentar, cuando proceda:</w:t>
      </w:r>
    </w:p>
    <w:p>
      <w:pPr>
        <w:numPr>
          <w:ilvl w:val="0"/>
          <w:numId w:val="1149"/>
        </w:numPr>
        <w:pStyle w:val="Compact"/>
      </w:pPr>
      <w:r>
        <w:t xml:space="preserve">versión modelo y alcance de la medición;</w:t>
      </w:r>
    </w:p>
    <w:p>
      <w:pPr>
        <w:numPr>
          <w:ilvl w:val="0"/>
          <w:numId w:val="1149"/>
        </w:numPr>
        <w:pStyle w:val="Compact"/>
      </w:pPr>
      <w:r>
        <w:t xml:space="preserve">la formación y el cálculo de los ajustes;</w:t>
      </w:r>
    </w:p>
    <w:p>
      <w:pPr>
        <w:numPr>
          <w:ilvl w:val="0"/>
          <w:numId w:val="1149"/>
        </w:numPr>
        <w:pStyle w:val="Compact"/>
      </w:pPr>
      <w:r>
        <w:t xml:space="preserve">energía consumida durante las fases de desarrollo y evaluación pertinentes;</w:t>
      </w:r>
    </w:p>
    <w:p>
      <w:pPr>
        <w:numPr>
          <w:ilvl w:val="0"/>
          <w:numId w:val="1149"/>
        </w:numPr>
        <w:pStyle w:val="Compact"/>
      </w:pPr>
      <w:r>
        <w:t xml:space="preserve">energía de inferencia estimada o medida en condiciones de uso definidas;</w:t>
      </w:r>
    </w:p>
    <w:p>
      <w:pPr>
        <w:numPr>
          <w:ilvl w:val="0"/>
          <w:numId w:val="1149"/>
        </w:numPr>
        <w:pStyle w:val="Compact"/>
      </w:pPr>
      <w:r>
        <w:t xml:space="preserve">hardware, centro de datos, nube y supuestos geográficos;</w:t>
      </w:r>
    </w:p>
    <w:p>
      <w:pPr>
        <w:numPr>
          <w:ilvl w:val="0"/>
          <w:numId w:val="1149"/>
        </w:numPr>
        <w:pStyle w:val="Compact"/>
      </w:pPr>
      <w:r>
        <w:t xml:space="preserve">metodología de medición, herramientas, límites e incertidumbre;</w:t>
      </w:r>
    </w:p>
    <w:p>
      <w:pPr>
        <w:numPr>
          <w:ilvl w:val="0"/>
          <w:numId w:val="1149"/>
        </w:numPr>
        <w:pStyle w:val="Compact"/>
      </w:pPr>
      <w:r>
        <w:t xml:space="preserve">cambios materiales entre las versiones del modelo;</w:t>
      </w:r>
    </w:p>
    <w:p>
      <w:pPr>
        <w:numPr>
          <w:ilvl w:val="0"/>
          <w:numId w:val="1149"/>
        </w:numPr>
        <w:pStyle w:val="Compact"/>
      </w:pPr>
      <w:r>
        <w:t xml:space="preserve">controles de la eficiencia de los recursos y medidas de optimización;</w:t>
      </w:r>
    </w:p>
    <w:p>
      <w:pPr>
        <w:numPr>
          <w:ilvl w:val="0"/>
          <w:numId w:val="1149"/>
        </w:numPr>
        <w:pStyle w:val="Compact"/>
      </w:pPr>
      <w:r>
        <w:t xml:space="preserve">información facilitada a los proveedores y autoridades intermedios;</w:t>
      </w:r>
    </w:p>
    <w:p>
      <w:pPr>
        <w:numPr>
          <w:ilvl w:val="0"/>
          <w:numId w:val="1149"/>
        </w:numPr>
        <w:pStyle w:val="Compact"/>
      </w:pPr>
      <w:r>
        <w:t xml:space="preserve">conservación y revisión de los documentos justificativos.</w:t>
      </w:r>
    </w:p>
    <w:bookmarkEnd w:id="573"/>
    <w:bookmarkStart w:id="574" w:name="ejemplo-de-globalway-53"/>
    <w:p>
      <w:pPr>
        <w:pStyle w:val="Heading2"/>
      </w:pPr>
      <w:r>
        <w:rPr>
          <w:rStyle w:val="SectionNumber"/>
        </w:rPr>
        <w:t xml:space="preserve">1.531</w:t>
      </w:r>
      <w:r>
        <w:tab/>
      </w:r>
      <w:r>
        <w:t xml:space="preserve">Ejemplo de GlobalWay</w:t>
      </w:r>
    </w:p>
    <w:p>
      <w:pPr>
        <w:pStyle w:val="FirstParagraph"/>
      </w:pPr>
      <w:r>
        <w:t xml:space="preserve">GlobalWay pide a su proveedor de GPAI energía específica para la versión y la información de cálculo que puede apoyar informes internos de sostenibilidad y decisiones de adquisición. GlobalWay no representa estimaciones de proveedores como mediciones exactas a menos que la metodología y los límites estén documentados.</w:t>
      </w:r>
    </w:p>
    <w:bookmarkEnd w:id="574"/>
    <w:bookmarkStart w:id="575" w:name="actividad-de-control-54"/>
    <w:p>
      <w:pPr>
        <w:pStyle w:val="Heading2"/>
      </w:pPr>
      <w:r>
        <w:rPr>
          <w:rStyle w:val="SectionNumber"/>
        </w:rPr>
        <w:t xml:space="preserve">1.532</w:t>
      </w:r>
      <w:r>
        <w:tab/>
      </w:r>
      <w:r>
        <w:t xml:space="preserve">Actividad de control</w:t>
      </w:r>
    </w:p>
    <w:p>
      <w:pPr>
        <w:pStyle w:val="FirstParagraph"/>
      </w:pPr>
      <w:r>
        <w:t xml:space="preserve">El proveedor de GPAI debe mantener una metodología controlada de presentación de informes de recursos y un repositorio de pruebas. Las revelaciones públicas o posteriores deben revisarse para comprobar la coherencia con el alcance de medición subyacente, los supuestos y la incertidumbre.</w:t>
      </w:r>
    </w:p>
    <w:bookmarkEnd w:id="575"/>
    <w:bookmarkStart w:id="576" w:name="pruebas-59"/>
    <w:p>
      <w:pPr>
        <w:pStyle w:val="Heading2"/>
      </w:pPr>
      <w:r>
        <w:rPr>
          <w:rStyle w:val="SectionNumber"/>
        </w:rPr>
        <w:t xml:space="preserve">1.533</w:t>
      </w:r>
      <w:r>
        <w:tab/>
      </w:r>
      <w:r>
        <w:t xml:space="preserve">Pruebas</w:t>
      </w:r>
    </w:p>
    <w:p>
      <w:pPr>
        <w:numPr>
          <w:ilvl w:val="0"/>
          <w:numId w:val="1150"/>
        </w:numPr>
        <w:pStyle w:val="Compact"/>
      </w:pPr>
      <w:r>
        <w:t xml:space="preserve">metodología energética y de cálculo;</w:t>
      </w:r>
    </w:p>
    <w:p>
      <w:pPr>
        <w:numPr>
          <w:ilvl w:val="0"/>
          <w:numId w:val="1150"/>
        </w:numPr>
        <w:pStyle w:val="Compact"/>
      </w:pPr>
      <w:r>
        <w:t xml:space="preserve">registros de medición y datos de origen;</w:t>
      </w:r>
    </w:p>
    <w:p>
      <w:pPr>
        <w:numPr>
          <w:ilvl w:val="0"/>
          <w:numId w:val="1150"/>
        </w:numPr>
        <w:pStyle w:val="Compact"/>
      </w:pPr>
      <w:r>
        <w:t xml:space="preserve">registros de hardware e infraestructura;</w:t>
      </w:r>
    </w:p>
    <w:p>
      <w:pPr>
        <w:numPr>
          <w:ilvl w:val="0"/>
          <w:numId w:val="1150"/>
        </w:numPr>
        <w:pStyle w:val="Compact"/>
      </w:pPr>
      <w:r>
        <w:t xml:space="preserve">comparación de la versión del modelo;</w:t>
      </w:r>
    </w:p>
    <w:p>
      <w:pPr>
        <w:numPr>
          <w:ilvl w:val="0"/>
          <w:numId w:val="1150"/>
        </w:numPr>
        <w:pStyle w:val="Compact"/>
      </w:pPr>
      <w:r>
        <w:t xml:space="preserve">las hipótesis y la declaración de incertidumbre;</w:t>
      </w:r>
    </w:p>
    <w:p>
      <w:pPr>
        <w:numPr>
          <w:ilvl w:val="0"/>
          <w:numId w:val="1150"/>
        </w:numPr>
        <w:pStyle w:val="Compact"/>
      </w:pPr>
      <w:r>
        <w:t xml:space="preserve">información técnica posterior;</w:t>
      </w:r>
    </w:p>
    <w:p>
      <w:pPr>
        <w:numPr>
          <w:ilvl w:val="0"/>
          <w:numId w:val="1150"/>
        </w:numPr>
        <w:pStyle w:val="Compact"/>
      </w:pPr>
      <w:r>
        <w:t xml:space="preserve">los registros de revisión y aprobación;</w:t>
      </w:r>
    </w:p>
    <w:p>
      <w:pPr>
        <w:numPr>
          <w:ilvl w:val="0"/>
          <w:numId w:val="1150"/>
        </w:numPr>
        <w:pStyle w:val="Compact"/>
      </w:pPr>
      <w:r>
        <w:t xml:space="preserve">acciones de mejora de la eficiencia de los recursos.</w:t>
      </w:r>
    </w:p>
    <w:bookmarkEnd w:id="576"/>
    <w:bookmarkStart w:id="577" w:name="prueba-de-auditoría-55"/>
    <w:p>
      <w:pPr>
        <w:pStyle w:val="Heading2"/>
      </w:pPr>
      <w:r>
        <w:rPr>
          <w:rStyle w:val="SectionNumber"/>
        </w:rPr>
        <w:t xml:space="preserve">1.534</w:t>
      </w:r>
      <w:r>
        <w:tab/>
      </w:r>
      <w:r>
        <w:t xml:space="preserve">Prueba de auditoría</w:t>
      </w:r>
    </w:p>
    <w:p>
      <w:pPr>
        <w:pStyle w:val="FirstParagraph"/>
      </w:pPr>
      <w:r>
        <w:t xml:space="preserve">Seleccione una versión modelo de GPAI y trace las cifras de energía o recursos reportadas a los datos de origen, metodología, hipótesis de infraestructura y registros de cálculo. Confirme que las estimaciones están etiquetadas, los cambios están vinculados a versiones y las revelaciones no exageran la precisión.</w:t>
      </w:r>
    </w:p>
    <w:bookmarkEnd w:id="577"/>
    <w:bookmarkStart w:id="578" w:name="referencias-jurídicas-primarias-28"/>
    <w:p>
      <w:pPr>
        <w:pStyle w:val="Heading2"/>
      </w:pPr>
      <w:r>
        <w:rPr>
          <w:rStyle w:val="SectionNumber"/>
        </w:rPr>
        <w:t xml:space="preserve">1.535</w:t>
      </w:r>
      <w:r>
        <w:tab/>
      </w:r>
      <w:r>
        <w:t xml:space="preserve">Referencias jurídicas primarias</w:t>
      </w:r>
    </w:p>
    <w:p>
      <w:pPr>
        <w:numPr>
          <w:ilvl w:val="0"/>
          <w:numId w:val="1151"/>
        </w:numPr>
        <w:pStyle w:val="Compact"/>
      </w:pPr>
      <w:r>
        <w:t xml:space="preserve">Reglamento (UE) 2024/1689, modificado: artículo 53 y requisitos de información técnica anexos aplicables.</w:t>
      </w:r>
    </w:p>
    <w:p>
      <w:pPr>
        <w:numPr>
          <w:ilvl w:val="0"/>
          <w:numId w:val="1151"/>
        </w:numPr>
        <w:pStyle w:val="Compact"/>
      </w:pPr>
      <w:r>
        <w:t xml:space="preserve">Los actuales controles consolidados de texto EUR-Lex sobre los resúmenes antiguos.</w:t>
      </w:r>
    </w:p>
    <w:p>
      <w:pPr>
        <w:numPr>
          <w:ilvl w:val="0"/>
          <w:numId w:val="1151"/>
        </w:numPr>
        <w:pStyle w:val="Compact"/>
      </w:pPr>
      <w:r>
        <w:t xml:space="preserve">Las plantillas u orientaciones aplicables de la Comisión y de la Oficina de Inteligencia Artificial deben identificarse como no vinculantes a menos que se adopten legalmente.</w:t>
      </w:r>
    </w:p>
    <w:bookmarkEnd w:id="578"/>
    <w:bookmarkStart w:id="579" w:name="Xfa0b8fb13627b442a4be94a1b6f98c36313cd9a"/>
    <w:p>
      <w:pPr>
        <w:pStyle w:val="Heading2"/>
      </w:pPr>
      <w:r>
        <w:rPr>
          <w:rStyle w:val="SectionNumber"/>
        </w:rPr>
        <w:t xml:space="preserve">1.536</w:t>
      </w:r>
      <w:r>
        <w:tab/>
      </w:r>
      <w:r>
        <w:t xml:space="preserve">Capítulo 61 — Consideraciones de código abierto</w:t>
      </w:r>
    </w:p>
    <w:p>
      <w:pPr>
        <w:pStyle w:val="BlockText"/>
      </w:pPr>
      <w:r>
        <w:rPr>
          <w:bCs/>
          <w:b/>
        </w:rPr>
        <w:t xml:space="preserve">Estatus legal:</w:t>
      </w:r>
      <w:r>
        <w:t xml:space="preserve"> </w:t>
      </w:r>
      <w:r>
        <w:t xml:space="preserve">Corregido Maestro Inglés para la consolidación. Este archivo controla el lenguaje de borrador anterior del Capítulo 61.</w:t>
      </w:r>
    </w:p>
    <w:bookmarkEnd w:id="579"/>
    <w:bookmarkStart w:id="580" w:name="requisito-59"/>
    <w:p>
      <w:pPr>
        <w:pStyle w:val="Heading2"/>
      </w:pPr>
      <w:r>
        <w:rPr>
          <w:rStyle w:val="SectionNumber"/>
        </w:rPr>
        <w:t xml:space="preserve">1.537</w:t>
      </w:r>
      <w:r>
        <w:tab/>
      </w:r>
      <w:r>
        <w:t xml:space="preserve">Requisito</w:t>
      </w:r>
    </w:p>
    <w:p>
      <w:pPr>
        <w:pStyle w:val="FirstParagraph"/>
      </w:pPr>
      <w:r>
        <w:t xml:space="preserve">La condición de fuente abierta no crea una exención general del Reglamento (UE) 2024/1689, en su versión modificada. Las organizaciones deben evaluar las condiciones legales exactas, el papel del actor, el modelo o la categoría del sistema, si se trata de monetización o servicios relacionados, si se aplica el riesgo sistémico y qué obligaciones siguen siendo aplicables.</w:t>
      </w:r>
    </w:p>
    <w:bookmarkEnd w:id="580"/>
    <w:bookmarkStart w:id="581" w:name="explicación-en-lenguaje-sencillo-56"/>
    <w:p>
      <w:pPr>
        <w:pStyle w:val="Heading2"/>
      </w:pPr>
      <w:r>
        <w:rPr>
          <w:rStyle w:val="SectionNumber"/>
        </w:rPr>
        <w:t xml:space="preserve">1.538</w:t>
      </w:r>
      <w:r>
        <w:tab/>
      </w:r>
      <w:r>
        <w:t xml:space="preserve">Explicación en lenguaje sencillo</w:t>
      </w:r>
    </w:p>
    <w:p>
      <w:pPr>
        <w:pStyle w:val="FirstParagraph"/>
      </w:pPr>
      <w:r>
        <w:t xml:space="preserve">Una licencia pública o modelo descargable no determina por sí misma el tratamiento legal. La ley establece un trato especial limitado en circunstancias específicas, pero pueden aplicarse obligaciones importantes, especialmente para los modelos de GPAI de riesgo sistémico, las prácticas prohibidas, los usos de alto riesgo, las obligaciones de transparencia y los proveedores intermedios que integren, modifiquen, cambien de marca o desplieguen componentes abiertos.</w:t>
      </w:r>
    </w:p>
    <w:bookmarkEnd w:id="581"/>
    <w:bookmarkStart w:id="582" w:name="preguntas-de-evaluación"/>
    <w:p>
      <w:pPr>
        <w:pStyle w:val="Heading2"/>
      </w:pPr>
      <w:r>
        <w:rPr>
          <w:rStyle w:val="SectionNumber"/>
        </w:rPr>
        <w:t xml:space="preserve">1.539</w:t>
      </w:r>
      <w:r>
        <w:tab/>
      </w:r>
      <w:r>
        <w:t xml:space="preserve">Preguntas de evaluación</w:t>
      </w:r>
    </w:p>
    <w:p>
      <w:pPr>
        <w:pStyle w:val="FirstParagraph"/>
      </w:pPr>
      <w:r>
        <w:t xml:space="preserve">Documento:</w:t>
      </w:r>
    </w:p>
    <w:p>
      <w:pPr>
        <w:numPr>
          <w:ilvl w:val="0"/>
          <w:numId w:val="1152"/>
        </w:numPr>
        <w:pStyle w:val="Compact"/>
      </w:pPr>
      <w:r>
        <w:t xml:space="preserve">las condiciones de licencia y acceso;</w:t>
      </w:r>
    </w:p>
    <w:p>
      <w:pPr>
        <w:numPr>
          <w:ilvl w:val="0"/>
          <w:numId w:val="1152"/>
        </w:numPr>
        <w:pStyle w:val="Compact"/>
      </w:pPr>
      <w:r>
        <w:t xml:space="preserve">si el código fuente, la arquitectura, los pesos y la información sobre el uso están realmente disponibles según sea necesario;</w:t>
      </w:r>
    </w:p>
    <w:p>
      <w:pPr>
        <w:numPr>
          <w:ilvl w:val="0"/>
          <w:numId w:val="1152"/>
        </w:numPr>
        <w:pStyle w:val="Compact"/>
      </w:pPr>
      <w:r>
        <w:t xml:space="preserve">si el proveedor recibe una contraprestación monetaria o de otra índole, incluida la plataforma, el apoyo, el alojamiento o los beneficios relacionados con los datos;</w:t>
      </w:r>
    </w:p>
    <w:p>
      <w:pPr>
        <w:numPr>
          <w:ilvl w:val="0"/>
          <w:numId w:val="1152"/>
        </w:numPr>
        <w:pStyle w:val="Compact"/>
      </w:pPr>
      <w:r>
        <w:t xml:space="preserve">si el modelo presenta un riesgo sistémico;</w:t>
      </w:r>
    </w:p>
    <w:p>
      <w:pPr>
        <w:numPr>
          <w:ilvl w:val="0"/>
          <w:numId w:val="1152"/>
        </w:numPr>
        <w:pStyle w:val="Compact"/>
      </w:pPr>
      <w:r>
        <w:t xml:space="preserve">si la organización modifica, afina, integra, remarca o modifica el propósito previsto;</w:t>
      </w:r>
    </w:p>
    <w:p>
      <w:pPr>
        <w:numPr>
          <w:ilvl w:val="0"/>
          <w:numId w:val="1152"/>
        </w:numPr>
        <w:pStyle w:val="Compact"/>
      </w:pPr>
      <w:r>
        <w:t xml:space="preserve">si el sistema resultante está prohibido, de alto riesgo o regulado por la transparencia;</w:t>
      </w:r>
    </w:p>
    <w:p>
      <w:pPr>
        <w:numPr>
          <w:ilvl w:val="0"/>
          <w:numId w:val="1152"/>
        </w:numPr>
        <w:pStyle w:val="Compact"/>
      </w:pPr>
      <w:r>
        <w:t xml:space="preserve">qué obligaciones de documentación, derechos de autor, seguridad, incidentes e información posterior subsisten;</w:t>
      </w:r>
    </w:p>
    <w:p>
      <w:pPr>
        <w:numPr>
          <w:ilvl w:val="0"/>
          <w:numId w:val="1152"/>
        </w:numPr>
        <w:pStyle w:val="Compact"/>
      </w:pPr>
      <w:r>
        <w:t xml:space="preserve">cómo se rigen las vulnerabilidades, actualizaciones, procedencia y dependencias de los componentes.</w:t>
      </w:r>
    </w:p>
    <w:bookmarkEnd w:id="582"/>
    <w:bookmarkStart w:id="583" w:name="ejemplo-de-globalway-54"/>
    <w:p>
      <w:pPr>
        <w:pStyle w:val="Heading2"/>
      </w:pPr>
      <w:r>
        <w:rPr>
          <w:rStyle w:val="SectionNumber"/>
        </w:rPr>
        <w:t xml:space="preserve">1.540</w:t>
      </w:r>
      <w:r>
        <w:tab/>
      </w:r>
      <w:r>
        <w:t xml:space="preserve">Ejemplo de GlobalWay</w:t>
      </w:r>
    </w:p>
    <w:p>
      <w:pPr>
        <w:pStyle w:val="FirstParagraph"/>
      </w:pPr>
      <w:r>
        <w:t xml:space="preserve">GlobalWay descarga un modelo con licencia abierta y lo afina para el soporte de control de empleados. La licencia no elimina la necesidad de evaluar la clasificación de alto riesgo, transferencia de roles del proveedor, gobernanza de datos, conformidad, supervisión humana, seguridad y obligaciones de documentación.</w:t>
      </w:r>
    </w:p>
    <w:bookmarkEnd w:id="583"/>
    <w:bookmarkStart w:id="584" w:name="actividad-de-control-55"/>
    <w:p>
      <w:pPr>
        <w:pStyle w:val="Heading2"/>
      </w:pPr>
      <w:r>
        <w:rPr>
          <w:rStyle w:val="SectionNumber"/>
        </w:rPr>
        <w:t xml:space="preserve">1.541</w:t>
      </w:r>
      <w:r>
        <w:tab/>
      </w:r>
      <w:r>
        <w:t xml:space="preserve">Actividad de control</w:t>
      </w:r>
    </w:p>
    <w:p>
      <w:pPr>
        <w:pStyle w:val="FirstParagraph"/>
      </w:pPr>
      <w:r>
        <w:t xml:space="preserve">Los componentes de código abierto deben pasar legal, seguridad, procedencia, licencia y evaluación de funciones antes de su uso. El inventario debe registrar versión, fuente, licencia, mantenedores, dependencias, modificaciones, propósito previsto, limitaciones conocidas y desencadenantes de reevaluación.</w:t>
      </w:r>
    </w:p>
    <w:bookmarkEnd w:id="584"/>
    <w:bookmarkStart w:id="585" w:name="pruebas-60"/>
    <w:p>
      <w:pPr>
        <w:pStyle w:val="Heading2"/>
      </w:pPr>
      <w:r>
        <w:rPr>
          <w:rStyle w:val="SectionNumber"/>
        </w:rPr>
        <w:t xml:space="preserve">1.542</w:t>
      </w:r>
      <w:r>
        <w:tab/>
      </w:r>
      <w:r>
        <w:t xml:space="preserve">Pruebas</w:t>
      </w:r>
    </w:p>
    <w:p>
      <w:pPr>
        <w:numPr>
          <w:ilvl w:val="0"/>
          <w:numId w:val="1153"/>
        </w:numPr>
        <w:pStyle w:val="Compact"/>
      </w:pPr>
      <w:r>
        <w:t xml:space="preserve">los registros de licencias y depósitos;</w:t>
      </w:r>
    </w:p>
    <w:p>
      <w:pPr>
        <w:numPr>
          <w:ilvl w:val="0"/>
          <w:numId w:val="1153"/>
        </w:numPr>
        <w:pStyle w:val="Compact"/>
      </w:pPr>
      <w:r>
        <w:t xml:space="preserve">el análisis legal de código abierto;</w:t>
      </w:r>
    </w:p>
    <w:p>
      <w:pPr>
        <w:numPr>
          <w:ilvl w:val="0"/>
          <w:numId w:val="1153"/>
        </w:numPr>
        <w:pStyle w:val="Compact"/>
      </w:pPr>
      <w:r>
        <w:t xml:space="preserve">monetización y evaluación del servicio;</w:t>
      </w:r>
    </w:p>
    <w:p>
      <w:pPr>
        <w:numPr>
          <w:ilvl w:val="0"/>
          <w:numId w:val="1153"/>
        </w:numPr>
        <w:pStyle w:val="Compact"/>
      </w:pPr>
      <w:r>
        <w:t xml:space="preserve">el modelo y la clasificación del sistema;</w:t>
      </w:r>
    </w:p>
    <w:p>
      <w:pPr>
        <w:numPr>
          <w:ilvl w:val="0"/>
          <w:numId w:val="1153"/>
        </w:numPr>
        <w:pStyle w:val="Compact"/>
      </w:pPr>
      <w:r>
        <w:t xml:space="preserve">función y evaluación de la modificación sustancial;</w:t>
      </w:r>
    </w:p>
    <w:p>
      <w:pPr>
        <w:numPr>
          <w:ilvl w:val="0"/>
          <w:numId w:val="1153"/>
        </w:numPr>
        <w:pStyle w:val="Compact"/>
      </w:pPr>
      <w:r>
        <w:t xml:space="preserve">inventario y procedencia de los componentes;</w:t>
      </w:r>
    </w:p>
    <w:p>
      <w:pPr>
        <w:numPr>
          <w:ilvl w:val="0"/>
          <w:numId w:val="1153"/>
        </w:numPr>
        <w:pStyle w:val="Compact"/>
      </w:pPr>
      <w:r>
        <w:t xml:space="preserve">vulnerabilidad y actualización de los registros;</w:t>
      </w:r>
    </w:p>
    <w:p>
      <w:pPr>
        <w:numPr>
          <w:ilvl w:val="0"/>
          <w:numId w:val="1153"/>
        </w:numPr>
        <w:pStyle w:val="Compact"/>
      </w:pPr>
      <w:r>
        <w:t xml:space="preserve">documentación y aprobaciones posteriores.</w:t>
      </w:r>
    </w:p>
    <w:bookmarkEnd w:id="585"/>
    <w:bookmarkStart w:id="586" w:name="prueba-de-auditoría-56"/>
    <w:p>
      <w:pPr>
        <w:pStyle w:val="Heading2"/>
      </w:pPr>
      <w:r>
        <w:rPr>
          <w:rStyle w:val="SectionNumber"/>
        </w:rPr>
        <w:t xml:space="preserve">1.543</w:t>
      </w:r>
      <w:r>
        <w:tab/>
      </w:r>
      <w:r>
        <w:t xml:space="preserve">Prueba de auditoría</w:t>
      </w:r>
    </w:p>
    <w:p>
      <w:pPr>
        <w:pStyle w:val="FirstParagraph"/>
      </w:pPr>
      <w:r>
        <w:t xml:space="preserve">Seleccione componentes de IA de código abierto en la producción. Confirme que la organización no se basó en una exención general, evaluó las condiciones estatutarias y los deberes restantes, siguió las modificaciones y dependencias, y reevaluó la clasificación y el papel después de cambios materiales.</w:t>
      </w:r>
    </w:p>
    <w:bookmarkEnd w:id="586"/>
    <w:bookmarkStart w:id="587" w:name="referencias-jurídicas-primarias-29"/>
    <w:p>
      <w:pPr>
        <w:pStyle w:val="Heading2"/>
      </w:pPr>
      <w:r>
        <w:rPr>
          <w:rStyle w:val="SectionNumber"/>
        </w:rPr>
        <w:t xml:space="preserve">1.544</w:t>
      </w:r>
      <w:r>
        <w:tab/>
      </w:r>
      <w:r>
        <w:t xml:space="preserve">Referencias jurídicas primarias</w:t>
      </w:r>
    </w:p>
    <w:p>
      <w:pPr>
        <w:numPr>
          <w:ilvl w:val="0"/>
          <w:numId w:val="1154"/>
        </w:numPr>
        <w:pStyle w:val="Compact"/>
      </w:pPr>
      <w:r>
        <w:t xml:space="preserve">Reglamento (UE) 2024/1689, modificado: disposiciones pertinentes relativas a los sistemas de IA libres y de código abierto y a los modelos GPAI, incluidos los artículos 2 y 53–55, según proceda.</w:t>
      </w:r>
    </w:p>
    <w:p>
      <w:pPr>
        <w:numPr>
          <w:ilvl w:val="0"/>
          <w:numId w:val="1154"/>
        </w:numPr>
        <w:pStyle w:val="Compact"/>
      </w:pPr>
      <w:r>
        <w:t xml:space="preserve">Los actuales controles consolidados de texto EUR-Lex sobre los resúmenes antiguos.</w:t>
      </w:r>
    </w:p>
    <w:p>
      <w:pPr>
        <w:numPr>
          <w:ilvl w:val="0"/>
          <w:numId w:val="1154"/>
        </w:numPr>
        <w:pStyle w:val="Compact"/>
      </w:pPr>
      <w:r>
        <w:t xml:space="preserve">La orientación aplicable de la Comisión y de la Oficina de Inteligencia Artificial debe considerarse no vinculante a menos que se adopte legalmente.</w:t>
      </w:r>
    </w:p>
    <w:bookmarkEnd w:id="587"/>
    <w:bookmarkStart w:id="588" w:name="Xbb3e4aa69d9d88b8134106fffd28b79754b13a5"/>
    <w:p>
      <w:pPr>
        <w:pStyle w:val="Heading2"/>
      </w:pPr>
      <w:r>
        <w:rPr>
          <w:rStyle w:val="SectionNumber"/>
        </w:rPr>
        <w:t xml:space="preserve">1.545</w:t>
      </w:r>
      <w:r>
        <w:tab/>
      </w:r>
      <w:r>
        <w:t xml:space="preserve">Capítulo 62 — Código de prácticas de la GPAI</w:t>
      </w:r>
    </w:p>
    <w:p>
      <w:pPr>
        <w:pStyle w:val="BlockText"/>
      </w:pPr>
      <w:r>
        <w:rPr>
          <w:bCs/>
          <w:b/>
        </w:rPr>
        <w:t xml:space="preserve">Estatus legal:</w:t>
      </w:r>
      <w:r>
        <w:t xml:space="preserve"> </w:t>
      </w:r>
      <w:r>
        <w:t xml:space="preserve">Corregido Maestro Inglés para la consolidación. Este archivo controla el lenguaje de borrador del Capítulo 62 anterior.</w:t>
      </w:r>
    </w:p>
    <w:bookmarkEnd w:id="588"/>
    <w:bookmarkStart w:id="589" w:name="requisito-60"/>
    <w:p>
      <w:pPr>
        <w:pStyle w:val="Heading2"/>
      </w:pPr>
      <w:r>
        <w:rPr>
          <w:rStyle w:val="SectionNumber"/>
        </w:rPr>
        <w:t xml:space="preserve">1.546</w:t>
      </w:r>
      <w:r>
        <w:tab/>
      </w:r>
      <w:r>
        <w:t xml:space="preserve">Requisito</w:t>
      </w:r>
    </w:p>
    <w:p>
      <w:pPr>
        <w:pStyle w:val="FirstParagraph"/>
      </w:pPr>
      <w:r>
        <w:t xml:space="preserve">Un proveedor de IA de propósito general puede utilizar un código de prácticas oficialmente evaluado para apoyar la demostración del cumplimiento de las obligaciones de GPAI aplicables, pero la participación no elimina la responsabilidad del proveedor de cumplir con el Reglamento. Las obligaciones legales siguen controlando, y el proveedor debe identificar cualquier laguna entre el código, su implementación, y el modelo real y perfil de riesgo del proveedor.</w:t>
      </w:r>
    </w:p>
    <w:bookmarkEnd w:id="589"/>
    <w:bookmarkStart w:id="590" w:name="explicación-en-lenguaje-sencillo-57"/>
    <w:p>
      <w:pPr>
        <w:pStyle w:val="Heading2"/>
      </w:pPr>
      <w:r>
        <w:rPr>
          <w:rStyle w:val="SectionNumber"/>
        </w:rPr>
        <w:t xml:space="preserve">1.547</w:t>
      </w:r>
      <w:r>
        <w:tab/>
      </w:r>
      <w:r>
        <w:t xml:space="preserve">Explicación en lenguaje sencillo</w:t>
      </w:r>
    </w:p>
    <w:p>
      <w:pPr>
        <w:pStyle w:val="FirstParagraph"/>
      </w:pPr>
      <w:r>
        <w:t xml:space="preserve">Un código de práctica puede proporcionar una ruta organizada para la documentación, derechos de autor, seguridad, seguridad, evaluación y control de riesgos. No es un sustituto de la ley, una garantía de cumplimiento, o una razón para ignorar debilidades específicas del modelo. Las organizaciones deben implementar compromisos en la práctica y retener evidencia.</w:t>
      </w:r>
    </w:p>
    <w:bookmarkEnd w:id="590"/>
    <w:bookmarkStart w:id="591" w:name="enfoque-de-gobernanza"/>
    <w:p>
      <w:pPr>
        <w:pStyle w:val="Heading2"/>
      </w:pPr>
      <w:r>
        <w:rPr>
          <w:rStyle w:val="SectionNumber"/>
        </w:rPr>
        <w:t xml:space="preserve">1.548</w:t>
      </w:r>
      <w:r>
        <w:tab/>
      </w:r>
      <w:r>
        <w:t xml:space="preserve">Enfoque de gobernanza</w:t>
      </w:r>
    </w:p>
    <w:p>
      <w:pPr>
        <w:pStyle w:val="FirstParagraph"/>
      </w:pPr>
      <w:r>
        <w:t xml:space="preserve">El proveedor debe:</w:t>
      </w:r>
    </w:p>
    <w:p>
      <w:pPr>
        <w:numPr>
          <w:ilvl w:val="0"/>
          <w:numId w:val="1155"/>
        </w:numPr>
        <w:pStyle w:val="Compact"/>
      </w:pPr>
      <w:r>
        <w:t xml:space="preserve">identificar qué compromisos de código se aplican a su función y categoría de modelo;</w:t>
      </w:r>
    </w:p>
    <w:p>
      <w:pPr>
        <w:numPr>
          <w:ilvl w:val="0"/>
          <w:numId w:val="1155"/>
        </w:numPr>
        <w:pStyle w:val="Compact"/>
      </w:pPr>
      <w:r>
        <w:t xml:space="preserve">cartografiar cada compromiso con la obligación jurídica pertinente;</w:t>
      </w:r>
    </w:p>
    <w:p>
      <w:pPr>
        <w:numPr>
          <w:ilvl w:val="0"/>
          <w:numId w:val="1155"/>
        </w:numPr>
        <w:pStyle w:val="Compact"/>
      </w:pPr>
      <w:r>
        <w:t xml:space="preserve">adopción de documentos, reservas, exclusiones e interpretación;</w:t>
      </w:r>
    </w:p>
    <w:p>
      <w:pPr>
        <w:numPr>
          <w:ilvl w:val="0"/>
          <w:numId w:val="1155"/>
        </w:numPr>
        <w:pStyle w:val="Compact"/>
      </w:pPr>
      <w:r>
        <w:t xml:space="preserve">asignar a los propietarios responsables y plazos;</w:t>
      </w:r>
    </w:p>
    <w:p>
      <w:pPr>
        <w:numPr>
          <w:ilvl w:val="0"/>
          <w:numId w:val="1155"/>
        </w:numPr>
        <w:pStyle w:val="Compact"/>
      </w:pPr>
      <w:r>
        <w:t xml:space="preserve">integrar los compromisos en las políticas, las puertas de liberación, los ensayos, la manipulación de incidentes y el seguimiento;</w:t>
      </w:r>
    </w:p>
    <w:p>
      <w:pPr>
        <w:numPr>
          <w:ilvl w:val="0"/>
          <w:numId w:val="1155"/>
        </w:numPr>
        <w:pStyle w:val="Compact"/>
      </w:pPr>
      <w:r>
        <w:t xml:space="preserve">conservar pruebas de la eficacia operativa;</w:t>
      </w:r>
    </w:p>
    <w:p>
      <w:pPr>
        <w:numPr>
          <w:ilvl w:val="0"/>
          <w:numId w:val="1155"/>
        </w:numPr>
        <w:pStyle w:val="Compact"/>
      </w:pPr>
      <w:r>
        <w:t xml:space="preserve">evaluar si son necesarios controles adicionales más allá del código;</w:t>
      </w:r>
    </w:p>
    <w:p>
      <w:pPr>
        <w:numPr>
          <w:ilvl w:val="0"/>
          <w:numId w:val="1155"/>
        </w:numPr>
        <w:pStyle w:val="Compact"/>
      </w:pPr>
      <w:r>
        <w:t xml:space="preserve">realizar un seguimiento de las revisiones, las evaluaciones oficiales, las orientaciones de la Comisión y la evolución de la aplicación;</w:t>
      </w:r>
    </w:p>
    <w:p>
      <w:pPr>
        <w:numPr>
          <w:ilvl w:val="0"/>
          <w:numId w:val="1155"/>
        </w:numPr>
        <w:pStyle w:val="Compact"/>
      </w:pPr>
      <w:r>
        <w:t xml:space="preserve">comunicar con precisión sobre la participación y evitar implicar la aprobación reglamentaria del modelo.</w:t>
      </w:r>
    </w:p>
    <w:bookmarkEnd w:id="591"/>
    <w:bookmarkStart w:id="592" w:name="ejemplo-de-globalway-55"/>
    <w:p>
      <w:pPr>
        <w:pStyle w:val="Heading2"/>
      </w:pPr>
      <w:r>
        <w:rPr>
          <w:rStyle w:val="SectionNumber"/>
        </w:rPr>
        <w:t xml:space="preserve">1.549</w:t>
      </w:r>
      <w:r>
        <w:tab/>
      </w:r>
      <w:r>
        <w:t xml:space="preserve">Ejemplo de GlobalWay</w:t>
      </w:r>
    </w:p>
    <w:p>
      <w:pPr>
        <w:pStyle w:val="FirstParagraph"/>
      </w:pPr>
      <w:r>
        <w:t xml:space="preserve">GlobalWay le pregunta a un proveedor de GPAI si ha firmado e implementado el Código Oficial de Práctica de GPAI, pero también revisa la documentación subyacente, el proceso de copyright, los controles de riesgo sistémico, las pruebas de seguridad y los compromisos de incidentes en lugar de depender únicamente de una declaración de participación.</w:t>
      </w:r>
    </w:p>
    <w:bookmarkEnd w:id="592"/>
    <w:bookmarkStart w:id="593" w:name="actividad-de-control-56"/>
    <w:p>
      <w:pPr>
        <w:pStyle w:val="Heading2"/>
      </w:pPr>
      <w:r>
        <w:rPr>
          <w:rStyle w:val="SectionNumber"/>
        </w:rPr>
        <w:t xml:space="preserve">1.550</w:t>
      </w:r>
      <w:r>
        <w:tab/>
      </w:r>
      <w:r>
        <w:t xml:space="preserve">Actividad de control</w:t>
      </w:r>
    </w:p>
    <w:p>
      <w:pPr>
        <w:pStyle w:val="FirstParagraph"/>
      </w:pPr>
      <w:r>
        <w:t xml:space="preserve">El proveedor debe mantener una matriz de control de código a obligación y comprobar periódicamente si se cumplen los compromisos. Cualquier desviación, compromiso no aplicable o método alternativo de cumplimiento debe documentarse y aprobarse.</w:t>
      </w:r>
    </w:p>
    <w:bookmarkEnd w:id="593"/>
    <w:bookmarkStart w:id="594" w:name="pruebas-61"/>
    <w:p>
      <w:pPr>
        <w:pStyle w:val="Heading2"/>
      </w:pPr>
      <w:r>
        <w:rPr>
          <w:rStyle w:val="SectionNumber"/>
        </w:rPr>
        <w:t xml:space="preserve">1.551</w:t>
      </w:r>
      <w:r>
        <w:tab/>
      </w:r>
      <w:r>
        <w:t xml:space="preserve">Pruebas</w:t>
      </w:r>
    </w:p>
    <w:p>
      <w:pPr>
        <w:numPr>
          <w:ilvl w:val="0"/>
          <w:numId w:val="1156"/>
        </w:numPr>
        <w:pStyle w:val="Compact"/>
      </w:pPr>
      <w:r>
        <w:t xml:space="preserve">la participación en el código firmado o el registro de adopción;</w:t>
      </w:r>
    </w:p>
    <w:p>
      <w:pPr>
        <w:numPr>
          <w:ilvl w:val="0"/>
          <w:numId w:val="1156"/>
        </w:numPr>
        <w:pStyle w:val="Compact"/>
      </w:pPr>
      <w:r>
        <w:t xml:space="preserve">cartografía de código a artículo;</w:t>
      </w:r>
    </w:p>
    <w:p>
      <w:pPr>
        <w:numPr>
          <w:ilvl w:val="0"/>
          <w:numId w:val="1156"/>
        </w:numPr>
        <w:pStyle w:val="Compact"/>
      </w:pPr>
      <w:r>
        <w:t xml:space="preserve">el plan de ejecución y los propietarios;</w:t>
      </w:r>
    </w:p>
    <w:p>
      <w:pPr>
        <w:numPr>
          <w:ilvl w:val="0"/>
          <w:numId w:val="1156"/>
        </w:numPr>
        <w:pStyle w:val="Compact"/>
      </w:pPr>
      <w:r>
        <w:t xml:space="preserve">actualizaciones de políticas y procedimientos;</w:t>
      </w:r>
    </w:p>
    <w:p>
      <w:pPr>
        <w:numPr>
          <w:ilvl w:val="0"/>
          <w:numId w:val="1156"/>
        </w:numPr>
        <w:pStyle w:val="Compact"/>
      </w:pPr>
      <w:r>
        <w:t xml:space="preserve">pruebas de ensayo y control;</w:t>
      </w:r>
    </w:p>
    <w:p>
      <w:pPr>
        <w:numPr>
          <w:ilvl w:val="0"/>
          <w:numId w:val="1156"/>
        </w:numPr>
        <w:pStyle w:val="Compact"/>
      </w:pPr>
      <w:r>
        <w:t xml:space="preserve">desviaciones y análisis de medios alternativos;</w:t>
      </w:r>
    </w:p>
    <w:p>
      <w:pPr>
        <w:numPr>
          <w:ilvl w:val="0"/>
          <w:numId w:val="1156"/>
        </w:numPr>
        <w:pStyle w:val="Compact"/>
      </w:pPr>
      <w:r>
        <w:t xml:space="preserve">los registros de revisión y rehabilitación de la gestión;</w:t>
      </w:r>
    </w:p>
    <w:p>
      <w:pPr>
        <w:numPr>
          <w:ilvl w:val="0"/>
          <w:numId w:val="1156"/>
        </w:numPr>
        <w:pStyle w:val="Compact"/>
      </w:pPr>
      <w:r>
        <w:t xml:space="preserve">declaraciones externas y comunicaciones con los proveedores.</w:t>
      </w:r>
    </w:p>
    <w:bookmarkEnd w:id="594"/>
    <w:bookmarkStart w:id="595" w:name="prueba-de-auditoría-57"/>
    <w:p>
      <w:pPr>
        <w:pStyle w:val="Heading2"/>
      </w:pPr>
      <w:r>
        <w:rPr>
          <w:rStyle w:val="SectionNumber"/>
        </w:rPr>
        <w:t xml:space="preserve">1.552</w:t>
      </w:r>
      <w:r>
        <w:tab/>
      </w:r>
      <w:r>
        <w:t xml:space="preserve">Prueba de auditoría</w:t>
      </w:r>
    </w:p>
    <w:p>
      <w:pPr>
        <w:pStyle w:val="FirstParagraph"/>
      </w:pPr>
      <w:r>
        <w:t xml:space="preserve">Seleccione una muestra de los compromisos de código y rastrear cada uno a la obligación legal, control implementado, pruebas operativas, y las lagunas identificadas. Confirme que las reclamaciones externas no exageran el efecto legal de la participación en el código.</w:t>
      </w:r>
    </w:p>
    <w:bookmarkEnd w:id="595"/>
    <w:bookmarkStart w:id="596" w:name="referencias-jurídicas-primarias-30"/>
    <w:p>
      <w:pPr>
        <w:pStyle w:val="Heading2"/>
      </w:pPr>
      <w:r>
        <w:rPr>
          <w:rStyle w:val="SectionNumber"/>
        </w:rPr>
        <w:t xml:space="preserve">1.553</w:t>
      </w:r>
      <w:r>
        <w:tab/>
      </w:r>
      <w:r>
        <w:t xml:space="preserve">Referencias jurídicas primarias</w:t>
      </w:r>
    </w:p>
    <w:p>
      <w:pPr>
        <w:numPr>
          <w:ilvl w:val="0"/>
          <w:numId w:val="1157"/>
        </w:numPr>
        <w:pStyle w:val="Compact"/>
      </w:pPr>
      <w:r>
        <w:t xml:space="preserve">Reglamento (UE) 2024/1689, modificado: artículos 53 a 56 y disposiciones GPAI conexas.</w:t>
      </w:r>
    </w:p>
    <w:p>
      <w:pPr>
        <w:numPr>
          <w:ilvl w:val="0"/>
          <w:numId w:val="1157"/>
        </w:numPr>
        <w:pStyle w:val="Compact"/>
      </w:pPr>
      <w:r>
        <w:t xml:space="preserve">Código Oficial de Práctica de la GPAI y evaluación de la Comisión, tratados de acuerdo con su condición jurídica.</w:t>
      </w:r>
    </w:p>
    <w:p>
      <w:pPr>
        <w:numPr>
          <w:ilvl w:val="0"/>
          <w:numId w:val="1157"/>
        </w:numPr>
        <w:pStyle w:val="Compact"/>
      </w:pPr>
      <w:r>
        <w:t xml:space="preserve">Los actuales controles consolidados de texto EUR-Lex sobre los resúmenes antiguos.</w:t>
      </w:r>
    </w:p>
    <w:bookmarkEnd w:id="596"/>
    <w:bookmarkStart w:id="597" w:name="Xb862863c2bea6c38147528832b78691d56b67dc"/>
    <w:p>
      <w:pPr>
        <w:pStyle w:val="Heading2"/>
      </w:pPr>
      <w:r>
        <w:rPr>
          <w:rStyle w:val="SectionNumber"/>
        </w:rPr>
        <w:t xml:space="preserve">1.554</w:t>
      </w:r>
      <w:r>
        <w:tab/>
      </w:r>
      <w:r>
        <w:t xml:space="preserve">Capítulo 63 — Código de transparencia para el contenido generado por IA</w:t>
      </w:r>
    </w:p>
    <w:p>
      <w:pPr>
        <w:pStyle w:val="BlockText"/>
      </w:pPr>
      <w:r>
        <w:rPr>
          <w:bCs/>
          <w:b/>
        </w:rPr>
        <w:t xml:space="preserve">Estatus legal:</w:t>
      </w:r>
      <w:r>
        <w:t xml:space="preserve"> </w:t>
      </w:r>
      <w:r>
        <w:t xml:space="preserve">Corregido Maestro Inglés para la consolidación. Este archivo controla el lenguaje de borrador anterior del Capítulo 63.</w:t>
      </w:r>
    </w:p>
    <w:bookmarkEnd w:id="597"/>
    <w:bookmarkStart w:id="598" w:name="requisito-61"/>
    <w:p>
      <w:pPr>
        <w:pStyle w:val="Heading2"/>
      </w:pPr>
      <w:r>
        <w:rPr>
          <w:rStyle w:val="SectionNumber"/>
        </w:rPr>
        <w:t xml:space="preserve">1.555</w:t>
      </w:r>
      <w:r>
        <w:tab/>
      </w:r>
      <w:r>
        <w:t xml:space="preserve">Requisito</w:t>
      </w:r>
    </w:p>
    <w:p>
      <w:pPr>
        <w:pStyle w:val="FirstParagraph"/>
      </w:pPr>
      <w:r>
        <w:t xml:space="preserve">Las organizaciones pueden utilizar un código de prácticas de transparencia oficialmente evaluado para apoyar la aplicación de las obligaciones aplicables del artículo 50 para los contenidos generados o manipulados por IA. El código no sustituye al Reglamento, y la organización debe determinar qué obligaciones legales se aplican a su proveedor o despliegue, tipo de contenido, contexto de publicación y fecha efectiva.</w:t>
      </w:r>
    </w:p>
    <w:bookmarkEnd w:id="598"/>
    <w:bookmarkStart w:id="599" w:name="explicación-en-lenguaje-sencillo-58"/>
    <w:p>
      <w:pPr>
        <w:pStyle w:val="Heading2"/>
      </w:pPr>
      <w:r>
        <w:rPr>
          <w:rStyle w:val="SectionNumber"/>
        </w:rPr>
        <w:t xml:space="preserve">1.556</w:t>
      </w:r>
      <w:r>
        <w:tab/>
      </w:r>
      <w:r>
        <w:t xml:space="preserve">Explicación en lenguaje sencillo</w:t>
      </w:r>
    </w:p>
    <w:p>
      <w:pPr>
        <w:pStyle w:val="FirstParagraph"/>
      </w:pPr>
      <w:r>
        <w:t xml:space="preserve">Los controles de transparencia deben ayudar a las personas a reconocer cuando el contenido es generado o manipulado por IA sin hacer que el contenido sea inutilizable o inaccesible.Diferentes deberes se aplican a la marcación técnica por los proveedores y revelaciones por parte de los implementadores.</w:t>
      </w:r>
    </w:p>
    <w:bookmarkEnd w:id="599"/>
    <w:bookmarkStart w:id="600" w:name="enfoque-de-aplicación"/>
    <w:p>
      <w:pPr>
        <w:pStyle w:val="Heading2"/>
      </w:pPr>
      <w:r>
        <w:rPr>
          <w:rStyle w:val="SectionNumber"/>
        </w:rPr>
        <w:t xml:space="preserve">1.557</w:t>
      </w:r>
      <w:r>
        <w:tab/>
      </w:r>
      <w:r>
        <w:t xml:space="preserve">Enfoque de aplicación</w:t>
      </w:r>
    </w:p>
    <w:p>
      <w:pPr>
        <w:pStyle w:val="FirstParagraph"/>
      </w:pPr>
      <w:r>
        <w:t xml:space="preserve">La organización debería:</w:t>
      </w:r>
    </w:p>
    <w:p>
      <w:pPr>
        <w:numPr>
          <w:ilvl w:val="0"/>
          <w:numId w:val="1158"/>
        </w:numPr>
        <w:pStyle w:val="Compact"/>
      </w:pPr>
      <w:r>
        <w:t xml:space="preserve">clasificar el contenido y la obligación pertinente del artículo 50;</w:t>
      </w:r>
    </w:p>
    <w:p>
      <w:pPr>
        <w:numPr>
          <w:ilvl w:val="0"/>
          <w:numId w:val="1158"/>
        </w:numPr>
        <w:pStyle w:val="Compact"/>
      </w:pPr>
      <w:r>
        <w:t xml:space="preserve">identificar si actúa como proveedor, implementador, editor, editor u otro actor relevante;</w:t>
      </w:r>
    </w:p>
    <w:p>
      <w:pPr>
        <w:numPr>
          <w:ilvl w:val="0"/>
          <w:numId w:val="1158"/>
        </w:numPr>
        <w:pStyle w:val="Compact"/>
      </w:pPr>
      <w:r>
        <w:t xml:space="preserve">implantar un marcado legible por máquina cuando sea necesario y técnicamente viable;</w:t>
      </w:r>
    </w:p>
    <w:p>
      <w:pPr>
        <w:numPr>
          <w:ilvl w:val="0"/>
          <w:numId w:val="1158"/>
        </w:numPr>
        <w:pStyle w:val="Compact"/>
      </w:pPr>
      <w:r>
        <w:t xml:space="preserve">facilitar información clara sobre la cara humana cuando sea necesario;</w:t>
      </w:r>
    </w:p>
    <w:p>
      <w:pPr>
        <w:numPr>
          <w:ilvl w:val="0"/>
          <w:numId w:val="1158"/>
        </w:numPr>
        <w:pStyle w:val="Compact"/>
      </w:pPr>
      <w:r>
        <w:t xml:space="preserve">garantizar que las revelaciones sean oportunas, prominentes, accesibles y comprensibles;</w:t>
      </w:r>
    </w:p>
    <w:p>
      <w:pPr>
        <w:numPr>
          <w:ilvl w:val="0"/>
          <w:numId w:val="1158"/>
        </w:numPr>
        <w:pStyle w:val="Compact"/>
      </w:pPr>
      <w:r>
        <w:t xml:space="preserve">documentos de excepciones que impliquen la autorización legal, contextos artísticos, satíricos, ficticios o editoriales, cuando proceda;</w:t>
      </w:r>
    </w:p>
    <w:p>
      <w:pPr>
        <w:numPr>
          <w:ilvl w:val="0"/>
          <w:numId w:val="1158"/>
        </w:numPr>
        <w:pStyle w:val="Compact"/>
      </w:pPr>
      <w:r>
        <w:t xml:space="preserve">ensayo de la persistencia en las transformaciones de la exportación, la compresión, la repostación y la plataforma;</w:t>
      </w:r>
    </w:p>
    <w:p>
      <w:pPr>
        <w:numPr>
          <w:ilvl w:val="0"/>
          <w:numId w:val="1158"/>
        </w:numPr>
        <w:pStyle w:val="Compact"/>
      </w:pPr>
      <w:r>
        <w:t xml:space="preserve">controlar los falsos positivos, los falsos negativos, la eliminación y la elusión;</w:t>
      </w:r>
    </w:p>
    <w:p>
      <w:pPr>
        <w:numPr>
          <w:ilvl w:val="0"/>
          <w:numId w:val="1158"/>
        </w:numPr>
        <w:pStyle w:val="Compact"/>
      </w:pPr>
      <w:r>
        <w:t xml:space="preserve">los compromisos de los códigos cartográficos de obligaciones jurídicas vinculantes y la documentación de cualquier aplicación alternativa.</w:t>
      </w:r>
    </w:p>
    <w:bookmarkEnd w:id="600"/>
    <w:bookmarkStart w:id="601" w:name="ejemplo-de-globalway-56"/>
    <w:p>
      <w:pPr>
        <w:pStyle w:val="Heading2"/>
      </w:pPr>
      <w:r>
        <w:rPr>
          <w:rStyle w:val="SectionNumber"/>
        </w:rPr>
        <w:t xml:space="preserve">1.558</w:t>
      </w:r>
      <w:r>
        <w:tab/>
      </w:r>
      <w:r>
        <w:t xml:space="preserve">Ejemplo de GlobalWay</w:t>
      </w:r>
    </w:p>
    <w:p>
      <w:pPr>
        <w:pStyle w:val="FirstParagraph"/>
      </w:pPr>
      <w:r>
        <w:t xml:space="preserve">GlobalWay utiliza IA generativa para producir imágenes de destino y borradores de asesoramiento de viajes. Requiere marcación del lado del proveedor cuando corresponda, etiqueta imágenes sintéticas publicadas externamente, conserva la responsabilidad editorial humana de la información de viajes de interés público, y prueba si las etiquetas y metadatos sobreviven a sus flujos de trabajo de gestión de contenidos y redes sociales.</w:t>
      </w:r>
    </w:p>
    <w:bookmarkEnd w:id="601"/>
    <w:bookmarkStart w:id="602" w:name="actividad-de-control-57"/>
    <w:p>
      <w:pPr>
        <w:pStyle w:val="Heading2"/>
      </w:pPr>
      <w:r>
        <w:rPr>
          <w:rStyle w:val="SectionNumber"/>
        </w:rPr>
        <w:t xml:space="preserve">1.559</w:t>
      </w:r>
      <w:r>
        <w:tab/>
      </w:r>
      <w:r>
        <w:t xml:space="preserve">Actividad de control</w:t>
      </w:r>
    </w:p>
    <w:p>
      <w:pPr>
        <w:pStyle w:val="FirstParagraph"/>
      </w:pPr>
      <w:r>
        <w:t xml:space="preserve">El propietario del contenido debe completar una evaluación de transparencia antes de la publicación pública del contenido generado o manipulado por IA aplicable. Los controles de liberación deben verificar el marcado técnico requerido, la redacción de la revelación, la accesibilidad, el análisis de excepciones y la retención de pruebas.</w:t>
      </w:r>
    </w:p>
    <w:bookmarkEnd w:id="602"/>
    <w:bookmarkStart w:id="603" w:name="pruebas-62"/>
    <w:p>
      <w:pPr>
        <w:pStyle w:val="Heading2"/>
      </w:pPr>
      <w:r>
        <w:rPr>
          <w:rStyle w:val="SectionNumber"/>
        </w:rPr>
        <w:t xml:space="preserve">1.560</w:t>
      </w:r>
      <w:r>
        <w:tab/>
      </w:r>
      <w:r>
        <w:t xml:space="preserve">Pruebas</w:t>
      </w:r>
    </w:p>
    <w:p>
      <w:pPr>
        <w:numPr>
          <w:ilvl w:val="0"/>
          <w:numId w:val="1159"/>
        </w:numPr>
        <w:pStyle w:val="Compact"/>
      </w:pPr>
      <w:r>
        <w:t xml:space="preserve">Artículo 50, clasificación;</w:t>
      </w:r>
    </w:p>
    <w:p>
      <w:pPr>
        <w:numPr>
          <w:ilvl w:val="0"/>
          <w:numId w:val="1159"/>
        </w:numPr>
        <w:pStyle w:val="Compact"/>
      </w:pPr>
      <w:r>
        <w:t xml:space="preserve">análisis de la función del actor;</w:t>
      </w:r>
    </w:p>
    <w:p>
      <w:pPr>
        <w:numPr>
          <w:ilvl w:val="0"/>
          <w:numId w:val="1159"/>
        </w:numPr>
        <w:pStyle w:val="Compact"/>
      </w:pPr>
      <w:r>
        <w:t xml:space="preserve">las especificaciones de marcado y divulgación;</w:t>
      </w:r>
    </w:p>
    <w:p>
      <w:pPr>
        <w:numPr>
          <w:ilvl w:val="0"/>
          <w:numId w:val="1159"/>
        </w:numPr>
        <w:pStyle w:val="Compact"/>
      </w:pPr>
      <w:r>
        <w:t xml:space="preserve">capturas de pantalla y resultados de ensayos legibles por máquina;</w:t>
      </w:r>
    </w:p>
    <w:p>
      <w:pPr>
        <w:numPr>
          <w:ilvl w:val="0"/>
          <w:numId w:val="1159"/>
        </w:numPr>
        <w:pStyle w:val="Compact"/>
      </w:pPr>
      <w:r>
        <w:t xml:space="preserve">pruebas de accesibilidad;</w:t>
      </w:r>
    </w:p>
    <w:p>
      <w:pPr>
        <w:numPr>
          <w:ilvl w:val="0"/>
          <w:numId w:val="1159"/>
        </w:numPr>
        <w:pStyle w:val="Compact"/>
      </w:pPr>
      <w:r>
        <w:t xml:space="preserve">la excepción y el análisis de la responsabilidad editorial;</w:t>
      </w:r>
    </w:p>
    <w:p>
      <w:pPr>
        <w:numPr>
          <w:ilvl w:val="0"/>
          <w:numId w:val="1159"/>
        </w:numPr>
        <w:pStyle w:val="Compact"/>
      </w:pPr>
      <w:r>
        <w:t xml:space="preserve">la cartografía del código a la obligación;</w:t>
      </w:r>
    </w:p>
    <w:p>
      <w:pPr>
        <w:numPr>
          <w:ilvl w:val="0"/>
          <w:numId w:val="1159"/>
        </w:numPr>
        <w:pStyle w:val="Compact"/>
      </w:pPr>
      <w:r>
        <w:t xml:space="preserve">seguimiento y registros de medidas correctoras.</w:t>
      </w:r>
    </w:p>
    <w:bookmarkEnd w:id="603"/>
    <w:bookmarkStart w:id="604" w:name="prueba-de-auditoría-58"/>
    <w:p>
      <w:pPr>
        <w:pStyle w:val="Heading2"/>
      </w:pPr>
      <w:r>
        <w:rPr>
          <w:rStyle w:val="SectionNumber"/>
        </w:rPr>
        <w:t xml:space="preserve">1.561</w:t>
      </w:r>
      <w:r>
        <w:tab/>
      </w:r>
      <w:r>
        <w:t xml:space="preserve">Prueba de auditoría</w:t>
      </w:r>
    </w:p>
    <w:p>
      <w:pPr>
        <w:pStyle w:val="FirstParagraph"/>
      </w:pPr>
      <w:r>
        <w:t xml:space="preserve">Seleccione una muestra de contenido generado o manipulado por IA. Confirme que se distinguieron las funciones de proveedor e implementación aplicables, se implementaron y probaron el marcado y la divulgación, se documentaron excepciones y las reclamaciones externas sobre la participación en el código no exageran el cumplimiento.</w:t>
      </w:r>
    </w:p>
    <w:bookmarkEnd w:id="604"/>
    <w:bookmarkStart w:id="605" w:name="referencias-jurídicas-primarias-31"/>
    <w:p>
      <w:pPr>
        <w:pStyle w:val="Heading2"/>
      </w:pPr>
      <w:r>
        <w:rPr>
          <w:rStyle w:val="SectionNumber"/>
        </w:rPr>
        <w:t xml:space="preserve">1.562</w:t>
      </w:r>
      <w:r>
        <w:tab/>
      </w:r>
      <w:r>
        <w:t xml:space="preserve">Referencias jurídicas primarias</w:t>
      </w:r>
    </w:p>
    <w:p>
      <w:pPr>
        <w:numPr>
          <w:ilvl w:val="0"/>
          <w:numId w:val="1160"/>
        </w:numPr>
        <w:pStyle w:val="Compact"/>
      </w:pPr>
      <w:r>
        <w:t xml:space="preserve">Reglamento (UE) 2024/1689, modificado: artículo 50 y disposiciones de transparencia conexas.</w:t>
      </w:r>
    </w:p>
    <w:p>
      <w:pPr>
        <w:numPr>
          <w:ilvl w:val="0"/>
          <w:numId w:val="1160"/>
        </w:numPr>
        <w:pStyle w:val="Compact"/>
      </w:pPr>
      <w:r>
        <w:t xml:space="preserve">Código oficial de prácticas en materia de transparencia y evaluación de la Comisión, según su estatuto jurídico.</w:t>
      </w:r>
    </w:p>
    <w:p>
      <w:pPr>
        <w:numPr>
          <w:ilvl w:val="0"/>
          <w:numId w:val="1160"/>
        </w:numPr>
        <w:pStyle w:val="Compact"/>
      </w:pPr>
      <w:r>
        <w:t xml:space="preserve">Los actuales controles consolidados de texto EUR-Lex sobre los resúmenes antiguos.</w:t>
      </w:r>
    </w:p>
    <w:bookmarkEnd w:id="605"/>
    <w:bookmarkStart w:id="606" w:name="X616e17fbe9830745c3f2dead63a5ed3d5ad430b"/>
    <w:p>
      <w:pPr>
        <w:pStyle w:val="Heading2"/>
      </w:pPr>
      <w:r>
        <w:rPr>
          <w:rStyle w:val="SectionNumber"/>
        </w:rPr>
        <w:t xml:space="preserve">1.563</w:t>
      </w:r>
      <w:r>
        <w:tab/>
      </w:r>
      <w:r>
        <w:t xml:space="preserve">Capítulo 64 — Divulgación de Chatbot e Interacción Humana</w:t>
      </w:r>
    </w:p>
    <w:p>
      <w:pPr>
        <w:pStyle w:val="BlockText"/>
      </w:pPr>
      <w:r>
        <w:rPr>
          <w:bCs/>
          <w:b/>
        </w:rPr>
        <w:t xml:space="preserve">Estatus legal:</w:t>
      </w:r>
      <w:r>
        <w:t xml:space="preserve"> </w:t>
      </w:r>
      <w:r>
        <w:t xml:space="preserve">Corregido Maestro Inglés para la consolidación. Este archivo controla el lenguaje de borrador anterior del Capítulo 64.</w:t>
      </w:r>
    </w:p>
    <w:bookmarkEnd w:id="606"/>
    <w:bookmarkStart w:id="607" w:name="requisito-62"/>
    <w:p>
      <w:pPr>
        <w:pStyle w:val="Heading2"/>
      </w:pPr>
      <w:r>
        <w:rPr>
          <w:rStyle w:val="SectionNumber"/>
        </w:rPr>
        <w:t xml:space="preserve">1.564</w:t>
      </w:r>
      <w:r>
        <w:tab/>
      </w:r>
      <w:r>
        <w:t xml:space="preserve">Requisito</w:t>
      </w:r>
    </w:p>
    <w:p>
      <w:pPr>
        <w:pStyle w:val="FirstParagraph"/>
      </w:pPr>
      <w:r>
        <w:t xml:space="preserve">Los proveedores deben asegurarse de que los sistemas de IA destinados a interactuar directamente con las personas físicas se diseñen y desarrollen de manera que se informe a las personas afectadas de que están interactuando con un sistema de IA, a menos que ese hecho sea evidente para una persona razonablemente bien informada, observadora y prudente en el contexto pertinente.</w:t>
      </w:r>
    </w:p>
    <w:bookmarkEnd w:id="607"/>
    <w:bookmarkStart w:id="608" w:name="explicación-en-lenguaje-sencillo-59"/>
    <w:p>
      <w:pPr>
        <w:pStyle w:val="Heading2"/>
      </w:pPr>
      <w:r>
        <w:rPr>
          <w:rStyle w:val="SectionNumber"/>
        </w:rPr>
        <w:t xml:space="preserve">1.565</w:t>
      </w:r>
      <w:r>
        <w:tab/>
      </w:r>
      <w:r>
        <w:t xml:space="preserve">Explicación en lenguaje sencillo</w:t>
      </w:r>
    </w:p>
    <w:p>
      <w:pPr>
        <w:pStyle w:val="FirstParagraph"/>
      </w:pPr>
      <w:r>
        <w:t xml:space="preserve">La gente no debería tener que adivinar si está tratando con un humano o un sistema de IA. La revelación debe aparecer lo suficientemente pronto como para influir en la interacción y debe ser comprensible, accesible y proporcionado al contexto.</w:t>
      </w:r>
    </w:p>
    <w:bookmarkEnd w:id="608"/>
    <w:bookmarkStart w:id="609" w:name="ejemplo-de-globalway-57"/>
    <w:p>
      <w:pPr>
        <w:pStyle w:val="Heading2"/>
      </w:pPr>
      <w:r>
        <w:rPr>
          <w:rStyle w:val="SectionNumber"/>
        </w:rPr>
        <w:t xml:space="preserve">1.566</w:t>
      </w:r>
      <w:r>
        <w:tab/>
      </w:r>
      <w:r>
        <w:t xml:space="preserve">Ejemplo de GlobalWay</w:t>
      </w:r>
    </w:p>
    <w:p>
      <w:pPr>
        <w:pStyle w:val="FirstParagraph"/>
      </w:pPr>
      <w:r>
        <w:t xml:space="preserve">El asistente de apoyo a viajes de GlobalWay se identifica como asistente de IA al comienzo de la conversación y proporciona una ruta visible a un consultor de viajes humanos para reembolsos, problemas de seguridad, necesidades de accesibilidad o respuestas de baja confianza.</w:t>
      </w:r>
    </w:p>
    <w:bookmarkEnd w:id="609"/>
    <w:bookmarkStart w:id="610" w:name="actividad-de-control-58"/>
    <w:p>
      <w:pPr>
        <w:pStyle w:val="Heading2"/>
      </w:pPr>
      <w:r>
        <w:rPr>
          <w:rStyle w:val="SectionNumber"/>
        </w:rPr>
        <w:t xml:space="preserve">1.567</w:t>
      </w:r>
      <w:r>
        <w:tab/>
      </w:r>
      <w:r>
        <w:t xml:space="preserve">Actividad de control</w:t>
      </w:r>
    </w:p>
    <w:p>
      <w:pPr>
        <w:pStyle w:val="FirstParagraph"/>
      </w:pPr>
      <w:r>
        <w:t xml:space="preserve">El propietario del producto debe implementar una divulgación aprobada antes del lanzamiento de la producción, probarlo a través de canales y lenguajes compatibles, y reevaluarlo después de los cambios de interfaz, marca o caso de uso.</w:t>
      </w:r>
    </w:p>
    <w:bookmarkEnd w:id="610"/>
    <w:bookmarkStart w:id="611" w:name="pruebas-63"/>
    <w:p>
      <w:pPr>
        <w:pStyle w:val="Heading2"/>
      </w:pPr>
      <w:r>
        <w:rPr>
          <w:rStyle w:val="SectionNumber"/>
        </w:rPr>
        <w:t xml:space="preserve">1.568</w:t>
      </w:r>
      <w:r>
        <w:tab/>
      </w:r>
      <w:r>
        <w:t xml:space="preserve">Pruebas</w:t>
      </w:r>
    </w:p>
    <w:p>
      <w:pPr>
        <w:numPr>
          <w:ilvl w:val="0"/>
          <w:numId w:val="1161"/>
        </w:numPr>
        <w:pStyle w:val="Compact"/>
      </w:pPr>
      <w:r>
        <w:t xml:space="preserve">el texto de divulgación aprobado;</w:t>
      </w:r>
    </w:p>
    <w:p>
      <w:pPr>
        <w:numPr>
          <w:ilvl w:val="0"/>
          <w:numId w:val="1161"/>
        </w:numPr>
        <w:pStyle w:val="Compact"/>
      </w:pPr>
      <w:r>
        <w:t xml:space="preserve">capturas de pantalla y capturas de canal;</w:t>
      </w:r>
    </w:p>
    <w:p>
      <w:pPr>
        <w:numPr>
          <w:ilvl w:val="0"/>
          <w:numId w:val="1161"/>
        </w:numPr>
        <w:pStyle w:val="Compact"/>
      </w:pPr>
      <w:r>
        <w:t xml:space="preserve">pruebas de accesibilidad y localización;</w:t>
      </w:r>
    </w:p>
    <w:p>
      <w:pPr>
        <w:numPr>
          <w:ilvl w:val="0"/>
          <w:numId w:val="1161"/>
        </w:numPr>
        <w:pStyle w:val="Compact"/>
      </w:pPr>
      <w:r>
        <w:t xml:space="preserve">aprobación de la liberación;</w:t>
      </w:r>
    </w:p>
    <w:p>
      <w:pPr>
        <w:numPr>
          <w:ilvl w:val="0"/>
          <w:numId w:val="1161"/>
        </w:numPr>
        <w:pStyle w:val="Compact"/>
      </w:pPr>
      <w:r>
        <w:t xml:space="preserve">el análisis de excepciones en el que se basa;</w:t>
      </w:r>
    </w:p>
    <w:p>
      <w:pPr>
        <w:numPr>
          <w:ilvl w:val="0"/>
          <w:numId w:val="1161"/>
        </w:numPr>
        <w:pStyle w:val="Compact"/>
      </w:pPr>
      <w:r>
        <w:t xml:space="preserve">seguimiento y registros de quejas.</w:t>
      </w:r>
    </w:p>
    <w:bookmarkEnd w:id="611"/>
    <w:bookmarkStart w:id="612" w:name="prueba-de-auditoría-59"/>
    <w:p>
      <w:pPr>
        <w:pStyle w:val="Heading2"/>
      </w:pPr>
      <w:r>
        <w:rPr>
          <w:rStyle w:val="SectionNumber"/>
        </w:rPr>
        <w:t xml:space="preserve">1.569</w:t>
      </w:r>
      <w:r>
        <w:tab/>
      </w:r>
      <w:r>
        <w:t xml:space="preserve">Prueba de auditoría</w:t>
      </w:r>
    </w:p>
    <w:p>
      <w:pPr>
        <w:pStyle w:val="FirstParagraph"/>
      </w:pPr>
      <w:r>
        <w:t xml:space="preserve">Seleccione sistemas de IA orientados al cliente y verifique que la revelación aparece en el punto correcto, sigue siendo comprensible en el contexto, es accesible y no se elimina por la configuración posterior.</w:t>
      </w:r>
    </w:p>
    <w:bookmarkEnd w:id="612"/>
    <w:bookmarkStart w:id="613" w:name="referencias-jurídicas-primarias-32"/>
    <w:p>
      <w:pPr>
        <w:pStyle w:val="Heading2"/>
      </w:pPr>
      <w:r>
        <w:rPr>
          <w:rStyle w:val="SectionNumber"/>
        </w:rPr>
        <w:t xml:space="preserve">1.570</w:t>
      </w:r>
      <w:r>
        <w:tab/>
      </w:r>
      <w:r>
        <w:t xml:space="preserve">Referencias jurídicas primarias</w:t>
      </w:r>
    </w:p>
    <w:p>
      <w:pPr>
        <w:numPr>
          <w:ilvl w:val="0"/>
          <w:numId w:val="1162"/>
        </w:numPr>
        <w:pStyle w:val="Compact"/>
      </w:pPr>
      <w:r>
        <w:t xml:space="preserve">Reglamento (UE) 2024/1689, modificado: artículo 50, apartado 1.</w:t>
      </w:r>
    </w:p>
    <w:p>
      <w:pPr>
        <w:numPr>
          <w:ilvl w:val="0"/>
          <w:numId w:val="1162"/>
        </w:numPr>
        <w:pStyle w:val="Compact"/>
      </w:pPr>
      <w:r>
        <w:t xml:space="preserve">Directrices de transparencia del artículo 50 de la Comisión Europea, identificadas como orientaciones no vinculantes.</w:t>
      </w:r>
    </w:p>
    <w:p>
      <w:pPr>
        <w:numPr>
          <w:ilvl w:val="0"/>
          <w:numId w:val="1162"/>
        </w:numPr>
        <w:pStyle w:val="Compact"/>
      </w:pPr>
      <w:r>
        <w:t xml:space="preserve">Los actuales controles consolidados de texto EUR-Lex sobre los resúmenes antiguos.</w:t>
      </w:r>
    </w:p>
    <w:bookmarkEnd w:id="613"/>
    <w:bookmarkStart w:id="614" w:name="X59714ffbeaef02f3839ada6449be1879b8837f3"/>
    <w:p>
      <w:pPr>
        <w:pStyle w:val="Heading2"/>
      </w:pPr>
      <w:r>
        <w:rPr>
          <w:rStyle w:val="SectionNumber"/>
        </w:rPr>
        <w:t xml:space="preserve">1.571</w:t>
      </w:r>
      <w:r>
        <w:tab/>
      </w:r>
      <w:r>
        <w:t xml:space="preserve">Capítulo 65 — Marcado de contenido generado y manipulado por IA</w:t>
      </w:r>
    </w:p>
    <w:p>
      <w:pPr>
        <w:pStyle w:val="BlockText"/>
      </w:pPr>
      <w:r>
        <w:rPr>
          <w:bCs/>
          <w:b/>
        </w:rPr>
        <w:t xml:space="preserve">Estatus legal:</w:t>
      </w:r>
      <w:r>
        <w:t xml:space="preserve"> </w:t>
      </w:r>
      <w:r>
        <w:t xml:space="preserve">Corregido Maestro Inglés para la consolidación. Este archivo controla el lenguaje de borrador del Capítulo 65 anterior.</w:t>
      </w:r>
    </w:p>
    <w:bookmarkEnd w:id="614"/>
    <w:bookmarkStart w:id="615" w:name="requisito-63"/>
    <w:p>
      <w:pPr>
        <w:pStyle w:val="Heading2"/>
      </w:pPr>
      <w:r>
        <w:rPr>
          <w:rStyle w:val="SectionNumber"/>
        </w:rPr>
        <w:t xml:space="preserve">1.572</w:t>
      </w:r>
      <w:r>
        <w:tab/>
      </w:r>
      <w:r>
        <w:t xml:space="preserve">Requisito</w:t>
      </w:r>
    </w:p>
    <w:p>
      <w:pPr>
        <w:pStyle w:val="FirstParagraph"/>
      </w:pPr>
      <w:r>
        <w:t xml:space="preserve">Los proveedores de sistemas de IA, incluidos los sistemas de IA de uso general, que generen contenido sintético de audio, imagen, vídeo o texto deben asegurarse de que las salidas estén marcadas en un formato legible por máquina y detectables como generadas o manipuladas artificialmente, con sujeción a las excepciones legales y a la norma de viabilidad técnica.</w:t>
      </w:r>
    </w:p>
    <w:bookmarkEnd w:id="615"/>
    <w:bookmarkStart w:id="616" w:name="explicación-en-lenguaje-sencillo-60"/>
    <w:p>
      <w:pPr>
        <w:pStyle w:val="Heading2"/>
      </w:pPr>
      <w:r>
        <w:rPr>
          <w:rStyle w:val="SectionNumber"/>
        </w:rPr>
        <w:t xml:space="preserve">1.573</w:t>
      </w:r>
      <w:r>
        <w:tab/>
      </w:r>
      <w:r>
        <w:t xml:space="preserve">Explicación en lenguaje sencillo</w:t>
      </w:r>
    </w:p>
    <w:p>
      <w:pPr>
        <w:pStyle w:val="FirstParagraph"/>
      </w:pPr>
      <w:r>
        <w:t xml:space="preserve">El proveedor debe integrar señales de procedencia o de detección en la salida del sistema. Una etiqueta visible puede ayudar a los usuarios, pero por sí sola no sustituye el derecho de marcado legible por máquina a nivel del proveedor cuando se aplica el artículo 50, apartado 2.</w:t>
      </w:r>
    </w:p>
    <w:bookmarkEnd w:id="616"/>
    <w:bookmarkStart w:id="617" w:name="ejemplo-de-globalway-58"/>
    <w:p>
      <w:pPr>
        <w:pStyle w:val="Heading2"/>
      </w:pPr>
      <w:r>
        <w:rPr>
          <w:rStyle w:val="SectionNumber"/>
        </w:rPr>
        <w:t xml:space="preserve">1.574</w:t>
      </w:r>
      <w:r>
        <w:tab/>
      </w:r>
      <w:r>
        <w:t xml:space="preserve">Ejemplo de GlobalWay</w:t>
      </w:r>
    </w:p>
    <w:p>
      <w:pPr>
        <w:pStyle w:val="FirstParagraph"/>
      </w:pPr>
      <w:r>
        <w:t xml:space="preserve">GlobalWay utiliza un sistema generativo para crear imágenes de destino y resúmenes de itinerarios. El proveedor suministra metadatos de procedencia legibles por máquina, y GlobalWay verifica que su flujo de trabajo de publicación no elimina la marca.</w:t>
      </w:r>
    </w:p>
    <w:bookmarkEnd w:id="617"/>
    <w:bookmarkStart w:id="618" w:name="actividad-de-control-59"/>
    <w:p>
      <w:pPr>
        <w:pStyle w:val="Heading2"/>
      </w:pPr>
      <w:r>
        <w:rPr>
          <w:rStyle w:val="SectionNumber"/>
        </w:rPr>
        <w:t xml:space="preserve">1.575</w:t>
      </w:r>
      <w:r>
        <w:tab/>
      </w:r>
      <w:r>
        <w:t xml:space="preserve">Actividad de control</w:t>
      </w:r>
    </w:p>
    <w:p>
      <w:pPr>
        <w:pStyle w:val="FirstParagraph"/>
      </w:pPr>
      <w:r>
        <w:t xml:space="preserve">El proveedor y el editor deben mantener controles para el marcado de la salida, la preservación mediante la exportación y transformación, las pruebas de eficacia, las excepciones documentadas y la reparación cuando las marcas se pierden o son ineficaces.</w:t>
      </w:r>
    </w:p>
    <w:bookmarkEnd w:id="618"/>
    <w:bookmarkStart w:id="619" w:name="pruebas-64"/>
    <w:p>
      <w:pPr>
        <w:pStyle w:val="Heading2"/>
      </w:pPr>
      <w:r>
        <w:rPr>
          <w:rStyle w:val="SectionNumber"/>
        </w:rPr>
        <w:t xml:space="preserve">1.576</w:t>
      </w:r>
      <w:r>
        <w:tab/>
      </w:r>
      <w:r>
        <w:t xml:space="preserve">Pruebas</w:t>
      </w:r>
    </w:p>
    <w:p>
      <w:pPr>
        <w:numPr>
          <w:ilvl w:val="0"/>
          <w:numId w:val="1163"/>
        </w:numPr>
        <w:pStyle w:val="Compact"/>
      </w:pPr>
      <w:r>
        <w:t xml:space="preserve">especificación técnica del marcado;</w:t>
      </w:r>
    </w:p>
    <w:p>
      <w:pPr>
        <w:numPr>
          <w:ilvl w:val="0"/>
          <w:numId w:val="1163"/>
        </w:numPr>
        <w:pStyle w:val="Compact"/>
      </w:pPr>
      <w:r>
        <w:t xml:space="preserve">resultados de pruebas de detección y robustez;</w:t>
      </w:r>
    </w:p>
    <w:p>
      <w:pPr>
        <w:numPr>
          <w:ilvl w:val="0"/>
          <w:numId w:val="1163"/>
        </w:numPr>
        <w:pStyle w:val="Compact"/>
      </w:pPr>
      <w:r>
        <w:t xml:space="preserve">pruebas de exportación y transformación;</w:t>
      </w:r>
    </w:p>
    <w:p>
      <w:pPr>
        <w:numPr>
          <w:ilvl w:val="0"/>
          <w:numId w:val="1163"/>
        </w:numPr>
        <w:pStyle w:val="Compact"/>
      </w:pPr>
      <w:r>
        <w:t xml:space="preserve">documentación del proveedor;</w:t>
      </w:r>
    </w:p>
    <w:p>
      <w:pPr>
        <w:numPr>
          <w:ilvl w:val="0"/>
          <w:numId w:val="1163"/>
        </w:numPr>
        <w:pStyle w:val="Compact"/>
      </w:pPr>
      <w:r>
        <w:t xml:space="preserve">análisis de las excepciones;</w:t>
      </w:r>
    </w:p>
    <w:p>
      <w:pPr>
        <w:numPr>
          <w:ilvl w:val="0"/>
          <w:numId w:val="1163"/>
        </w:numPr>
        <w:pStyle w:val="Compact"/>
      </w:pPr>
      <w:r>
        <w:t xml:space="preserve">seguimiento y registros de medidas correctoras.</w:t>
      </w:r>
    </w:p>
    <w:bookmarkEnd w:id="619"/>
    <w:bookmarkStart w:id="620" w:name="prueba-de-auditoría-60"/>
    <w:p>
      <w:pPr>
        <w:pStyle w:val="Heading2"/>
      </w:pPr>
      <w:r>
        <w:rPr>
          <w:rStyle w:val="SectionNumber"/>
        </w:rPr>
        <w:t xml:space="preserve">1.577</w:t>
      </w:r>
      <w:r>
        <w:tab/>
      </w:r>
      <w:r>
        <w:t xml:space="preserve">Prueba de auditoría</w:t>
      </w:r>
    </w:p>
    <w:p>
      <w:pPr>
        <w:pStyle w:val="FirstParagraph"/>
      </w:pPr>
      <w:r>
        <w:t xml:space="preserve">Generar salidas representativas, procesarlas a través de flujos de trabajo de publicación normales, y verificar que el marcado legible por la máquina sigue siendo detectable y que cualquier excepción alegada es documentada y válida.</w:t>
      </w:r>
    </w:p>
    <w:bookmarkEnd w:id="620"/>
    <w:bookmarkStart w:id="621" w:name="control-de-la-fecha-efectiva-1"/>
    <w:p>
      <w:pPr>
        <w:pStyle w:val="Heading2"/>
      </w:pPr>
      <w:r>
        <w:rPr>
          <w:rStyle w:val="SectionNumber"/>
        </w:rPr>
        <w:t xml:space="preserve">1.578</w:t>
      </w:r>
      <w:r>
        <w:tab/>
      </w:r>
      <w:r>
        <w:t xml:space="preserve">Control de la fecha efectiva</w:t>
      </w:r>
    </w:p>
    <w:p>
      <w:pPr>
        <w:pStyle w:val="FirstParagraph"/>
      </w:pPr>
      <w:r>
        <w:t xml:space="preserve">El artículo 50 se aplica generalmente a partir del 2 de agosto de 2026. Los sistemas comercializados antes de esa fecha sólo reciben la transición limitada aplicable al apartado 2 del artículo 50, que finaliza el 2 de diciembre de 2026.</w:t>
      </w:r>
    </w:p>
    <w:bookmarkEnd w:id="621"/>
    <w:bookmarkStart w:id="622" w:name="referencias-jurídicas-primarias-33"/>
    <w:p>
      <w:pPr>
        <w:pStyle w:val="Heading2"/>
      </w:pPr>
      <w:r>
        <w:rPr>
          <w:rStyle w:val="SectionNumber"/>
        </w:rPr>
        <w:t xml:space="preserve">1.579</w:t>
      </w:r>
      <w:r>
        <w:tab/>
      </w:r>
      <w:r>
        <w:t xml:space="preserve">Referencias jurídicas primarias</w:t>
      </w:r>
    </w:p>
    <w:p>
      <w:pPr>
        <w:numPr>
          <w:ilvl w:val="0"/>
          <w:numId w:val="1164"/>
        </w:numPr>
        <w:pStyle w:val="Compact"/>
      </w:pPr>
      <w:r>
        <w:t xml:space="preserve">Reglamento (UE) 2024/1689, modificado: artículo 50, apartado 2.</w:t>
      </w:r>
    </w:p>
    <w:p>
      <w:pPr>
        <w:numPr>
          <w:ilvl w:val="0"/>
          <w:numId w:val="1164"/>
        </w:numPr>
        <w:pStyle w:val="Compact"/>
      </w:pPr>
      <w:r>
        <w:t xml:space="preserve">Reglamento (UE) 2026/1744, disposición transitoria para los sistemas preexistentes.</w:t>
      </w:r>
    </w:p>
    <w:p>
      <w:pPr>
        <w:numPr>
          <w:ilvl w:val="0"/>
          <w:numId w:val="1164"/>
        </w:numPr>
        <w:pStyle w:val="Compact"/>
      </w:pPr>
      <w:r>
        <w:t xml:space="preserve">Directrices de la Comisión Europea sobre el artículo 50 y código de transparencia, identificadas según su estatuto jurídico.</w:t>
      </w:r>
    </w:p>
    <w:bookmarkEnd w:id="622"/>
    <w:bookmarkStart w:id="623" w:name="capítulo-66-divulgación-falsa"/>
    <w:p>
      <w:pPr>
        <w:pStyle w:val="Heading2"/>
      </w:pPr>
      <w:r>
        <w:rPr>
          <w:rStyle w:val="SectionNumber"/>
        </w:rPr>
        <w:t xml:space="preserve">1.580</w:t>
      </w:r>
      <w:r>
        <w:tab/>
      </w:r>
      <w:r>
        <w:t xml:space="preserve">Capítulo 66 — Divulgación falsa</w:t>
      </w:r>
    </w:p>
    <w:p>
      <w:pPr>
        <w:pStyle w:val="BlockText"/>
      </w:pPr>
      <w:r>
        <w:rPr>
          <w:bCs/>
          <w:b/>
        </w:rPr>
        <w:t xml:space="preserve">Estatus legal:</w:t>
      </w:r>
      <w:r>
        <w:t xml:space="preserve"> </w:t>
      </w:r>
      <w:r>
        <w:t xml:space="preserve">Corregido Maestro Inglés para la consolidación. Este archivo controla el lenguaje de borrador anterior del Capítulo 66.</w:t>
      </w:r>
    </w:p>
    <w:bookmarkEnd w:id="623"/>
    <w:bookmarkStart w:id="624" w:name="requisito-64"/>
    <w:p>
      <w:pPr>
        <w:pStyle w:val="Heading2"/>
      </w:pPr>
      <w:r>
        <w:rPr>
          <w:rStyle w:val="SectionNumber"/>
        </w:rPr>
        <w:t xml:space="preserve">1.581</w:t>
      </w:r>
      <w:r>
        <w:tab/>
      </w:r>
      <w:r>
        <w:t xml:space="preserve">Requisito</w:t>
      </w:r>
    </w:p>
    <w:p>
      <w:pPr>
        <w:pStyle w:val="FirstParagraph"/>
      </w:pPr>
      <w:r>
        <w:t xml:space="preserve">Los despliegues de sistemas de IA que generen o manipulen contenidos de imagen, audio o vídeo que constituyan un engaño profundo deben revelar que el contenido ha sido generado o manipulado artificialmente. La divulgación debe ser clara, oportuna y apropiada al medio, sujeto a los ajustes legales para obras artísticas, creativas, satíricas, ficcionales o análogas.</w:t>
      </w:r>
    </w:p>
    <w:bookmarkEnd w:id="624"/>
    <w:bookmarkStart w:id="625" w:name="explicación-en-lenguaje-sencillo-61"/>
    <w:p>
      <w:pPr>
        <w:pStyle w:val="Heading2"/>
      </w:pPr>
      <w:r>
        <w:rPr>
          <w:rStyle w:val="SectionNumber"/>
        </w:rPr>
        <w:t xml:space="preserve">1.582</w:t>
      </w:r>
      <w:r>
        <w:tab/>
      </w:r>
      <w:r>
        <w:t xml:space="preserve">Explicación en lenguaje sencillo</w:t>
      </w:r>
    </w:p>
    <w:p>
      <w:pPr>
        <w:pStyle w:val="FirstParagraph"/>
      </w:pPr>
      <w:r>
        <w:t xml:space="preserve">La gente debe ser capaz de reconocer cuando medios realistas han sido creados o alterados por AI. El contexto artístico o ficticio puede afectar cómo se presenta la revelación, pero no justifica ocultar la naturaleza artificial del contenido.</w:t>
      </w:r>
    </w:p>
    <w:bookmarkEnd w:id="625"/>
    <w:bookmarkStart w:id="626" w:name="ejemplo-de-globalway-59"/>
    <w:p>
      <w:pPr>
        <w:pStyle w:val="Heading2"/>
      </w:pPr>
      <w:r>
        <w:rPr>
          <w:rStyle w:val="SectionNumber"/>
        </w:rPr>
        <w:t xml:space="preserve">1.583</w:t>
      </w:r>
      <w:r>
        <w:tab/>
      </w:r>
      <w:r>
        <w:t xml:space="preserve">Ejemplo de GlobalWay</w:t>
      </w:r>
    </w:p>
    <w:p>
      <w:pPr>
        <w:pStyle w:val="FirstParagraph"/>
      </w:pPr>
      <w:r>
        <w:t xml:space="preserve">GlobalWay publica un video promocional generado por IA con un viajero ficticio. El video y la página que lo acompaña indican claramente que el material fue generado artificialmente, preservando al mismo tiempo la presentación creativa.</w:t>
      </w:r>
    </w:p>
    <w:bookmarkEnd w:id="626"/>
    <w:bookmarkStart w:id="627" w:name="actividad-de-control-60"/>
    <w:p>
      <w:pPr>
        <w:pStyle w:val="Heading2"/>
      </w:pPr>
      <w:r>
        <w:rPr>
          <w:rStyle w:val="SectionNumber"/>
        </w:rPr>
        <w:t xml:space="preserve">1.584</w:t>
      </w:r>
      <w:r>
        <w:tab/>
      </w:r>
      <w:r>
        <w:t xml:space="preserve">Actividad de control</w:t>
      </w:r>
    </w:p>
    <w:p>
      <w:pPr>
        <w:pStyle w:val="FirstParagraph"/>
      </w:pPr>
      <w:r>
        <w:t xml:space="preserve">El propietario del contenido debe clasificar el contenido deepfake antes de su publicación, aplicar una divulgación aprobada, preservar marcas legibles por máquina a nivel del proveedor y obtener una revisión legal para cualquier excepción alegada o presentación modificada.</w:t>
      </w:r>
    </w:p>
    <w:bookmarkEnd w:id="627"/>
    <w:bookmarkStart w:id="628" w:name="pruebas-65"/>
    <w:p>
      <w:pPr>
        <w:pStyle w:val="Heading2"/>
      </w:pPr>
      <w:r>
        <w:rPr>
          <w:rStyle w:val="SectionNumber"/>
        </w:rPr>
        <w:t xml:space="preserve">1.585</w:t>
      </w:r>
      <w:r>
        <w:tab/>
      </w:r>
      <w:r>
        <w:t xml:space="preserve">Pruebas</w:t>
      </w:r>
    </w:p>
    <w:p>
      <w:pPr>
        <w:numPr>
          <w:ilvl w:val="0"/>
          <w:numId w:val="1165"/>
        </w:numPr>
        <w:pStyle w:val="Compact"/>
      </w:pPr>
      <w:r>
        <w:t xml:space="preserve">registro de clasificación de contenidos;</w:t>
      </w:r>
    </w:p>
    <w:p>
      <w:pPr>
        <w:numPr>
          <w:ilvl w:val="0"/>
          <w:numId w:val="1165"/>
        </w:numPr>
        <w:pStyle w:val="Compact"/>
      </w:pPr>
      <w:r>
        <w:t xml:space="preserve">la divulgación autorizada;</w:t>
      </w:r>
    </w:p>
    <w:p>
      <w:pPr>
        <w:numPr>
          <w:ilvl w:val="0"/>
          <w:numId w:val="1165"/>
        </w:numPr>
        <w:pStyle w:val="Compact"/>
      </w:pPr>
      <w:r>
        <w:t xml:space="preserve">las capturas de pantalla de la publicación;</w:t>
      </w:r>
    </w:p>
    <w:p>
      <w:pPr>
        <w:numPr>
          <w:ilvl w:val="0"/>
          <w:numId w:val="1165"/>
        </w:numPr>
        <w:pStyle w:val="Compact"/>
      </w:pPr>
      <w:r>
        <w:t xml:space="preserve">metadatos de procedencia;</w:t>
      </w:r>
    </w:p>
    <w:p>
      <w:pPr>
        <w:numPr>
          <w:ilvl w:val="0"/>
          <w:numId w:val="1165"/>
        </w:numPr>
        <w:pStyle w:val="Compact"/>
      </w:pPr>
      <w:r>
        <w:t xml:space="preserve">análisis jurídico para una presentación especial;</w:t>
      </w:r>
    </w:p>
    <w:p>
      <w:pPr>
        <w:numPr>
          <w:ilvl w:val="0"/>
          <w:numId w:val="1165"/>
        </w:numPr>
        <w:pStyle w:val="Compact"/>
      </w:pPr>
      <w:r>
        <w:t xml:space="preserve">seguimiento y desmontaje de registros.</w:t>
      </w:r>
    </w:p>
    <w:bookmarkEnd w:id="628"/>
    <w:bookmarkStart w:id="629" w:name="prueba-de-auditoría-61"/>
    <w:p>
      <w:pPr>
        <w:pStyle w:val="Heading2"/>
      </w:pPr>
      <w:r>
        <w:rPr>
          <w:rStyle w:val="SectionNumber"/>
        </w:rPr>
        <w:t xml:space="preserve">1.586</w:t>
      </w:r>
      <w:r>
        <w:tab/>
      </w:r>
      <w:r>
        <w:t xml:space="preserve">Prueba de auditoría</w:t>
      </w:r>
    </w:p>
    <w:p>
      <w:pPr>
        <w:pStyle w:val="FirstParagraph"/>
      </w:pPr>
      <w:r>
        <w:t xml:space="preserve">Revise una muestra de medios sintéticos o manipulados y verifique que la clasificación profunda, la ubicación de la revelación, la accesibilidad y la preservación de la procedencia están respaldadas por pruebas.</w:t>
      </w:r>
    </w:p>
    <w:bookmarkEnd w:id="629"/>
    <w:bookmarkStart w:id="630" w:name="referencias-jurídicas-primarias-34"/>
    <w:p>
      <w:pPr>
        <w:pStyle w:val="Heading2"/>
      </w:pPr>
      <w:r>
        <w:rPr>
          <w:rStyle w:val="SectionNumber"/>
        </w:rPr>
        <w:t xml:space="preserve">1.587</w:t>
      </w:r>
      <w:r>
        <w:tab/>
      </w:r>
      <w:r>
        <w:t xml:space="preserve">Referencias jurídicas primarias</w:t>
      </w:r>
    </w:p>
    <w:p>
      <w:pPr>
        <w:numPr>
          <w:ilvl w:val="0"/>
          <w:numId w:val="1166"/>
        </w:numPr>
        <w:pStyle w:val="Compact"/>
      </w:pPr>
      <w:r>
        <w:t xml:space="preserve">Reglamento (UE) 2024/1689, modificado: artículo 50, apartado 4.</w:t>
      </w:r>
    </w:p>
    <w:p>
      <w:pPr>
        <w:numPr>
          <w:ilvl w:val="0"/>
          <w:numId w:val="1166"/>
        </w:numPr>
        <w:pStyle w:val="Compact"/>
      </w:pPr>
      <w:r>
        <w:t xml:space="preserve">Directrices de transparencia del artículo 50 de la Comisión Europea, identificadas como orientaciones no vinculantes.</w:t>
      </w:r>
    </w:p>
    <w:bookmarkEnd w:id="630"/>
    <w:bookmarkStart w:id="631" w:name="Xd02e9752e3af717ea103abe35786ae682db9a8e"/>
    <w:p>
      <w:pPr>
        <w:pStyle w:val="Heading2"/>
      </w:pPr>
      <w:r>
        <w:rPr>
          <w:rStyle w:val="SectionNumber"/>
        </w:rPr>
        <w:t xml:space="preserve">1.588</w:t>
      </w:r>
      <w:r>
        <w:tab/>
      </w:r>
      <w:r>
        <w:t xml:space="preserve">Capítulo 67 — Divulgaciones de textos generados por IA</w:t>
      </w:r>
    </w:p>
    <w:p>
      <w:pPr>
        <w:pStyle w:val="BlockText"/>
      </w:pPr>
      <w:r>
        <w:rPr>
          <w:bCs/>
          <w:b/>
        </w:rPr>
        <w:t xml:space="preserve">Estatus legal:</w:t>
      </w:r>
      <w:r>
        <w:t xml:space="preserve"> </w:t>
      </w:r>
      <w:r>
        <w:t xml:space="preserve">Corregido Maestro Inglés para la consolidación. Este archivo controla el lenguaje de borrador anterior del Capítulo 67 en conflicto.</w:t>
      </w:r>
    </w:p>
    <w:bookmarkEnd w:id="631"/>
    <w:bookmarkStart w:id="632" w:name="requisito-65"/>
    <w:p>
      <w:pPr>
        <w:pStyle w:val="Heading2"/>
      </w:pPr>
      <w:r>
        <w:rPr>
          <w:rStyle w:val="SectionNumber"/>
        </w:rPr>
        <w:t xml:space="preserve">1.589</w:t>
      </w:r>
      <w:r>
        <w:tab/>
      </w:r>
      <w:r>
        <w:t xml:space="preserve">Requisito</w:t>
      </w:r>
    </w:p>
    <w:p>
      <w:pPr>
        <w:pStyle w:val="FirstParagraph"/>
      </w:pPr>
      <w:r>
        <w:t xml:space="preserve">Los empleados que utilicen un sistema de IA para generar o manipular textos publicados con el fin de informar al público sobre asuntos de interés público deben revelar que el texto fue generado o manipulado artificialmente, a menos que el contenido haya sido objeto de revisión humana o control editorial y una persona sea responsable editorialmente de la publicación.</w:t>
      </w:r>
    </w:p>
    <w:bookmarkEnd w:id="632"/>
    <w:bookmarkStart w:id="633" w:name="explicación-en-lenguaje-sencillo-62"/>
    <w:p>
      <w:pPr>
        <w:pStyle w:val="Heading2"/>
      </w:pPr>
      <w:r>
        <w:rPr>
          <w:rStyle w:val="SectionNumber"/>
        </w:rPr>
        <w:t xml:space="preserve">1.590</w:t>
      </w:r>
      <w:r>
        <w:tab/>
      </w:r>
      <w:r>
        <w:t xml:space="preserve">Explicación en lenguaje sencillo</w:t>
      </w:r>
    </w:p>
    <w:p>
      <w:pPr>
        <w:pStyle w:val="FirstParagraph"/>
      </w:pPr>
      <w:r>
        <w:t xml:space="preserve">La obligación está dirigida a la información de interés público, no a todos los borradores internos o mensajes comerciales rutinarios. La excepción de revisión humana requiere un control editorial genuino y una responsabilidad responsable, no un clic de aprobación superficial.</w:t>
      </w:r>
    </w:p>
    <w:bookmarkEnd w:id="633"/>
    <w:bookmarkStart w:id="634" w:name="ejemplo-de-globalway-60"/>
    <w:p>
      <w:pPr>
        <w:pStyle w:val="Heading2"/>
      </w:pPr>
      <w:r>
        <w:rPr>
          <w:rStyle w:val="SectionNumber"/>
        </w:rPr>
        <w:t xml:space="preserve">1.591</w:t>
      </w:r>
      <w:r>
        <w:tab/>
      </w:r>
      <w:r>
        <w:t xml:space="preserve">Ejemplo de GlobalWay</w:t>
      </w:r>
    </w:p>
    <w:p>
      <w:pPr>
        <w:pStyle w:val="FirstParagraph"/>
      </w:pPr>
      <w:r>
        <w:t xml:space="preserve">GlobalWay utiliza IA para redactar un boletín público de seguridad de viajes. Si un editor calificado revisa, verifica, revisa y acepta la responsabilidad de la publicación final, puede aplicarse la excepción de divulgación de texto del párrafo 4 del artículo 50. Se mantiene el registro editorial.</w:t>
      </w:r>
    </w:p>
    <w:bookmarkEnd w:id="634"/>
    <w:bookmarkStart w:id="635" w:name="actividad-de-control-61"/>
    <w:p>
      <w:pPr>
        <w:pStyle w:val="Heading2"/>
      </w:pPr>
      <w:r>
        <w:rPr>
          <w:rStyle w:val="SectionNumber"/>
        </w:rPr>
        <w:t xml:space="preserve">1.592</w:t>
      </w:r>
      <w:r>
        <w:tab/>
      </w:r>
      <w:r>
        <w:t xml:space="preserve">Actividad de control</w:t>
      </w:r>
    </w:p>
    <w:p>
      <w:pPr>
        <w:pStyle w:val="FirstParagraph"/>
      </w:pPr>
      <w:r>
        <w:t xml:space="preserve">La función de comunicaciones debe clasificar el texto de interés público, documentar si IA lo generó o manipuló materialmente, aplicar una divulgación a menos que se cumplan las condiciones de control editorial y conservar el registro de revisión.</w:t>
      </w:r>
    </w:p>
    <w:bookmarkEnd w:id="635"/>
    <w:bookmarkStart w:id="636" w:name="pruebas-66"/>
    <w:p>
      <w:pPr>
        <w:pStyle w:val="Heading2"/>
      </w:pPr>
      <w:r>
        <w:rPr>
          <w:rStyle w:val="SectionNumber"/>
        </w:rPr>
        <w:t xml:space="preserve">1.593</w:t>
      </w:r>
      <w:r>
        <w:tab/>
      </w:r>
      <w:r>
        <w:t xml:space="preserve">Pruebas</w:t>
      </w:r>
    </w:p>
    <w:p>
      <w:pPr>
        <w:numPr>
          <w:ilvl w:val="0"/>
          <w:numId w:val="1167"/>
        </w:numPr>
        <w:pStyle w:val="Compact"/>
      </w:pPr>
      <w:r>
        <w:t xml:space="preserve">clasificación de la finalidad del contenido;</w:t>
      </w:r>
    </w:p>
    <w:p>
      <w:pPr>
        <w:numPr>
          <w:ilvl w:val="0"/>
          <w:numId w:val="1167"/>
        </w:numPr>
        <w:pStyle w:val="Compact"/>
      </w:pPr>
      <w:r>
        <w:t xml:space="preserve">registro de la generación de IA;</w:t>
      </w:r>
    </w:p>
    <w:p>
      <w:pPr>
        <w:numPr>
          <w:ilvl w:val="0"/>
          <w:numId w:val="1167"/>
        </w:numPr>
        <w:pStyle w:val="Compact"/>
      </w:pPr>
      <w:r>
        <w:t xml:space="preserve">la divulgación o la decisión de control editorial;</w:t>
      </w:r>
    </w:p>
    <w:p>
      <w:pPr>
        <w:numPr>
          <w:ilvl w:val="0"/>
          <w:numId w:val="1167"/>
        </w:numPr>
        <w:pStyle w:val="Compact"/>
      </w:pPr>
      <w:r>
        <w:t xml:space="preserve">nombrado editor responsable;</w:t>
      </w:r>
    </w:p>
    <w:p>
      <w:pPr>
        <w:numPr>
          <w:ilvl w:val="0"/>
          <w:numId w:val="1167"/>
        </w:numPr>
        <w:pStyle w:val="Compact"/>
      </w:pPr>
      <w:r>
        <w:t xml:space="preserve">comprobación de los hechos y pruebas de revisión;</w:t>
      </w:r>
    </w:p>
    <w:p>
      <w:pPr>
        <w:numPr>
          <w:ilvl w:val="0"/>
          <w:numId w:val="1167"/>
        </w:numPr>
        <w:pStyle w:val="Compact"/>
      </w:pPr>
      <w:r>
        <w:t xml:space="preserve">captura de publicaciones.</w:t>
      </w:r>
    </w:p>
    <w:bookmarkEnd w:id="636"/>
    <w:bookmarkStart w:id="637" w:name="prueba-de-auditoría-62"/>
    <w:p>
      <w:pPr>
        <w:pStyle w:val="Heading2"/>
      </w:pPr>
      <w:r>
        <w:rPr>
          <w:rStyle w:val="SectionNumber"/>
        </w:rPr>
        <w:t xml:space="preserve">1.594</w:t>
      </w:r>
      <w:r>
        <w:tab/>
      </w:r>
      <w:r>
        <w:t xml:space="preserve">Prueba de auditoría</w:t>
      </w:r>
    </w:p>
    <w:p>
      <w:pPr>
        <w:pStyle w:val="FirstParagraph"/>
      </w:pPr>
      <w:r>
        <w:t xml:space="preserve">Muestra las comunicaciones públicas asistidas por IA y verifica que la clasificación de interés público, las decisiones de divulgación, la revisión humana y la responsabilidad editorial estén documentadas y sean creíbles.</w:t>
      </w:r>
    </w:p>
    <w:bookmarkEnd w:id="637"/>
    <w:bookmarkStart w:id="638" w:name="referencias-jurídicas-primarias-35"/>
    <w:p>
      <w:pPr>
        <w:pStyle w:val="Heading2"/>
      </w:pPr>
      <w:r>
        <w:rPr>
          <w:rStyle w:val="SectionNumber"/>
        </w:rPr>
        <w:t xml:space="preserve">1.595</w:t>
      </w:r>
      <w:r>
        <w:tab/>
      </w:r>
      <w:r>
        <w:t xml:space="preserve">Referencias jurídicas primarias</w:t>
      </w:r>
    </w:p>
    <w:p>
      <w:pPr>
        <w:numPr>
          <w:ilvl w:val="0"/>
          <w:numId w:val="1168"/>
        </w:numPr>
        <w:pStyle w:val="Compact"/>
      </w:pPr>
      <w:r>
        <w:t xml:space="preserve">Reglamento (UE) 2024/1689, modificado: artículo 50, apartado 4.</w:t>
      </w:r>
    </w:p>
    <w:p>
      <w:pPr>
        <w:numPr>
          <w:ilvl w:val="0"/>
          <w:numId w:val="1168"/>
        </w:numPr>
        <w:pStyle w:val="Compact"/>
      </w:pPr>
      <w:r>
        <w:t xml:space="preserve">Directrices de transparencia del artículo 50 de la Comisión Europea, identificadas como orientaciones no vinculantes.</w:t>
      </w:r>
    </w:p>
    <w:bookmarkEnd w:id="638"/>
    <w:bookmarkStart w:id="639" w:name="X38164f680a0fc78c501d1b6bd5b90e4667c4331"/>
    <w:p>
      <w:pPr>
        <w:pStyle w:val="Heading2"/>
      </w:pPr>
      <w:r>
        <w:rPr>
          <w:rStyle w:val="SectionNumber"/>
        </w:rPr>
        <w:t xml:space="preserve">1.596</w:t>
      </w:r>
      <w:r>
        <w:tab/>
      </w:r>
      <w:r>
        <w:t xml:space="preserve">Capítulo 68 — Divulgación de la Emoción-Reconocimiento y de la Biometría-Categorización</w:t>
      </w:r>
    </w:p>
    <w:p>
      <w:pPr>
        <w:pStyle w:val="BlockText"/>
      </w:pPr>
      <w:r>
        <w:rPr>
          <w:bCs/>
          <w:b/>
        </w:rPr>
        <w:t xml:space="preserve">Estatus legal:</w:t>
      </w:r>
      <w:r>
        <w:t xml:space="preserve"> </w:t>
      </w:r>
      <w:r>
        <w:t xml:space="preserve">Corregido Maestro Inglés para la consolidación. Este archivo controla el lenguaje de borrador anterior del Capítulo 68.</w:t>
      </w:r>
    </w:p>
    <w:bookmarkEnd w:id="639"/>
    <w:bookmarkStart w:id="640" w:name="requisito-66"/>
    <w:p>
      <w:pPr>
        <w:pStyle w:val="Heading2"/>
      </w:pPr>
      <w:r>
        <w:rPr>
          <w:rStyle w:val="SectionNumber"/>
        </w:rPr>
        <w:t xml:space="preserve">1.597</w:t>
      </w:r>
      <w:r>
        <w:tab/>
      </w:r>
      <w:r>
        <w:t xml:space="preserve">Requisito</w:t>
      </w:r>
    </w:p>
    <w:p>
      <w:pPr>
        <w:pStyle w:val="FirstParagraph"/>
      </w:pPr>
      <w:r>
        <w:t xml:space="preserve">Los usuarios de sistemas de reconocimiento de emociones o de clasificación biométrica deberán informar a las personas físicas expuestas del funcionamiento del sistema y tratar los datos personales de conformidad con la legislación aplicable de protección de datos de la Unión. Este deber de transparencia no legaliza un uso prohibido en virtud del artículo 5 ni ilegal de otro modo.</w:t>
      </w:r>
    </w:p>
    <w:bookmarkEnd w:id="640"/>
    <w:bookmarkStart w:id="641" w:name="explicación-en-lenguaje-sencillo-63"/>
    <w:p>
      <w:pPr>
        <w:pStyle w:val="Heading2"/>
      </w:pPr>
      <w:r>
        <w:rPr>
          <w:rStyle w:val="SectionNumber"/>
        </w:rPr>
        <w:t xml:space="preserve">1.598</w:t>
      </w:r>
      <w:r>
        <w:tab/>
      </w:r>
      <w:r>
        <w:t xml:space="preserve">Explicación en lenguaje sencillo</w:t>
      </w:r>
    </w:p>
    <w:p>
      <w:pPr>
        <w:pStyle w:val="FirstParagraph"/>
      </w:pPr>
      <w:r>
        <w:t xml:space="preserve">Una notificación es necesaria cuando se aplica el párrafo 3 del artículo 50, pero la notificación por sí sola no es suficiente.La organización debe determinar primero si el uso está prohibido, de alto riesgo o restringido por la protección de datos, el empleo, la igualdad, el consumidor o la legislación sectorial.</w:t>
      </w:r>
    </w:p>
    <w:bookmarkEnd w:id="641"/>
    <w:bookmarkStart w:id="642" w:name="ejemplo-de-globalway-61"/>
    <w:p>
      <w:pPr>
        <w:pStyle w:val="Heading2"/>
      </w:pPr>
      <w:r>
        <w:rPr>
          <w:rStyle w:val="SectionNumber"/>
        </w:rPr>
        <w:t xml:space="preserve">1.599</w:t>
      </w:r>
      <w:r>
        <w:tab/>
      </w:r>
      <w:r>
        <w:t xml:space="preserve">Ejemplo de GlobalWay</w:t>
      </w:r>
    </w:p>
    <w:p>
      <w:pPr>
        <w:pStyle w:val="FirstParagraph"/>
      </w:pPr>
      <w:r>
        <w:t xml:space="preserve">GlobalWay considera utilizar una herramienta de reconocimiento de emociones durante la formación de los empleados. La propuesta se examina primero en contra de la prohibición del lugar de trabajo. Debido a que el uso previsto no se ajusta a una excepción médica o de seguridad documentada, se rechaza en lugar de tratarla como admisible simplemente porque un aviso podría ser mostrado.</w:t>
      </w:r>
    </w:p>
    <w:bookmarkEnd w:id="642"/>
    <w:bookmarkStart w:id="643" w:name="actividad-de-control-62"/>
    <w:p>
      <w:pPr>
        <w:pStyle w:val="Heading2"/>
      </w:pPr>
      <w:r>
        <w:rPr>
          <w:rStyle w:val="SectionNumber"/>
        </w:rPr>
        <w:t xml:space="preserve">1.600</w:t>
      </w:r>
      <w:r>
        <w:tab/>
      </w:r>
      <w:r>
        <w:t xml:space="preserve">Actividad de control</w:t>
      </w:r>
    </w:p>
    <w:p>
      <w:pPr>
        <w:pStyle w:val="FirstParagraph"/>
      </w:pPr>
      <w:r>
        <w:t xml:space="preserve">El implementador debe completar el análisis de prácticas prohibidas, análisis de bases legales, revisión de protección de datos y diseño de transparencia antes del despliegue. Las notificaciones deben explicar el funcionamiento del sistema en términos claros y accesibles y deben ser proporcionadas antes de la exposición cuando sea factible.</w:t>
      </w:r>
    </w:p>
    <w:bookmarkEnd w:id="643"/>
    <w:bookmarkStart w:id="644" w:name="pruebas-67"/>
    <w:p>
      <w:pPr>
        <w:pStyle w:val="Heading2"/>
      </w:pPr>
      <w:r>
        <w:rPr>
          <w:rStyle w:val="SectionNumber"/>
        </w:rPr>
        <w:t xml:space="preserve">1.601</w:t>
      </w:r>
      <w:r>
        <w:tab/>
      </w:r>
      <w:r>
        <w:t xml:space="preserve">Pruebas</w:t>
      </w:r>
    </w:p>
    <w:p>
      <w:pPr>
        <w:numPr>
          <w:ilvl w:val="0"/>
          <w:numId w:val="1169"/>
        </w:numPr>
        <w:pStyle w:val="Compact"/>
      </w:pPr>
      <w:r>
        <w:t xml:space="preserve">evaluación de prácticas prohibidas;</w:t>
      </w:r>
    </w:p>
    <w:p>
      <w:pPr>
        <w:numPr>
          <w:ilvl w:val="0"/>
          <w:numId w:val="1169"/>
        </w:numPr>
        <w:pStyle w:val="Compact"/>
      </w:pPr>
      <w:r>
        <w:t xml:space="preserve">análisis de la finalidad y la base jurídica;</w:t>
      </w:r>
    </w:p>
    <w:p>
      <w:pPr>
        <w:numPr>
          <w:ilvl w:val="0"/>
          <w:numId w:val="1169"/>
        </w:numPr>
        <w:pStyle w:val="Compact"/>
      </w:pPr>
      <w:r>
        <w:t xml:space="preserve">DPIA o evaluación de la privacidad;</w:t>
      </w:r>
    </w:p>
    <w:p>
      <w:pPr>
        <w:numPr>
          <w:ilvl w:val="0"/>
          <w:numId w:val="1169"/>
        </w:numPr>
        <w:pStyle w:val="Compact"/>
      </w:pPr>
      <w:r>
        <w:t xml:space="preserve">notificación aprobada;</w:t>
      </w:r>
    </w:p>
    <w:p>
      <w:pPr>
        <w:numPr>
          <w:ilvl w:val="0"/>
          <w:numId w:val="1169"/>
        </w:numPr>
        <w:pStyle w:val="Compact"/>
      </w:pPr>
      <w:r>
        <w:t xml:space="preserve">pruebas de accesibilidad y localización;</w:t>
      </w:r>
    </w:p>
    <w:p>
      <w:pPr>
        <w:numPr>
          <w:ilvl w:val="0"/>
          <w:numId w:val="1169"/>
        </w:numPr>
        <w:pStyle w:val="Compact"/>
      </w:pPr>
      <w:r>
        <w:t xml:space="preserve">los registros de despliegue y vigilancia.</w:t>
      </w:r>
    </w:p>
    <w:bookmarkEnd w:id="644"/>
    <w:bookmarkStart w:id="645" w:name="prueba-de-auditoría-63"/>
    <w:p>
      <w:pPr>
        <w:pStyle w:val="Heading2"/>
      </w:pPr>
      <w:r>
        <w:rPr>
          <w:rStyle w:val="SectionNumber"/>
        </w:rPr>
        <w:t xml:space="preserve">1.602</w:t>
      </w:r>
      <w:r>
        <w:tab/>
      </w:r>
      <w:r>
        <w:t xml:space="preserve">Prueba de auditoría</w:t>
      </w:r>
    </w:p>
    <w:p>
      <w:pPr>
        <w:pStyle w:val="FirstParagraph"/>
      </w:pPr>
      <w:r>
        <w:t xml:space="preserve">Ejemplo de reconocimiento de emociones y uso de la categorización biométrica y verificar que se estableció la legalidad antes del diseño de la divulgación, los avisos fueron oportunos y comprensibles, y se implementaron controles de datos personales.</w:t>
      </w:r>
    </w:p>
    <w:bookmarkEnd w:id="645"/>
    <w:bookmarkStart w:id="646" w:name="referencias-jurídicas-primarias-36"/>
    <w:p>
      <w:pPr>
        <w:pStyle w:val="Heading2"/>
      </w:pPr>
      <w:r>
        <w:rPr>
          <w:rStyle w:val="SectionNumber"/>
        </w:rPr>
        <w:t xml:space="preserve">1.603</w:t>
      </w:r>
      <w:r>
        <w:tab/>
      </w:r>
      <w:r>
        <w:t xml:space="preserve">Referencias jurídicas primarias</w:t>
      </w:r>
    </w:p>
    <w:p>
      <w:pPr>
        <w:numPr>
          <w:ilvl w:val="0"/>
          <w:numId w:val="1170"/>
        </w:numPr>
        <w:pStyle w:val="Compact"/>
      </w:pPr>
      <w:r>
        <w:t xml:space="preserve">Reglamento (UE) 2024/1689, modificado: artículo 5 y artículo 50, apartado 3.</w:t>
      </w:r>
    </w:p>
    <w:p>
      <w:pPr>
        <w:numPr>
          <w:ilvl w:val="0"/>
          <w:numId w:val="1170"/>
        </w:numPr>
        <w:pStyle w:val="Compact"/>
      </w:pPr>
      <w:r>
        <w:t xml:space="preserve">RGPD y otra legislación aplicable de la Unión o de los Estados miembros.</w:t>
      </w:r>
    </w:p>
    <w:p>
      <w:pPr>
        <w:numPr>
          <w:ilvl w:val="0"/>
          <w:numId w:val="1170"/>
        </w:numPr>
        <w:pStyle w:val="Compact"/>
      </w:pPr>
      <w:r>
        <w:t xml:space="preserve">Directrices de transparencia del artículo 50 de la Comisión Europea, identificadas como orientaciones no vinculantes.</w:t>
      </w:r>
    </w:p>
    <w:bookmarkEnd w:id="646"/>
    <w:bookmarkStart w:id="647" w:name="X56cdb687bcd29e195478feadaf9f660cee3202d"/>
    <w:p>
      <w:pPr>
        <w:pStyle w:val="Heading2"/>
      </w:pPr>
      <w:r>
        <w:rPr>
          <w:rStyle w:val="SectionNumber"/>
        </w:rPr>
        <w:t xml:space="preserve">1.604</w:t>
      </w:r>
      <w:r>
        <w:tab/>
      </w:r>
      <w:r>
        <w:t xml:space="preserve">Capítulo 69 — Accesibilidad y avisos comprensibles</w:t>
      </w:r>
    </w:p>
    <w:p>
      <w:pPr>
        <w:pStyle w:val="BlockText"/>
      </w:pPr>
      <w:r>
        <w:rPr>
          <w:bCs/>
          <w:b/>
        </w:rPr>
        <w:t xml:space="preserve">Estatus legal:</w:t>
      </w:r>
      <w:r>
        <w:t xml:space="preserve"> </w:t>
      </w:r>
      <w:r>
        <w:t xml:space="preserve">Corregido Maestro Inglés para la consolidación. Este archivo controla el lenguaje de borrador anterior del Capítulo 69.</w:t>
      </w:r>
    </w:p>
    <w:bookmarkEnd w:id="647"/>
    <w:bookmarkStart w:id="648" w:name="requisito-67"/>
    <w:p>
      <w:pPr>
        <w:pStyle w:val="Heading2"/>
      </w:pPr>
      <w:r>
        <w:rPr>
          <w:rStyle w:val="SectionNumber"/>
        </w:rPr>
        <w:t xml:space="preserve">1.605</w:t>
      </w:r>
      <w:r>
        <w:tab/>
      </w:r>
      <w:r>
        <w:t xml:space="preserve">Requisito</w:t>
      </w:r>
    </w:p>
    <w:p>
      <w:pPr>
        <w:pStyle w:val="FirstParagraph"/>
      </w:pPr>
      <w:r>
        <w:t xml:space="preserve">Los avisos de transparencia exigidos por la Ley de IA deben proporcionarse de manera clara y distinguible y, cuando proceda, a más tardar en la primera interacción o exposición. Las organizaciones también deben cumplir con los requisitos aplicables de accesibilidad, protección del consumidor, igualdad y lenguaje.</w:t>
      </w:r>
    </w:p>
    <w:bookmarkEnd w:id="648"/>
    <w:bookmarkStart w:id="649" w:name="explicación-en-lenguaje-sencillo-64"/>
    <w:p>
      <w:pPr>
        <w:pStyle w:val="Heading2"/>
      </w:pPr>
      <w:r>
        <w:rPr>
          <w:rStyle w:val="SectionNumber"/>
        </w:rPr>
        <w:t xml:space="preserve">1.606</w:t>
      </w:r>
      <w:r>
        <w:tab/>
      </w:r>
      <w:r>
        <w:t xml:space="preserve">Explicación en lenguaje sencillo</w:t>
      </w:r>
    </w:p>
    <w:p>
      <w:pPr>
        <w:pStyle w:val="FirstParagraph"/>
      </w:pPr>
      <w:r>
        <w:t xml:space="preserve">Un aviso presente técnicamente todavía puede fallar si está oculto, ilegible, mal cronometrado, inaccesible, o escrito en el lenguaje que el público previsto no puede entender.</w:t>
      </w:r>
    </w:p>
    <w:bookmarkEnd w:id="649"/>
    <w:bookmarkStart w:id="650" w:name="ejemplo-de-globalway-62"/>
    <w:p>
      <w:pPr>
        <w:pStyle w:val="Heading2"/>
      </w:pPr>
      <w:r>
        <w:rPr>
          <w:rStyle w:val="SectionNumber"/>
        </w:rPr>
        <w:t xml:space="preserve">1.607</w:t>
      </w:r>
      <w:r>
        <w:tab/>
      </w:r>
      <w:r>
        <w:t xml:space="preserve">Ejemplo de GlobalWay</w:t>
      </w:r>
    </w:p>
    <w:p>
      <w:pPr>
        <w:pStyle w:val="FirstParagraph"/>
      </w:pPr>
      <w:r>
        <w:t xml:space="preserve">GlobalWay prueba las revelaciones de IA para la compatibilidad entre lectores de pantalla, navegación por teclado, contraste, presentación móvil, lenguaje sencillo y lenguajes compatibles con el viajero.</w:t>
      </w:r>
    </w:p>
    <w:bookmarkEnd w:id="650"/>
    <w:bookmarkStart w:id="651" w:name="actividad-de-control-63"/>
    <w:p>
      <w:pPr>
        <w:pStyle w:val="Heading2"/>
      </w:pPr>
      <w:r>
        <w:rPr>
          <w:rStyle w:val="SectionNumber"/>
        </w:rPr>
        <w:t xml:space="preserve">1.608</w:t>
      </w:r>
      <w:r>
        <w:tab/>
      </w:r>
      <w:r>
        <w:t xml:space="preserve">Actividad de control</w:t>
      </w:r>
    </w:p>
    <w:p>
      <w:pPr>
        <w:pStyle w:val="FirstParagraph"/>
      </w:pPr>
      <w:r>
        <w:t xml:space="preserve">El propietario del aviso debe aplicar un estándar documentado de accesibilidad y comprensión, probar avisos con canales representativos y usuarios, y reparar fallos antes de la liberación.</w:t>
      </w:r>
    </w:p>
    <w:bookmarkEnd w:id="651"/>
    <w:bookmarkStart w:id="652" w:name="pruebas-68"/>
    <w:p>
      <w:pPr>
        <w:pStyle w:val="Heading2"/>
      </w:pPr>
      <w:r>
        <w:rPr>
          <w:rStyle w:val="SectionNumber"/>
        </w:rPr>
        <w:t xml:space="preserve">1.609</w:t>
      </w:r>
      <w:r>
        <w:tab/>
      </w:r>
      <w:r>
        <w:t xml:space="preserve">Pruebas</w:t>
      </w:r>
    </w:p>
    <w:p>
      <w:pPr>
        <w:numPr>
          <w:ilvl w:val="0"/>
          <w:numId w:val="1171"/>
        </w:numPr>
        <w:pStyle w:val="Compact"/>
      </w:pPr>
      <w:r>
        <w:t xml:space="preserve">la norma de notificación aprobada;</w:t>
      </w:r>
    </w:p>
    <w:p>
      <w:pPr>
        <w:numPr>
          <w:ilvl w:val="0"/>
          <w:numId w:val="1171"/>
        </w:numPr>
        <w:pStyle w:val="Compact"/>
      </w:pPr>
      <w:r>
        <w:t xml:space="preserve">los resultados de los ensayos de accesibilidad;</w:t>
      </w:r>
    </w:p>
    <w:p>
      <w:pPr>
        <w:numPr>
          <w:ilvl w:val="0"/>
          <w:numId w:val="1171"/>
        </w:numPr>
        <w:pStyle w:val="Compact"/>
      </w:pPr>
      <w:r>
        <w:t xml:space="preserve">revisión de la legibilidad y comprensión;</w:t>
      </w:r>
    </w:p>
    <w:p>
      <w:pPr>
        <w:numPr>
          <w:ilvl w:val="0"/>
          <w:numId w:val="1171"/>
        </w:numPr>
        <w:pStyle w:val="Compact"/>
      </w:pPr>
      <w:r>
        <w:t xml:space="preserve">registros de localización;</w:t>
      </w:r>
    </w:p>
    <w:p>
      <w:pPr>
        <w:numPr>
          <w:ilvl w:val="0"/>
          <w:numId w:val="1171"/>
        </w:numPr>
        <w:pStyle w:val="Compact"/>
      </w:pPr>
      <w:r>
        <w:t xml:space="preserve">capturas de pantalla y grabaciones de interacción;</w:t>
      </w:r>
    </w:p>
    <w:p>
      <w:pPr>
        <w:numPr>
          <w:ilvl w:val="0"/>
          <w:numId w:val="1171"/>
        </w:numPr>
        <w:pStyle w:val="Compact"/>
      </w:pPr>
      <w:r>
        <w:t xml:space="preserve">defecto y la historia de la rehabilitación.</w:t>
      </w:r>
    </w:p>
    <w:bookmarkEnd w:id="652"/>
    <w:bookmarkStart w:id="653" w:name="prueba-de-auditoría-64"/>
    <w:p>
      <w:pPr>
        <w:pStyle w:val="Heading2"/>
      </w:pPr>
      <w:r>
        <w:rPr>
          <w:rStyle w:val="SectionNumber"/>
        </w:rPr>
        <w:t xml:space="preserve">1.610</w:t>
      </w:r>
      <w:r>
        <w:tab/>
      </w:r>
      <w:r>
        <w:t xml:space="preserve">Prueba de auditoría</w:t>
      </w:r>
    </w:p>
    <w:p>
      <w:pPr>
        <w:pStyle w:val="FirstParagraph"/>
      </w:pPr>
      <w:r>
        <w:t xml:space="preserve">Inspeccione los avisos representativos a través de los canales y verifique el tiempo, la prominencia, la accesibilidad, la calidad del lenguaje y la coherencia con la función de IA real.</w:t>
      </w:r>
    </w:p>
    <w:bookmarkEnd w:id="653"/>
    <w:bookmarkStart w:id="654" w:name="referencias-jurídicas-primarias-37"/>
    <w:p>
      <w:pPr>
        <w:pStyle w:val="Heading2"/>
      </w:pPr>
      <w:r>
        <w:rPr>
          <w:rStyle w:val="SectionNumber"/>
        </w:rPr>
        <w:t xml:space="preserve">1.611</w:t>
      </w:r>
      <w:r>
        <w:tab/>
      </w:r>
      <w:r>
        <w:t xml:space="preserve">Referencias jurídicas primarias</w:t>
      </w:r>
    </w:p>
    <w:p>
      <w:pPr>
        <w:numPr>
          <w:ilvl w:val="0"/>
          <w:numId w:val="1172"/>
        </w:numPr>
        <w:pStyle w:val="Compact"/>
      </w:pPr>
      <w:r>
        <w:t xml:space="preserve">Reglamento (UE) 2024/1689, modificado: artículo 50, apartado 5, y artículo 50, derechos aplicables.</w:t>
      </w:r>
    </w:p>
    <w:p>
      <w:pPr>
        <w:numPr>
          <w:ilvl w:val="0"/>
          <w:numId w:val="1172"/>
        </w:numPr>
        <w:pStyle w:val="Compact"/>
      </w:pPr>
      <w:r>
        <w:t xml:space="preserve">Legislación aplicable sobre accesibilidad, igualdad y protección de los consumidores.</w:t>
      </w:r>
    </w:p>
    <w:p>
      <w:pPr>
        <w:numPr>
          <w:ilvl w:val="0"/>
          <w:numId w:val="1172"/>
        </w:numPr>
        <w:pStyle w:val="Compact"/>
      </w:pPr>
      <w:r>
        <w:t xml:space="preserve">Directrices de transparencia del artículo 50 de la Comisión Europea, identificadas como orientaciones no vinculantes.</w:t>
      </w:r>
    </w:p>
    <w:bookmarkEnd w:id="654"/>
    <w:bookmarkStart w:id="655" w:name="Xae1f31023627aea68f247ba5c47e6f50e3f096d"/>
    <w:p>
      <w:pPr>
        <w:pStyle w:val="Heading2"/>
      </w:pPr>
      <w:r>
        <w:rPr>
          <w:rStyle w:val="SectionNumber"/>
        </w:rPr>
        <w:t xml:space="preserve">1.612</w:t>
      </w:r>
      <w:r>
        <w:tab/>
      </w:r>
      <w:r>
        <w:t xml:space="preserve">Capítulo 70 — Ensayos y seguimiento de la transparencia</w:t>
      </w:r>
    </w:p>
    <w:p>
      <w:pPr>
        <w:pStyle w:val="BlockText"/>
      </w:pPr>
      <w:r>
        <w:rPr>
          <w:bCs/>
          <w:b/>
        </w:rPr>
        <w:t xml:space="preserve">Estatus legal:</w:t>
      </w:r>
      <w:r>
        <w:t xml:space="preserve"> </w:t>
      </w:r>
      <w:r>
        <w:t xml:space="preserve">Corregido Maestro Inglés para la consolidación. Este archivo controla el lenguaje de borrador anterior del Capítulo 70 en conflicto.</w:t>
      </w:r>
    </w:p>
    <w:bookmarkEnd w:id="655"/>
    <w:bookmarkStart w:id="656" w:name="requisito-68"/>
    <w:p>
      <w:pPr>
        <w:pStyle w:val="Heading2"/>
      </w:pPr>
      <w:r>
        <w:rPr>
          <w:rStyle w:val="SectionNumber"/>
        </w:rPr>
        <w:t xml:space="preserve">1.613</w:t>
      </w:r>
      <w:r>
        <w:tab/>
      </w:r>
      <w:r>
        <w:t xml:space="preserve">Requisito</w:t>
      </w:r>
    </w:p>
    <w:p>
      <w:pPr>
        <w:pStyle w:val="FirstParagraph"/>
      </w:pPr>
      <w:r>
        <w:t xml:space="preserve">Las organizaciones deben probar y supervisar las medidas de transparencia requeridas durante todo el ciclo de vida para confirmar que las revelaciones, etiquetas y marcas legibles por máquina siguen siendo precisas, oportunas, accesibles y efectivas después de cambios en el sistema, interfaz, flujo de trabajo de contenido, idioma, canal o dependencia del proveedor.</w:t>
      </w:r>
    </w:p>
    <w:bookmarkEnd w:id="656"/>
    <w:bookmarkStart w:id="657" w:name="explicación-en-lenguaje-sencillo-65"/>
    <w:p>
      <w:pPr>
        <w:pStyle w:val="Heading2"/>
      </w:pPr>
      <w:r>
        <w:rPr>
          <w:rStyle w:val="SectionNumber"/>
        </w:rPr>
        <w:t xml:space="preserve">1.614</w:t>
      </w:r>
      <w:r>
        <w:tab/>
      </w:r>
      <w:r>
        <w:t xml:space="preserve">Explicación en lenguaje sencillo</w:t>
      </w:r>
    </w:p>
    <w:p>
      <w:pPr>
        <w:pStyle w:val="FirstParagraph"/>
      </w:pPr>
      <w:r>
        <w:t xml:space="preserve">Una revelación puede degradarse después del lanzamiento. Los rediseños de interfaz pueden ocultar avisos, las herramientas de exportación pueden eliminar metadatos de procedencia, las traducciones pueden cambiar el significado y las integraciones posteriores pueden eludir las etiquetas requeridas.</w:t>
      </w:r>
    </w:p>
    <w:bookmarkEnd w:id="657"/>
    <w:bookmarkStart w:id="658" w:name="ejemplo-de-globalway-63"/>
    <w:p>
      <w:pPr>
        <w:pStyle w:val="Heading2"/>
      </w:pPr>
      <w:r>
        <w:rPr>
          <w:rStyle w:val="SectionNumber"/>
        </w:rPr>
        <w:t xml:space="preserve">1.615</w:t>
      </w:r>
      <w:r>
        <w:tab/>
      </w:r>
      <w:r>
        <w:t xml:space="preserve">Ejemplo de GlobalWay</w:t>
      </w:r>
    </w:p>
    <w:p>
      <w:pPr>
        <w:pStyle w:val="FirstParagraph"/>
      </w:pPr>
      <w:r>
        <w:t xml:space="preserve">GlobalWay realiza pruebas de lanzamiento y monitoreo trimestral en su chatbot, generador de itinerarios, flujo de trabajo de contenido de marketing y boletines de viajes públicos. Las fallas crean defectos de seguimiento y pueden bloquear la publicación o desencadenar un retroceso.</w:t>
      </w:r>
    </w:p>
    <w:bookmarkEnd w:id="658"/>
    <w:bookmarkStart w:id="659" w:name="actividad-de-control-64"/>
    <w:p>
      <w:pPr>
        <w:pStyle w:val="Heading2"/>
      </w:pPr>
      <w:r>
        <w:rPr>
          <w:rStyle w:val="SectionNumber"/>
        </w:rPr>
        <w:t xml:space="preserve">1.616</w:t>
      </w:r>
      <w:r>
        <w:tab/>
      </w:r>
      <w:r>
        <w:t xml:space="preserve">Actividad de control</w:t>
      </w:r>
    </w:p>
    <w:p>
      <w:pPr>
        <w:pStyle w:val="FirstParagraph"/>
      </w:pPr>
      <w:r>
        <w:t xml:space="preserve">El propietario del control debe definir los casos de prueba, muestreo, criterios de éxito, umbrales de escalada y desencadenantes de reprueba para cada obligación del artículo 50. Los fallos materiales deben conducir a la contención, corrección, preservación de pruebas y evaluación reglamentaria cuando proceda.</w:t>
      </w:r>
    </w:p>
    <w:bookmarkEnd w:id="659"/>
    <w:bookmarkStart w:id="660" w:name="pruebas-69"/>
    <w:p>
      <w:pPr>
        <w:pStyle w:val="Heading2"/>
      </w:pPr>
      <w:r>
        <w:rPr>
          <w:rStyle w:val="SectionNumber"/>
        </w:rPr>
        <w:t xml:space="preserve">1.617</w:t>
      </w:r>
      <w:r>
        <w:tab/>
      </w:r>
      <w:r>
        <w:t xml:space="preserve">Pruebas</w:t>
      </w:r>
    </w:p>
    <w:p>
      <w:pPr>
        <w:numPr>
          <w:ilvl w:val="0"/>
          <w:numId w:val="1173"/>
        </w:numPr>
        <w:pStyle w:val="Compact"/>
      </w:pPr>
      <w:r>
        <w:t xml:space="preserve">el plan de ensayo de divulgación y marcado;</w:t>
      </w:r>
    </w:p>
    <w:p>
      <w:pPr>
        <w:numPr>
          <w:ilvl w:val="0"/>
          <w:numId w:val="1173"/>
        </w:numPr>
        <w:pStyle w:val="Compact"/>
      </w:pPr>
      <w:r>
        <w:t xml:space="preserve">resultados de ensayos automatizados y manuales;</w:t>
      </w:r>
    </w:p>
    <w:p>
      <w:pPr>
        <w:numPr>
          <w:ilvl w:val="0"/>
          <w:numId w:val="1173"/>
        </w:numPr>
        <w:pStyle w:val="Compact"/>
      </w:pPr>
      <w:r>
        <w:t xml:space="preserve">cobertura de canales e idiomas;</w:t>
      </w:r>
    </w:p>
    <w:p>
      <w:pPr>
        <w:numPr>
          <w:ilvl w:val="0"/>
          <w:numId w:val="1173"/>
        </w:numPr>
        <w:pStyle w:val="Compact"/>
      </w:pPr>
      <w:r>
        <w:t xml:space="preserve">pruebas de preservación de la procedencia;</w:t>
      </w:r>
    </w:p>
    <w:p>
      <w:pPr>
        <w:numPr>
          <w:ilvl w:val="0"/>
          <w:numId w:val="1173"/>
        </w:numPr>
        <w:pStyle w:val="Compact"/>
      </w:pPr>
      <w:r>
        <w:t xml:space="preserve">el seguimiento de las métricas y las quejas;</w:t>
      </w:r>
    </w:p>
    <w:p>
      <w:pPr>
        <w:numPr>
          <w:ilvl w:val="0"/>
          <w:numId w:val="1173"/>
        </w:numPr>
        <w:pStyle w:val="Compact"/>
      </w:pPr>
      <w:r>
        <w:t xml:space="preserve">defectos, medidas correctivas y pruebas de reprueba;</w:t>
      </w:r>
    </w:p>
    <w:p>
      <w:pPr>
        <w:numPr>
          <w:ilvl w:val="0"/>
          <w:numId w:val="1173"/>
        </w:numPr>
        <w:pStyle w:val="Compact"/>
      </w:pPr>
      <w:r>
        <w:t xml:space="preserve">relación entre el cambio y la gestión.</w:t>
      </w:r>
    </w:p>
    <w:bookmarkEnd w:id="660"/>
    <w:bookmarkStart w:id="661" w:name="prueba-de-auditoría-65"/>
    <w:p>
      <w:pPr>
        <w:pStyle w:val="Heading2"/>
      </w:pPr>
      <w:r>
        <w:rPr>
          <w:rStyle w:val="SectionNumber"/>
        </w:rPr>
        <w:t xml:space="preserve">1.618</w:t>
      </w:r>
      <w:r>
        <w:tab/>
      </w:r>
      <w:r>
        <w:t xml:space="preserve">Prueba de auditoría</w:t>
      </w:r>
    </w:p>
    <w:p>
      <w:pPr>
        <w:pStyle w:val="FirstParagraph"/>
      </w:pPr>
      <w:r>
        <w:t xml:space="preserve">Seleccione controles representativos de transparencia y verifique que las pruebas cubren el flujo de trabajo de producción real, los fallos se detectan y remedian, y los cambios desencadenan reevaluación y pruebas de regresión.</w:t>
      </w:r>
    </w:p>
    <w:bookmarkEnd w:id="661"/>
    <w:bookmarkStart w:id="662" w:name="control-de-la-fecha-efectiva-2"/>
    <w:p>
      <w:pPr>
        <w:pStyle w:val="Heading2"/>
      </w:pPr>
      <w:r>
        <w:rPr>
          <w:rStyle w:val="SectionNumber"/>
        </w:rPr>
        <w:t xml:space="preserve">1.619</w:t>
      </w:r>
      <w:r>
        <w:tab/>
      </w:r>
      <w:r>
        <w:t xml:space="preserve">Control de la fecha efectiva</w:t>
      </w:r>
    </w:p>
    <w:p>
      <w:pPr>
        <w:pStyle w:val="FirstParagraph"/>
      </w:pPr>
      <w:r>
        <w:t xml:space="preserve">El artículo 50 se aplica a partir del 2 de agosto de 2026, a reserva de la transición limitada que concluye el 2 de diciembre de 2026 para los sistemas preexistentes admisibles con arreglo al artículo 50, apartado 2.</w:t>
      </w:r>
    </w:p>
    <w:bookmarkEnd w:id="662"/>
    <w:bookmarkStart w:id="663" w:name="referencias-jurídicas-primarias-38"/>
    <w:p>
      <w:pPr>
        <w:pStyle w:val="Heading2"/>
      </w:pPr>
      <w:r>
        <w:rPr>
          <w:rStyle w:val="SectionNumber"/>
        </w:rPr>
        <w:t xml:space="preserve">1.620</w:t>
      </w:r>
      <w:r>
        <w:tab/>
      </w:r>
      <w:r>
        <w:t xml:space="preserve">Referencias jurídicas primarias</w:t>
      </w:r>
    </w:p>
    <w:p>
      <w:pPr>
        <w:numPr>
          <w:ilvl w:val="0"/>
          <w:numId w:val="1174"/>
        </w:numPr>
        <w:pStyle w:val="Compact"/>
      </w:pPr>
      <w:r>
        <w:t xml:space="preserve">Reglamento (UE) 2024/1689, modificado: artículo 50.</w:t>
      </w:r>
    </w:p>
    <w:p>
      <w:pPr>
        <w:numPr>
          <w:ilvl w:val="0"/>
          <w:numId w:val="1174"/>
        </w:numPr>
        <w:pStyle w:val="Compact"/>
      </w:pPr>
      <w:r>
        <w:t xml:space="preserve">Reglamento (UE) 2026/1744 disposiciones transitorias.</w:t>
      </w:r>
    </w:p>
    <w:p>
      <w:pPr>
        <w:numPr>
          <w:ilvl w:val="0"/>
          <w:numId w:val="1174"/>
        </w:numPr>
        <w:pStyle w:val="Compact"/>
      </w:pPr>
      <w:r>
        <w:t xml:space="preserve">Artículo 50 de las directrices de transparencia de la Comisión Europea y código de transparencia, identificados según su estatuto jurídico.</w:t>
      </w:r>
    </w:p>
    <w:bookmarkEnd w:id="663"/>
    <w:bookmarkStart w:id="664" w:name="Xcea90cc6189d8a22f0126a5cdba05048d56cffd"/>
    <w:p>
      <w:pPr>
        <w:pStyle w:val="Heading2"/>
      </w:pPr>
      <w:r>
        <w:rPr>
          <w:rStyle w:val="SectionNumber"/>
        </w:rPr>
        <w:t xml:space="preserve">1.621</w:t>
      </w:r>
      <w:r>
        <w:tab/>
      </w:r>
      <w:r>
        <w:t xml:space="preserve">Capítulo 71 — Diligencia debida del proveedor de IA</w:t>
      </w:r>
    </w:p>
    <w:p>
      <w:pPr>
        <w:pStyle w:val="BlockText"/>
      </w:pPr>
      <w:r>
        <w:rPr>
          <w:bCs/>
          <w:b/>
        </w:rPr>
        <w:t xml:space="preserve">Estatus legal:</w:t>
      </w:r>
      <w:r>
        <w:t xml:space="preserve"> </w:t>
      </w:r>
      <w:r>
        <w:t xml:space="preserve">Corregido Maestro Inglés para la consolidación. Este archivo controla el lenguaje de borrador anterior del Capítulo 71 en conflicto.</w:t>
      </w:r>
    </w:p>
    <w:bookmarkEnd w:id="664"/>
    <w:bookmarkStart w:id="665" w:name="requisito-69"/>
    <w:p>
      <w:pPr>
        <w:pStyle w:val="Heading2"/>
      </w:pPr>
      <w:r>
        <w:rPr>
          <w:rStyle w:val="SectionNumber"/>
        </w:rPr>
        <w:t xml:space="preserve">1.622</w:t>
      </w:r>
      <w:r>
        <w:tab/>
      </w:r>
      <w:r>
        <w:t xml:space="preserve">Requisito</w:t>
      </w:r>
    </w:p>
    <w:p>
      <w:pPr>
        <w:pStyle w:val="FirstParagraph"/>
      </w:pPr>
      <w:r>
        <w:t xml:space="preserve">Las organizaciones deben realizar una diligencia debida proporcionada antes de adquirir, integrar o ampliar materialmente un sistema de IA de terceros o un modelo de IA de propósito general. La revisión debe determinar el papel legal del proveedor, el papel del cliente, las obligaciones aplicables de la Ley de IA, la disponibilidad de pruebas, las limitaciones operativas y la capacidad del proveedor para apoyar el cumplimiento durante todo el ciclo de vida.</w:t>
      </w:r>
    </w:p>
    <w:bookmarkEnd w:id="665"/>
    <w:bookmarkStart w:id="666" w:name="explicación-en-lenguaje-sencillo-66"/>
    <w:p>
      <w:pPr>
        <w:pStyle w:val="Heading2"/>
      </w:pPr>
      <w:r>
        <w:rPr>
          <w:rStyle w:val="SectionNumber"/>
        </w:rPr>
        <w:t xml:space="preserve">1.623</w:t>
      </w:r>
      <w:r>
        <w:tab/>
      </w:r>
      <w:r>
        <w:t xml:space="preserve">Explicación en lenguaje sencillo</w:t>
      </w:r>
    </w:p>
    <w:p>
      <w:pPr>
        <w:pStyle w:val="FirstParagraph"/>
      </w:pPr>
      <w:r>
        <w:t xml:space="preserve">Comprar IA no transfiere la responsabilidad del cliente. Un implementador todavía necesita suficiente información para usar el sistema de forma legal y segura, mientras que un proveedor, importador, distribuidor o fabricante de producto puede tener obligaciones adicionales. La diligencia debida debe probar las reclamaciones en lugar de confiar en material de comercialización.</w:t>
      </w:r>
    </w:p>
    <w:bookmarkEnd w:id="666"/>
    <w:bookmarkStart w:id="667" w:name="zonas-de-diligencia-debida"/>
    <w:p>
      <w:pPr>
        <w:pStyle w:val="Heading2"/>
      </w:pPr>
      <w:r>
        <w:rPr>
          <w:rStyle w:val="SectionNumber"/>
        </w:rPr>
        <w:t xml:space="preserve">1.624</w:t>
      </w:r>
      <w:r>
        <w:tab/>
      </w:r>
      <w:r>
        <w:t xml:space="preserve">Zonas de diligencia debida</w:t>
      </w:r>
    </w:p>
    <w:p>
      <w:pPr>
        <w:pStyle w:val="FirstParagraph"/>
      </w:pPr>
      <w:r>
        <w:t xml:space="preserve">Evaluar como mínimo:</w:t>
      </w:r>
    </w:p>
    <w:p>
      <w:pPr>
        <w:numPr>
          <w:ilvl w:val="0"/>
          <w:numId w:val="1175"/>
        </w:numPr>
        <w:pStyle w:val="Compact"/>
      </w:pPr>
      <w:r>
        <w:t xml:space="preserve">entidad jurídica, propiedad, jurisdicciones y función de la Ley de IA;</w:t>
      </w:r>
    </w:p>
    <w:p>
      <w:pPr>
        <w:numPr>
          <w:ilvl w:val="0"/>
          <w:numId w:val="1175"/>
        </w:numPr>
        <w:pStyle w:val="Compact"/>
      </w:pPr>
      <w:r>
        <w:t xml:space="preserve">la finalidad prevista, las restricciones de uso prohibidas y los casos de uso apoyados;</w:t>
      </w:r>
    </w:p>
    <w:p>
      <w:pPr>
        <w:numPr>
          <w:ilvl w:val="0"/>
          <w:numId w:val="1175"/>
        </w:numPr>
        <w:pStyle w:val="Compact"/>
      </w:pPr>
      <w:r>
        <w:t xml:space="preserve">alto riesgo, transparencia y clasificación del GPAI;</w:t>
      </w:r>
    </w:p>
    <w:p>
      <w:pPr>
        <w:numPr>
          <w:ilvl w:val="0"/>
          <w:numId w:val="1175"/>
        </w:numPr>
        <w:pStyle w:val="Compact"/>
      </w:pPr>
      <w:r>
        <w:t xml:space="preserve">documentación técnica, instrucciones, tarjetas de modelo o sistema, y pruebas de conformidad;</w:t>
      </w:r>
    </w:p>
    <w:p>
      <w:pPr>
        <w:numPr>
          <w:ilvl w:val="0"/>
          <w:numId w:val="1175"/>
        </w:numPr>
        <w:pStyle w:val="Compact"/>
      </w:pPr>
      <w:r>
        <w:t xml:space="preserve">procedencia de los datos, gobernanza, calidad, privacidad y controles de propiedad intelectual;</w:t>
      </w:r>
    </w:p>
    <w:p>
      <w:pPr>
        <w:numPr>
          <w:ilvl w:val="0"/>
          <w:numId w:val="1175"/>
        </w:numPr>
        <w:pStyle w:val="Compact"/>
      </w:pPr>
      <w:r>
        <w:t xml:space="preserve">precisión, robustez, ciberseguridad, sesgo, accesibilidad y capacidades de supervisión humana;</w:t>
      </w:r>
    </w:p>
    <w:p>
      <w:pPr>
        <w:numPr>
          <w:ilvl w:val="0"/>
          <w:numId w:val="1175"/>
        </w:numPr>
        <w:pStyle w:val="Compact"/>
      </w:pPr>
      <w:r>
        <w:t xml:space="preserve">la tala, el seguimiento, la notificación de incidentes, el tratamiento de la vulnerabilidad y las medidas correctivas;</w:t>
      </w:r>
    </w:p>
    <w:p>
      <w:pPr>
        <w:numPr>
          <w:ilvl w:val="0"/>
          <w:numId w:val="1175"/>
        </w:numPr>
        <w:pStyle w:val="Compact"/>
      </w:pPr>
      <w:r>
        <w:t xml:space="preserve">subcontratistas, servicios en la nube, componentes de código abierto y dependencias de concentración;</w:t>
      </w:r>
    </w:p>
    <w:p>
      <w:pPr>
        <w:numPr>
          <w:ilvl w:val="0"/>
          <w:numId w:val="1175"/>
        </w:numPr>
        <w:pStyle w:val="Compact"/>
      </w:pPr>
      <w:r>
        <w:t xml:space="preserve">cambios-notificación, auditoría, garantía, acceso a los datos, retención y derechos de salida;</w:t>
      </w:r>
    </w:p>
    <w:p>
      <w:pPr>
        <w:numPr>
          <w:ilvl w:val="0"/>
          <w:numId w:val="1175"/>
        </w:numPr>
        <w:pStyle w:val="Compact"/>
      </w:pPr>
      <w:r>
        <w:t xml:space="preserve">capacidad financiera, operativa y reguladora para apoyar el producto.</w:t>
      </w:r>
    </w:p>
    <w:bookmarkEnd w:id="667"/>
    <w:bookmarkStart w:id="668" w:name="ejemplo-de-globalway-64"/>
    <w:p>
      <w:pPr>
        <w:pStyle w:val="Heading2"/>
      </w:pPr>
      <w:r>
        <w:rPr>
          <w:rStyle w:val="SectionNumber"/>
        </w:rPr>
        <w:t xml:space="preserve">1.625</w:t>
      </w:r>
      <w:r>
        <w:tab/>
      </w:r>
      <w:r>
        <w:t xml:space="preserve">Ejemplo de GlobalWay</w:t>
      </w:r>
    </w:p>
    <w:p>
      <w:pPr>
        <w:pStyle w:val="FirstParagraph"/>
      </w:pPr>
      <w:r>
        <w:t xml:space="preserve">Antes de comprar una plataforma de contratación de IA, GlobalWay verifica la declaración de propósito previsto del proveedor, el análisis de clasificación del anexo III, las instrucciones de uso, las pruebas de subgrupos, los controles de revisión humana, el proceso de incidentes, las fuentes de datos, los subcontratistas y las obligaciones contractuales de notificación de cambios.</w:t>
      </w:r>
    </w:p>
    <w:bookmarkEnd w:id="668"/>
    <w:bookmarkStart w:id="669" w:name="actividad-de-control-65"/>
    <w:p>
      <w:pPr>
        <w:pStyle w:val="Heading2"/>
      </w:pPr>
      <w:r>
        <w:rPr>
          <w:rStyle w:val="SectionNumber"/>
        </w:rPr>
        <w:t xml:space="preserve">1.626</w:t>
      </w:r>
      <w:r>
        <w:tab/>
      </w:r>
      <w:r>
        <w:t xml:space="preserve">Actividad de control</w:t>
      </w:r>
    </w:p>
    <w:p>
      <w:pPr>
        <w:pStyle w:val="FirstParagraph"/>
      </w:pPr>
      <w:r>
        <w:t xml:space="preserve">La contratación no puede aprobar a un proveedor de IA material hasta que Legal, Compliance, Security, Privacy, y el propietario de la empresa completen una revisión documentada a nivel de riesgo y resuelvan o acepten formalmente las lagunas identificadas. La diligencia debida debe ser renovada después del cambio material, incidente, resultado de garantía adversa, acción regulatoria o renovación del contrato.</w:t>
      </w:r>
    </w:p>
    <w:bookmarkEnd w:id="669"/>
    <w:bookmarkStart w:id="670" w:name="pruebas-70"/>
    <w:p>
      <w:pPr>
        <w:pStyle w:val="Heading2"/>
      </w:pPr>
      <w:r>
        <w:rPr>
          <w:rStyle w:val="SectionNumber"/>
        </w:rPr>
        <w:t xml:space="preserve">1.627</w:t>
      </w:r>
      <w:r>
        <w:tab/>
      </w:r>
      <w:r>
        <w:t xml:space="preserve">Pruebas</w:t>
      </w:r>
    </w:p>
    <w:p>
      <w:pPr>
        <w:numPr>
          <w:ilvl w:val="0"/>
          <w:numId w:val="1176"/>
        </w:numPr>
        <w:pStyle w:val="Compact"/>
      </w:pPr>
      <w:r>
        <w:t xml:space="preserve">Cuestionario de proveedores cumplimentado;</w:t>
      </w:r>
    </w:p>
    <w:p>
      <w:pPr>
        <w:numPr>
          <w:ilvl w:val="0"/>
          <w:numId w:val="1176"/>
        </w:numPr>
        <w:pStyle w:val="Compact"/>
      </w:pPr>
      <w:r>
        <w:t xml:space="preserve">análisis de la función y la clasificación;</w:t>
      </w:r>
    </w:p>
    <w:p>
      <w:pPr>
        <w:numPr>
          <w:ilvl w:val="0"/>
          <w:numId w:val="1176"/>
        </w:numPr>
        <w:pStyle w:val="Compact"/>
      </w:pPr>
      <w:r>
        <w:t xml:space="preserve">la documentación y las certificaciones del proveedor;</w:t>
      </w:r>
    </w:p>
    <w:p>
      <w:pPr>
        <w:numPr>
          <w:ilvl w:val="0"/>
          <w:numId w:val="1176"/>
        </w:numPr>
        <w:pStyle w:val="Compact"/>
      </w:pPr>
      <w:r>
        <w:t xml:space="preserve">los informes de ensayo y de garantía;</w:t>
      </w:r>
    </w:p>
    <w:p>
      <w:pPr>
        <w:numPr>
          <w:ilvl w:val="0"/>
          <w:numId w:val="1176"/>
        </w:numPr>
        <w:pStyle w:val="Compact"/>
      </w:pPr>
      <w:r>
        <w:t xml:space="preserve">la revisión de la seguridad y la privacidad;</w:t>
      </w:r>
    </w:p>
    <w:p>
      <w:pPr>
        <w:numPr>
          <w:ilvl w:val="0"/>
          <w:numId w:val="1176"/>
        </w:numPr>
        <w:pStyle w:val="Compact"/>
      </w:pPr>
      <w:r>
        <w:t xml:space="preserve">análisis jurídico y de cumplimiento;</w:t>
      </w:r>
    </w:p>
    <w:p>
      <w:pPr>
        <w:numPr>
          <w:ilvl w:val="0"/>
          <w:numId w:val="1176"/>
        </w:numPr>
        <w:pStyle w:val="Compact"/>
      </w:pPr>
      <w:r>
        <w:t xml:space="preserve">el registro de deficiencias en la reparación o aceptación de riesgos;</w:t>
      </w:r>
    </w:p>
    <w:p>
      <w:pPr>
        <w:numPr>
          <w:ilvl w:val="0"/>
          <w:numId w:val="1176"/>
        </w:numPr>
        <w:pStyle w:val="Compact"/>
      </w:pPr>
      <w:r>
        <w:t xml:space="preserve">aprobación y historial de reevaluación.</w:t>
      </w:r>
    </w:p>
    <w:bookmarkEnd w:id="670"/>
    <w:bookmarkStart w:id="671" w:name="prueba-de-auditoría-66"/>
    <w:p>
      <w:pPr>
        <w:pStyle w:val="Heading2"/>
      </w:pPr>
      <w:r>
        <w:rPr>
          <w:rStyle w:val="SectionNumber"/>
        </w:rPr>
        <w:t xml:space="preserve">1.628</w:t>
      </w:r>
      <w:r>
        <w:tab/>
      </w:r>
      <w:r>
        <w:t xml:space="preserve">Prueba de auditoría</w:t>
      </w:r>
    </w:p>
    <w:p>
      <w:pPr>
        <w:pStyle w:val="FirstParagraph"/>
      </w:pPr>
      <w:r>
        <w:t xml:space="preserve">Seleccione una muestra de proveedores de IA. Confirme que la diligencia debida precedió al uso, abordó la función real del proveedor y la clasificación del sistema, probó las reclamaciones clave con pruebas, documentó las lagunas no resueltas y se refrescó después de los desencadenantes pertinentes.</w:t>
      </w:r>
    </w:p>
    <w:bookmarkEnd w:id="671"/>
    <w:bookmarkStart w:id="672" w:name="referencias-jurídicas-primarias-39"/>
    <w:p>
      <w:pPr>
        <w:pStyle w:val="Heading2"/>
      </w:pPr>
      <w:r>
        <w:rPr>
          <w:rStyle w:val="SectionNumber"/>
        </w:rPr>
        <w:t xml:space="preserve">1.629</w:t>
      </w:r>
      <w:r>
        <w:tab/>
      </w:r>
      <w:r>
        <w:t xml:space="preserve">Referencias jurídicas primarias</w:t>
      </w:r>
    </w:p>
    <w:p>
      <w:pPr>
        <w:numPr>
          <w:ilvl w:val="0"/>
          <w:numId w:val="1177"/>
        </w:numPr>
        <w:pStyle w:val="Compact"/>
      </w:pPr>
      <w:r>
        <w:t xml:space="preserve">Reglamento (UE) 2024/1689, en su versión modificada: proveedor, desplieguer, importador, distribuidor, fabricante de productos, alto riesgo, GPAI, transparencia y disposiciones de la cadena de suministro aplicables.</w:t>
      </w:r>
    </w:p>
    <w:p>
      <w:pPr>
        <w:numPr>
          <w:ilvl w:val="0"/>
          <w:numId w:val="1177"/>
        </w:numPr>
        <w:pStyle w:val="Compact"/>
      </w:pPr>
      <w:r>
        <w:t xml:space="preserve">Los actuales controles consolidados de texto EUR-Lex sobre los resúmenes antiguos.</w:t>
      </w:r>
    </w:p>
    <w:bookmarkEnd w:id="672"/>
    <w:bookmarkStart w:id="673" w:name="capítulo-72-cláusulas-contractuales"/>
    <w:p>
      <w:pPr>
        <w:pStyle w:val="Heading2"/>
      </w:pPr>
      <w:r>
        <w:rPr>
          <w:rStyle w:val="SectionNumber"/>
        </w:rPr>
        <w:t xml:space="preserve">1.630</w:t>
      </w:r>
      <w:r>
        <w:tab/>
      </w:r>
      <w:r>
        <w:t xml:space="preserve">Capítulo 72 — Cláusulas contractuales</w:t>
      </w:r>
    </w:p>
    <w:p>
      <w:pPr>
        <w:pStyle w:val="BlockText"/>
      </w:pPr>
      <w:r>
        <w:rPr>
          <w:bCs/>
          <w:b/>
        </w:rPr>
        <w:t xml:space="preserve">Estatus legal:</w:t>
      </w:r>
      <w:r>
        <w:t xml:space="preserve"> </w:t>
      </w:r>
      <w:r>
        <w:t xml:space="preserve">Corregido Maestro Inglés para la consolidación. Este archivo controla el lenguaje de borrador anterior del Capítulo 72 en conflicto.</w:t>
      </w:r>
    </w:p>
    <w:bookmarkEnd w:id="673"/>
    <w:bookmarkStart w:id="674" w:name="requisito-70"/>
    <w:p>
      <w:pPr>
        <w:pStyle w:val="Heading2"/>
      </w:pPr>
      <w:r>
        <w:rPr>
          <w:rStyle w:val="SectionNumber"/>
        </w:rPr>
        <w:t xml:space="preserve">1.631</w:t>
      </w:r>
      <w:r>
        <w:tab/>
      </w:r>
      <w:r>
        <w:t xml:space="preserve">Requisito</w:t>
      </w:r>
    </w:p>
    <w:p>
      <w:pPr>
        <w:pStyle w:val="FirstParagraph"/>
      </w:pPr>
      <w:r>
        <w:t xml:space="preserve">Los contratos para los sistemas, modelos, datos y servicios de IA material deben asignar responsabilidades con suficiente claridad para apoyar el cumplimiento, el acceso a pruebas, el control operativo, la respuesta a incidentes, la gestión del cambio y la salida.</w:t>
      </w:r>
    </w:p>
    <w:bookmarkEnd w:id="674"/>
    <w:bookmarkStart w:id="675" w:name="explicación-en-lenguaje-sencillo-67"/>
    <w:p>
      <w:pPr>
        <w:pStyle w:val="Heading2"/>
      </w:pPr>
      <w:r>
        <w:rPr>
          <w:rStyle w:val="SectionNumber"/>
        </w:rPr>
        <w:t xml:space="preserve">1.632</w:t>
      </w:r>
      <w:r>
        <w:tab/>
      </w:r>
      <w:r>
        <w:t xml:space="preserve">Explicación en lenguaje sencillo</w:t>
      </w:r>
    </w:p>
    <w:p>
      <w:pPr>
        <w:pStyle w:val="FirstParagraph"/>
      </w:pPr>
      <w:r>
        <w:t xml:space="preserve">Un contrato debe hacer que el modelo operativo sea ejecutable. Debe definir lo que el proveedor proporcionará, lo que el cliente debe hacer, qué evidencia está disponible, cómo se manejan los cambios e incidentes, y lo que sucede cuando el sistema se vuelve no conforme o ya no soportable.</w:t>
      </w:r>
    </w:p>
    <w:bookmarkEnd w:id="675"/>
    <w:bookmarkStart w:id="676" w:name="zonas-mínimas-de-la-cláusula"/>
    <w:p>
      <w:pPr>
        <w:pStyle w:val="Heading2"/>
      </w:pPr>
      <w:r>
        <w:rPr>
          <w:rStyle w:val="SectionNumber"/>
        </w:rPr>
        <w:t xml:space="preserve">1.633</w:t>
      </w:r>
      <w:r>
        <w:tab/>
      </w:r>
      <w:r>
        <w:t xml:space="preserve">Zonas mínimas de la cláusula</w:t>
      </w:r>
    </w:p>
    <w:p>
      <w:pPr>
        <w:pStyle w:val="FirstParagraph"/>
      </w:pPr>
      <w:r>
        <w:t xml:space="preserve">Dirección, según proceda:</w:t>
      </w:r>
    </w:p>
    <w:p>
      <w:pPr>
        <w:numPr>
          <w:ilvl w:val="0"/>
          <w:numId w:val="1178"/>
        </w:numPr>
        <w:pStyle w:val="Compact"/>
      </w:pPr>
      <w:r>
        <w:t xml:space="preserve">descripción del sistema o modelo, finalidad prevista, usos permitidos y usos prohibidos;</w:t>
      </w:r>
    </w:p>
    <w:p>
      <w:pPr>
        <w:numPr>
          <w:ilvl w:val="0"/>
          <w:numId w:val="1178"/>
        </w:numPr>
        <w:pStyle w:val="Compact"/>
      </w:pPr>
      <w:r>
        <w:t xml:space="preserve">las funciones de las partes y el reconocimiento de que la clasificación jurídica depende de la conducta real;</w:t>
      </w:r>
    </w:p>
    <w:p>
      <w:pPr>
        <w:numPr>
          <w:ilvl w:val="0"/>
          <w:numId w:val="1178"/>
        </w:numPr>
        <w:pStyle w:val="Compact"/>
      </w:pPr>
      <w:r>
        <w:t xml:space="preserve">el cumplimiento de la legislación aplicable en materia de IA, privacidad, seguridad cibernética, productos, empleo y consumo;</w:t>
      </w:r>
    </w:p>
    <w:p>
      <w:pPr>
        <w:numPr>
          <w:ilvl w:val="0"/>
          <w:numId w:val="1178"/>
        </w:numPr>
        <w:pStyle w:val="Compact"/>
      </w:pPr>
      <w:r>
        <w:t xml:space="preserve">documentación técnica, instrucciones, registros de conformidad, información sobre la transparencia y pruebas de auditoría;</w:t>
      </w:r>
    </w:p>
    <w:p>
      <w:pPr>
        <w:numPr>
          <w:ilvl w:val="0"/>
          <w:numId w:val="1178"/>
        </w:numPr>
        <w:pStyle w:val="Compact"/>
      </w:pPr>
      <w:r>
        <w:t xml:space="preserve">procedencia de datos, procesamiento permitido, retención, supresión, confidencialidad y propiedad intelectual;</w:t>
      </w:r>
    </w:p>
    <w:p>
      <w:pPr>
        <w:numPr>
          <w:ilvl w:val="0"/>
          <w:numId w:val="1178"/>
        </w:numPr>
        <w:pStyle w:val="Compact"/>
      </w:pPr>
      <w:r>
        <w:t xml:space="preserve">precisión, niveles de servicio, robustez, seguridad, accesibilidad y requisitos de supervisión humana;</w:t>
      </w:r>
    </w:p>
    <w:p>
      <w:pPr>
        <w:numPr>
          <w:ilvl w:val="0"/>
          <w:numId w:val="1178"/>
        </w:numPr>
        <w:pStyle w:val="Compact"/>
      </w:pPr>
      <w:r>
        <w:t xml:space="preserve">cooperación en materia de tala, vigilancia, denuncia, vulnerabilidad, incidentes graves y medidas correctivas;</w:t>
      </w:r>
    </w:p>
    <w:p>
      <w:pPr>
        <w:numPr>
          <w:ilvl w:val="0"/>
          <w:numId w:val="1178"/>
        </w:numPr>
        <w:pStyle w:val="Compact"/>
      </w:pPr>
      <w:r>
        <w:t xml:space="preserve">los derechos de notificación anticipada y aprobación de modelos, datos, características, subcontratistas, ubicación y cambios en los términos;</w:t>
      </w:r>
    </w:p>
    <w:p>
      <w:pPr>
        <w:numPr>
          <w:ilvl w:val="0"/>
          <w:numId w:val="1178"/>
        </w:numPr>
        <w:pStyle w:val="Compact"/>
      </w:pPr>
      <w:r>
        <w:t xml:space="preserve">la auditoría, las pruebas, el acceso de los reguladores, la preservación de registros y los derechos de rehabilitación;</w:t>
      </w:r>
    </w:p>
    <w:p>
      <w:pPr>
        <w:numPr>
          <w:ilvl w:val="0"/>
          <w:numId w:val="1178"/>
        </w:numPr>
        <w:pStyle w:val="Compact"/>
      </w:pPr>
      <w:r>
        <w:t xml:space="preserve">suspensión, inhabilitación, retirada, asistencia de transición, portabilidad y salida segura.</w:t>
      </w:r>
    </w:p>
    <w:bookmarkEnd w:id="676"/>
    <w:bookmarkStart w:id="677" w:name="ejemplo-de-globalway-65"/>
    <w:p>
      <w:pPr>
        <w:pStyle w:val="Heading2"/>
      </w:pPr>
      <w:r>
        <w:rPr>
          <w:rStyle w:val="SectionNumber"/>
        </w:rPr>
        <w:t xml:space="preserve">1.634</w:t>
      </w:r>
      <w:r>
        <w:tab/>
      </w:r>
      <w:r>
        <w:t xml:space="preserve">Ejemplo de GlobalWay</w:t>
      </w:r>
    </w:p>
    <w:p>
      <w:pPr>
        <w:pStyle w:val="FirstParagraph"/>
      </w:pPr>
      <w:r>
        <w:t xml:space="preserve">El contrato de GlobalWay para un sistema de selección de contrataciones requiere que el proveedor proporcione instrucciones actuales y pruebas de conformidad, notifique a GlobalWay antes de que cambie el modelo material o los datos, conserve los registros pertinentes, apoye la investigación de incidentes, restrinja los usos prohibidos y proporcione apoyo para la exportación y la transición si el servicio se suspende.</w:t>
      </w:r>
    </w:p>
    <w:bookmarkEnd w:id="677"/>
    <w:bookmarkStart w:id="678" w:name="actividad-de-control-66"/>
    <w:p>
      <w:pPr>
        <w:pStyle w:val="Heading2"/>
      </w:pPr>
      <w:r>
        <w:rPr>
          <w:rStyle w:val="SectionNumber"/>
        </w:rPr>
        <w:t xml:space="preserve">1.635</w:t>
      </w:r>
      <w:r>
        <w:tab/>
      </w:r>
      <w:r>
        <w:t xml:space="preserve">Actividad de control</w:t>
      </w:r>
    </w:p>
    <w:p>
      <w:pPr>
        <w:pStyle w:val="FirstParagraph"/>
      </w:pPr>
      <w:r>
        <w:t xml:space="preserve">Las desviaciones que afectan la evidencia, auditoría, incidente, cambio, datos o derechos de salida requieren documentación legal, cumplimiento, seguridad, privacidad y aprobación empresarial.</w:t>
      </w:r>
    </w:p>
    <w:bookmarkEnd w:id="678"/>
    <w:bookmarkStart w:id="679" w:name="pruebas-71"/>
    <w:p>
      <w:pPr>
        <w:pStyle w:val="Heading2"/>
      </w:pPr>
      <w:r>
        <w:rPr>
          <w:rStyle w:val="SectionNumber"/>
        </w:rPr>
        <w:t xml:space="preserve">1.636</w:t>
      </w:r>
      <w:r>
        <w:tab/>
      </w:r>
      <w:r>
        <w:t xml:space="preserve">Pruebas</w:t>
      </w:r>
    </w:p>
    <w:p>
      <w:pPr>
        <w:numPr>
          <w:ilvl w:val="0"/>
          <w:numId w:val="1179"/>
        </w:numPr>
        <w:pStyle w:val="Compact"/>
      </w:pPr>
      <w:r>
        <w:t xml:space="preserve">el acuerdo y los calendarios ejecutados;</w:t>
      </w:r>
    </w:p>
    <w:p>
      <w:pPr>
        <w:numPr>
          <w:ilvl w:val="0"/>
          <w:numId w:val="1179"/>
        </w:numPr>
        <w:pStyle w:val="Compact"/>
      </w:pPr>
      <w:r>
        <w:t xml:space="preserve">lista de verificación de la cláusula;</w:t>
      </w:r>
    </w:p>
    <w:p>
      <w:pPr>
        <w:numPr>
          <w:ilvl w:val="0"/>
          <w:numId w:val="1179"/>
        </w:numPr>
        <w:pStyle w:val="Compact"/>
      </w:pPr>
      <w:r>
        <w:t xml:space="preserve">matriz de funciones y responsabilidades;</w:t>
      </w:r>
    </w:p>
    <w:p>
      <w:pPr>
        <w:numPr>
          <w:ilvl w:val="0"/>
          <w:numId w:val="1179"/>
        </w:numPr>
        <w:pStyle w:val="Compact"/>
      </w:pPr>
      <w:r>
        <w:t xml:space="preserve">desviaciones aprobadas;</w:t>
      </w:r>
    </w:p>
    <w:p>
      <w:pPr>
        <w:numPr>
          <w:ilvl w:val="0"/>
          <w:numId w:val="1179"/>
        </w:numPr>
        <w:pStyle w:val="Compact"/>
      </w:pPr>
      <w:r>
        <w:t xml:space="preserve">condiciones de procesamiento de datos y de seguridad;</w:t>
      </w:r>
    </w:p>
    <w:p>
      <w:pPr>
        <w:numPr>
          <w:ilvl w:val="0"/>
          <w:numId w:val="1179"/>
        </w:numPr>
        <w:pStyle w:val="Compact"/>
      </w:pPr>
      <w:r>
        <w:t xml:space="preserve">las notificaciones de cambios e incidentes;</w:t>
      </w:r>
    </w:p>
    <w:p>
      <w:pPr>
        <w:numPr>
          <w:ilvl w:val="0"/>
          <w:numId w:val="1179"/>
        </w:numPr>
        <w:pStyle w:val="Compact"/>
      </w:pPr>
      <w:r>
        <w:t xml:space="preserve">los registros de auditoría y rehabilitación;</w:t>
      </w:r>
    </w:p>
    <w:p>
      <w:pPr>
        <w:numPr>
          <w:ilvl w:val="0"/>
          <w:numId w:val="1179"/>
        </w:numPr>
        <w:pStyle w:val="Compact"/>
      </w:pPr>
      <w:r>
        <w:t xml:space="preserve">plan de salida y transición.</w:t>
      </w:r>
    </w:p>
    <w:bookmarkEnd w:id="679"/>
    <w:bookmarkStart w:id="680" w:name="prueba-de-auditoría-67"/>
    <w:p>
      <w:pPr>
        <w:pStyle w:val="Heading2"/>
      </w:pPr>
      <w:r>
        <w:rPr>
          <w:rStyle w:val="SectionNumber"/>
        </w:rPr>
        <w:t xml:space="preserve">1.637</w:t>
      </w:r>
      <w:r>
        <w:tab/>
      </w:r>
      <w:r>
        <w:t xml:space="preserve">Prueba de auditoría</w:t>
      </w:r>
    </w:p>
    <w:p>
      <w:pPr>
        <w:pStyle w:val="FirstParagraph"/>
      </w:pPr>
      <w:r>
        <w:t xml:space="preserve">Seleccione los contratos de IA material y verifique que las cláusulas coincidan con el servicio real, las funciones de actor, la clasificación de riesgos y las dependencias operacionales; confirme que en la práctica se ejercen los avisos requeridos, las entregas de pruebas, las auditorías y los derechos de rehabilitación.</w:t>
      </w:r>
    </w:p>
    <w:bookmarkEnd w:id="680"/>
    <w:bookmarkStart w:id="681" w:name="referencias-jurídicas-primarias-40"/>
    <w:p>
      <w:pPr>
        <w:pStyle w:val="Heading2"/>
      </w:pPr>
      <w:r>
        <w:rPr>
          <w:rStyle w:val="SectionNumber"/>
        </w:rPr>
        <w:t xml:space="preserve">1.638</w:t>
      </w:r>
      <w:r>
        <w:tab/>
      </w:r>
      <w:r>
        <w:t xml:space="preserve">Referencias jurídicas primarias</w:t>
      </w:r>
    </w:p>
    <w:p>
      <w:pPr>
        <w:numPr>
          <w:ilvl w:val="0"/>
          <w:numId w:val="1180"/>
        </w:numPr>
        <w:pStyle w:val="Compact"/>
      </w:pPr>
      <w:r>
        <w:t xml:space="preserve">Reglamento (UE) 2024/1689, modificado: disposiciones aplicables sobre cooperación en la cadena de valor, documentación, información, seguimiento, incidentes, medidas correctoras y acceso a los registros.</w:t>
      </w:r>
    </w:p>
    <w:p>
      <w:pPr>
        <w:numPr>
          <w:ilvl w:val="0"/>
          <w:numId w:val="1180"/>
        </w:numPr>
        <w:pStyle w:val="Compact"/>
      </w:pPr>
      <w:r>
        <w:t xml:space="preserve">Las condiciones contractuales no desplazan las obligaciones legales.</w:t>
      </w:r>
    </w:p>
    <w:bookmarkEnd w:id="681"/>
    <w:bookmarkStart w:id="682" w:name="X1efaf8c79329aa048395c924394a4c7b75c2b86"/>
    <w:p>
      <w:pPr>
        <w:pStyle w:val="Heading2"/>
      </w:pPr>
      <w:r>
        <w:rPr>
          <w:rStyle w:val="SectionNumber"/>
        </w:rPr>
        <w:t xml:space="preserve">1.639</w:t>
      </w:r>
      <w:r>
        <w:tab/>
      </w:r>
      <w:r>
        <w:t xml:space="preserve">Capítulo 73 — Examen de la documentación del proveedor</w:t>
      </w:r>
    </w:p>
    <w:p>
      <w:pPr>
        <w:pStyle w:val="BlockText"/>
      </w:pPr>
      <w:r>
        <w:rPr>
          <w:bCs/>
          <w:b/>
        </w:rPr>
        <w:t xml:space="preserve">Estatus legal:</w:t>
      </w:r>
      <w:r>
        <w:t xml:space="preserve"> </w:t>
      </w:r>
      <w:r>
        <w:t xml:space="preserve">Corregido Maestro Inglés para la consolidación. Este archivo controla el lenguaje de borrador anterior del Capítulo 73 en conflicto.</w:t>
      </w:r>
    </w:p>
    <w:bookmarkEnd w:id="682"/>
    <w:bookmarkStart w:id="683" w:name="requisito-71"/>
    <w:p>
      <w:pPr>
        <w:pStyle w:val="Heading2"/>
      </w:pPr>
      <w:r>
        <w:rPr>
          <w:rStyle w:val="SectionNumber"/>
        </w:rPr>
        <w:t xml:space="preserve">1.640</w:t>
      </w:r>
      <w:r>
        <w:tab/>
      </w:r>
      <w:r>
        <w:t xml:space="preserve">Requisito</w:t>
      </w:r>
    </w:p>
    <w:p>
      <w:pPr>
        <w:pStyle w:val="FirstParagraph"/>
      </w:pPr>
      <w:r>
        <w:t xml:space="preserve">Las organizaciones deben examinar la documentación suministrada por los proveedores antes del despliegue y después del cambio material para determinar si es completa, actual, coherente internamente, aplicable al uso previsto y suficiente para apoyar las obligaciones jurídicas y operacionales de la organización.</w:t>
      </w:r>
    </w:p>
    <w:bookmarkEnd w:id="683"/>
    <w:bookmarkStart w:id="684" w:name="explicación-en-lenguaje-sencillo-68"/>
    <w:p>
      <w:pPr>
        <w:pStyle w:val="Heading2"/>
      </w:pPr>
      <w:r>
        <w:rPr>
          <w:rStyle w:val="SectionNumber"/>
        </w:rPr>
        <w:t xml:space="preserve">1.641</w:t>
      </w:r>
      <w:r>
        <w:tab/>
      </w:r>
      <w:r>
        <w:t xml:space="preserve">Explicación en lenguaje sencillo</w:t>
      </w:r>
    </w:p>
    <w:p>
      <w:pPr>
        <w:pStyle w:val="FirstParagraph"/>
      </w:pPr>
      <w:r>
        <w:t xml:space="preserve">Recibir documentos no es lo mismo que revisarlos. Las instrucciones de uso, los resúmenes técnicos, los registros de conformidad, las tarjetas modelo, los informes de prueba y los materiales de seguridad deben verificarse con la versión desplegada, la configuración real y el caso de uso.</w:t>
      </w:r>
    </w:p>
    <w:bookmarkEnd w:id="684"/>
    <w:bookmarkStart w:id="685" w:name="criterios-de-revisión"/>
    <w:p>
      <w:pPr>
        <w:pStyle w:val="Heading2"/>
      </w:pPr>
      <w:r>
        <w:rPr>
          <w:rStyle w:val="SectionNumber"/>
        </w:rPr>
        <w:t xml:space="preserve">1.642</w:t>
      </w:r>
      <w:r>
        <w:tab/>
      </w:r>
      <w:r>
        <w:t xml:space="preserve">Criterios de revisión</w:t>
      </w:r>
    </w:p>
    <w:p>
      <w:pPr>
        <w:pStyle w:val="FirstParagraph"/>
      </w:pPr>
      <w:r>
        <w:t xml:space="preserve">Confirme, según proceda:</w:t>
      </w:r>
    </w:p>
    <w:p>
      <w:pPr>
        <w:numPr>
          <w:ilvl w:val="0"/>
          <w:numId w:val="1181"/>
        </w:numPr>
        <w:pStyle w:val="Compact"/>
      </w:pPr>
      <w:r>
        <w:t xml:space="preserve">identidad del proveedor, función, versión del sistema o modelo, y finalidad prevista;</w:t>
      </w:r>
    </w:p>
    <w:p>
      <w:pPr>
        <w:numPr>
          <w:ilvl w:val="0"/>
          <w:numId w:val="1181"/>
        </w:numPr>
        <w:pStyle w:val="Compact"/>
      </w:pPr>
      <w:r>
        <w:t xml:space="preserve">la aplicabilidad de los documentos al producto exacto y la liberación;</w:t>
      </w:r>
    </w:p>
    <w:p>
      <w:pPr>
        <w:numPr>
          <w:ilvl w:val="0"/>
          <w:numId w:val="1181"/>
        </w:numPr>
        <w:pStyle w:val="Compact"/>
      </w:pPr>
      <w:r>
        <w:t xml:space="preserve">declaraciones de clasificación de alto riesgo, transparencia, GPAI y riesgo sistémico;</w:t>
      </w:r>
    </w:p>
    <w:p>
      <w:pPr>
        <w:numPr>
          <w:ilvl w:val="0"/>
          <w:numId w:val="1181"/>
        </w:numPr>
        <w:pStyle w:val="Compact"/>
      </w:pPr>
      <w:r>
        <w:t xml:space="preserve">instrucciones, limitaciones, métricas de rendimiento, umbrales y uso indebido previsible;</w:t>
      </w:r>
    </w:p>
    <w:p>
      <w:pPr>
        <w:numPr>
          <w:ilvl w:val="0"/>
          <w:numId w:val="1181"/>
        </w:numPr>
        <w:pStyle w:val="Compact"/>
      </w:pPr>
      <w:r>
        <w:t xml:space="preserve">la supervisión humana, la tala, el seguimiento y los procedimientos relacionados con incidentes;</w:t>
      </w:r>
    </w:p>
    <w:p>
      <w:pPr>
        <w:numPr>
          <w:ilvl w:val="0"/>
          <w:numId w:val="1181"/>
        </w:numPr>
        <w:pStyle w:val="Compact"/>
      </w:pPr>
      <w:r>
        <w:t xml:space="preserve">datos, privacidad, seguridad, robustez, sesgo y pruebas de accesibilidad;</w:t>
      </w:r>
    </w:p>
    <w:p>
      <w:pPr>
        <w:numPr>
          <w:ilvl w:val="0"/>
          <w:numId w:val="1181"/>
        </w:numPr>
        <w:pStyle w:val="Compact"/>
      </w:pPr>
      <w:r>
        <w:t xml:space="preserve">la evaluación de la conformidad, la declaración, el registro y las pruebas de marcado, cuando sea necesario;</w:t>
      </w:r>
    </w:p>
    <w:p>
      <w:pPr>
        <w:numPr>
          <w:ilvl w:val="0"/>
          <w:numId w:val="1181"/>
        </w:numPr>
        <w:pStyle w:val="Compact"/>
      </w:pPr>
      <w:r>
        <w:t xml:space="preserve">suposiciones materiales, exclusiones, limitaciones no resueltas y responsabilidades de los clientes;</w:t>
      </w:r>
    </w:p>
    <w:p>
      <w:pPr>
        <w:numPr>
          <w:ilvl w:val="0"/>
          <w:numId w:val="1181"/>
        </w:numPr>
        <w:pStyle w:val="Compact"/>
      </w:pPr>
      <w:r>
        <w:t xml:space="preserve">control de documentos, aprobación, idioma, accesibilidad y estado de actualización;</w:t>
      </w:r>
    </w:p>
    <w:p>
      <w:pPr>
        <w:numPr>
          <w:ilvl w:val="0"/>
          <w:numId w:val="1181"/>
        </w:numPr>
        <w:pStyle w:val="Compact"/>
      </w:pPr>
      <w:r>
        <w:t xml:space="preserve">contradicciones entre las reclamaciones contractuales, técnicas, de garantía y de comercialización.</w:t>
      </w:r>
    </w:p>
    <w:bookmarkEnd w:id="685"/>
    <w:bookmarkStart w:id="686" w:name="ejemplo-de-globalway-66"/>
    <w:p>
      <w:pPr>
        <w:pStyle w:val="Heading2"/>
      </w:pPr>
      <w:r>
        <w:rPr>
          <w:rStyle w:val="SectionNumber"/>
        </w:rPr>
        <w:t xml:space="preserve">1.643</w:t>
      </w:r>
      <w:r>
        <w:tab/>
      </w:r>
      <w:r>
        <w:t xml:space="preserve">Ejemplo de GlobalWay</w:t>
      </w:r>
    </w:p>
    <w:p>
      <w:pPr>
        <w:pStyle w:val="FirstParagraph"/>
      </w:pPr>
      <w:r>
        <w:t xml:space="preserve">GlobalWay recibe una tarjeta modelo del proveedor y un paquete de conformidad para un sistema de contratación. La revisión identifica que la tarjeta modelo cubre una versión anterior y omite la configuración de umbral utilizada por GlobalWay. El despliegue permanece bloqueado hasta que se corrija, se suministra documentación específica de la versión.</w:t>
      </w:r>
    </w:p>
    <w:bookmarkEnd w:id="686"/>
    <w:bookmarkStart w:id="687" w:name="actividad-de-control-67"/>
    <w:p>
      <w:pPr>
        <w:pStyle w:val="Heading2"/>
      </w:pPr>
      <w:r>
        <w:rPr>
          <w:rStyle w:val="SectionNumber"/>
        </w:rPr>
        <w:t xml:space="preserve">1.644</w:t>
      </w:r>
      <w:r>
        <w:tab/>
      </w:r>
      <w:r>
        <w:t xml:space="preserve">Actividad de control</w:t>
      </w:r>
    </w:p>
    <w:p>
      <w:pPr>
        <w:pStyle w:val="FirstParagraph"/>
      </w:pPr>
      <w:r>
        <w:t xml:space="preserve">El propietario del sistema debe mantener un índice de documentación del proveedor y obtener la aprobación de los revisores legales, de cumplimiento, de seguridad, de privacidad y técnicos pertinentes antes del uso de la producción. La documentación faltante, rancio o contradictorio debe dar lugar a medidas correctivas, uso restringido, controles compensatorios o rechazo.</w:t>
      </w:r>
    </w:p>
    <w:bookmarkEnd w:id="687"/>
    <w:bookmarkStart w:id="688" w:name="pruebas-72"/>
    <w:p>
      <w:pPr>
        <w:pStyle w:val="Heading2"/>
      </w:pPr>
      <w:r>
        <w:rPr>
          <w:rStyle w:val="SectionNumber"/>
        </w:rPr>
        <w:t xml:space="preserve">1.645</w:t>
      </w:r>
      <w:r>
        <w:tab/>
      </w:r>
      <w:r>
        <w:t xml:space="preserve">Pruebas</w:t>
      </w:r>
    </w:p>
    <w:p>
      <w:pPr>
        <w:numPr>
          <w:ilvl w:val="0"/>
          <w:numId w:val="1182"/>
        </w:numPr>
        <w:pStyle w:val="Compact"/>
      </w:pPr>
      <w:r>
        <w:t xml:space="preserve">índice de documentación del proveedor;</w:t>
      </w:r>
    </w:p>
    <w:p>
      <w:pPr>
        <w:numPr>
          <w:ilvl w:val="0"/>
          <w:numId w:val="1182"/>
        </w:numPr>
        <w:pStyle w:val="Compact"/>
      </w:pPr>
      <w:r>
        <w:t xml:space="preserve">mapeo de versión y configuración;</w:t>
      </w:r>
    </w:p>
    <w:p>
      <w:pPr>
        <w:numPr>
          <w:ilvl w:val="0"/>
          <w:numId w:val="1182"/>
        </w:numPr>
        <w:pStyle w:val="Compact"/>
      </w:pPr>
      <w:r>
        <w:t xml:space="preserve">lista de verificación completa del examen;</w:t>
      </w:r>
    </w:p>
    <w:p>
      <w:pPr>
        <w:numPr>
          <w:ilvl w:val="0"/>
          <w:numId w:val="1182"/>
        </w:numPr>
        <w:pStyle w:val="Compact"/>
      </w:pPr>
      <w:r>
        <w:t xml:space="preserve">las lagunas y contradicciones detectadas;</w:t>
      </w:r>
    </w:p>
    <w:p>
      <w:pPr>
        <w:numPr>
          <w:ilvl w:val="0"/>
          <w:numId w:val="1182"/>
        </w:numPr>
        <w:pStyle w:val="Compact"/>
      </w:pPr>
      <w:r>
        <w:t xml:space="preserve">las aclaraciones y sustituciones del proveedor;</w:t>
      </w:r>
    </w:p>
    <w:p>
      <w:pPr>
        <w:numPr>
          <w:ilvl w:val="0"/>
          <w:numId w:val="1182"/>
        </w:numPr>
        <w:pStyle w:val="Compact"/>
      </w:pPr>
      <w:r>
        <w:t xml:space="preserve">las decisiones de riesgo y las aprobaciones;</w:t>
      </w:r>
    </w:p>
    <w:p>
      <w:pPr>
        <w:numPr>
          <w:ilvl w:val="0"/>
          <w:numId w:val="1182"/>
        </w:numPr>
        <w:pStyle w:val="Compact"/>
      </w:pPr>
      <w:r>
        <w:t xml:space="preserve">actualizar y revaluar el historial.</w:t>
      </w:r>
    </w:p>
    <w:bookmarkEnd w:id="688"/>
    <w:bookmarkStart w:id="689" w:name="prueba-de-auditoría-68"/>
    <w:p>
      <w:pPr>
        <w:pStyle w:val="Heading2"/>
      </w:pPr>
      <w:r>
        <w:rPr>
          <w:rStyle w:val="SectionNumber"/>
        </w:rPr>
        <w:t xml:space="preserve">1.646</w:t>
      </w:r>
      <w:r>
        <w:tab/>
      </w:r>
      <w:r>
        <w:t xml:space="preserve">Prueba de auditoría</w:t>
      </w:r>
    </w:p>
    <w:p>
      <w:pPr>
        <w:pStyle w:val="FirstParagraph"/>
      </w:pPr>
      <w:r>
        <w:t xml:space="preserve">Seleccione una muestra de sistemas de IA de terceros y confirme que los documentos del proveedor coinciden con la versión desplegada y el uso previsto, que las lagunas se resolvieron antes de la aprobación, y que los cambios materiales desencadenaron una revisión renovada.</w:t>
      </w:r>
    </w:p>
    <w:bookmarkEnd w:id="689"/>
    <w:bookmarkStart w:id="690" w:name="referencias-jurídicas-primarias-41"/>
    <w:p>
      <w:pPr>
        <w:pStyle w:val="Heading2"/>
      </w:pPr>
      <w:r>
        <w:rPr>
          <w:rStyle w:val="SectionNumber"/>
        </w:rPr>
        <w:t xml:space="preserve">1.647</w:t>
      </w:r>
      <w:r>
        <w:tab/>
      </w:r>
      <w:r>
        <w:t xml:space="preserve">Referencias jurídicas primarias</w:t>
      </w:r>
    </w:p>
    <w:p>
      <w:pPr>
        <w:numPr>
          <w:ilvl w:val="0"/>
          <w:numId w:val="1183"/>
        </w:numPr>
        <w:pStyle w:val="Compact"/>
      </w:pPr>
      <w:r>
        <w:t xml:space="preserve">Reglamento (UE) 2024/1689, modificado: información, instrucciones, documentación técnica, conformidad, transparencia, GPAI y disposiciones de cadena de valor aplicables al proveedor.</w:t>
      </w:r>
    </w:p>
    <w:p>
      <w:pPr>
        <w:numPr>
          <w:ilvl w:val="0"/>
          <w:numId w:val="1183"/>
        </w:numPr>
        <w:pStyle w:val="Compact"/>
      </w:pPr>
      <w:r>
        <w:t xml:space="preserve">Los actuales controles consolidados de texto EUR-Lex sobre los resúmenes antiguos.</w:t>
      </w:r>
    </w:p>
    <w:bookmarkEnd w:id="690"/>
    <w:bookmarkStart w:id="691" w:name="Xb30028610b016a5b29c3b5a0bdcc640f4b1b12d"/>
    <w:p>
      <w:pPr>
        <w:pStyle w:val="Heading2"/>
      </w:pPr>
      <w:r>
        <w:rPr>
          <w:rStyle w:val="SectionNumber"/>
        </w:rPr>
        <w:t xml:space="preserve">1.648</w:t>
      </w:r>
      <w:r>
        <w:tab/>
      </w:r>
      <w:r>
        <w:t xml:space="preserve">Capítulo 74 — Tarjetas modelo, tarjetas del sistema y limitaciones</w:t>
      </w:r>
    </w:p>
    <w:p>
      <w:pPr>
        <w:pStyle w:val="BlockText"/>
      </w:pPr>
      <w:r>
        <w:rPr>
          <w:bCs/>
          <w:b/>
        </w:rPr>
        <w:t xml:space="preserve">Estatus legal:</w:t>
      </w:r>
      <w:r>
        <w:t xml:space="preserve"> </w:t>
      </w:r>
      <w:r>
        <w:t xml:space="preserve">Corregido Maestro Inglés para la consolidación. Este archivo controla el lenguaje de borrador anterior del Capítulo 74 en conflicto.</w:t>
      </w:r>
    </w:p>
    <w:bookmarkEnd w:id="691"/>
    <w:bookmarkStart w:id="692" w:name="requisito-72"/>
    <w:p>
      <w:pPr>
        <w:pStyle w:val="Heading2"/>
      </w:pPr>
      <w:r>
        <w:rPr>
          <w:rStyle w:val="SectionNumber"/>
        </w:rPr>
        <w:t xml:space="preserve">1.649</w:t>
      </w:r>
      <w:r>
        <w:tab/>
      </w:r>
      <w:r>
        <w:t xml:space="preserve">Requisito</w:t>
      </w:r>
    </w:p>
    <w:p>
      <w:pPr>
        <w:pStyle w:val="FirstParagraph"/>
      </w:pPr>
      <w:r>
        <w:t xml:space="preserve">Las organizaciones deben utilizar tarjetas modelo, tarjetas del sistema y documentación equivalente como evidencia estructurada sobre el propósito, las capacidades, las limitaciones, la evaluación, los riesgos y el uso responsable. Estos artefactos no deben ser tratados como sustitutos de la documentación técnica legal, instrucciones de uso, registros de conformidad o pruebas de gestión de riesgos cuando se requieran.</w:t>
      </w:r>
    </w:p>
    <w:bookmarkEnd w:id="692"/>
    <w:bookmarkStart w:id="693" w:name="explicación-en-lenguaje-sencillo-69"/>
    <w:p>
      <w:pPr>
        <w:pStyle w:val="Heading2"/>
      </w:pPr>
      <w:r>
        <w:rPr>
          <w:rStyle w:val="SectionNumber"/>
        </w:rPr>
        <w:t xml:space="preserve">1.650</w:t>
      </w:r>
      <w:r>
        <w:tab/>
      </w:r>
      <w:r>
        <w:t xml:space="preserve">Explicación en lenguaje sencillo</w:t>
      </w:r>
    </w:p>
    <w:p>
      <w:pPr>
        <w:pStyle w:val="FirstParagraph"/>
      </w:pPr>
      <w:r>
        <w:t xml:space="preserve">Una tarjeta modelo describe el modelo. Una tarjeta del sistema describe el sistema desplegado más amplio, incluyendo integraciones, avisos, flujos de datos, salvaguardias y procesos humanos. Ambos son útiles sólo cuando son precisos, específicos para versiones y explícitos sobre limitaciones.</w:t>
      </w:r>
    </w:p>
    <w:bookmarkEnd w:id="693"/>
    <w:bookmarkStart w:id="694" w:name="contenido-exigido-1"/>
    <w:p>
      <w:pPr>
        <w:pStyle w:val="Heading2"/>
      </w:pPr>
      <w:r>
        <w:rPr>
          <w:rStyle w:val="SectionNumber"/>
        </w:rPr>
        <w:t xml:space="preserve">1.651</w:t>
      </w:r>
      <w:r>
        <w:tab/>
      </w:r>
      <w:r>
        <w:t xml:space="preserve">Contenido exigido</w:t>
      </w:r>
    </w:p>
    <w:p>
      <w:pPr>
        <w:pStyle w:val="FirstParagraph"/>
      </w:pPr>
      <w:r>
        <w:t xml:space="preserve">Documento, según proceda:</w:t>
      </w:r>
    </w:p>
    <w:p>
      <w:pPr>
        <w:numPr>
          <w:ilvl w:val="0"/>
          <w:numId w:val="1184"/>
        </w:numPr>
        <w:pStyle w:val="Compact"/>
      </w:pPr>
      <w:r>
        <w:t xml:space="preserve">modelo e identidad del sistema, propietario, proveedor, versión y fecha de publicación;</w:t>
      </w:r>
    </w:p>
    <w:p>
      <w:pPr>
        <w:numPr>
          <w:ilvl w:val="0"/>
          <w:numId w:val="1184"/>
        </w:numPr>
        <w:pStyle w:val="Compact"/>
      </w:pPr>
      <w:r>
        <w:t xml:space="preserve">usos previstos y excluidos;</w:t>
      </w:r>
    </w:p>
    <w:p>
      <w:pPr>
        <w:numPr>
          <w:ilvl w:val="0"/>
          <w:numId w:val="1184"/>
        </w:numPr>
        <w:pStyle w:val="Compact"/>
      </w:pPr>
      <w:r>
        <w:t xml:space="preserve">formación, afinación, evaluación e información de datos pertinente;</w:t>
      </w:r>
    </w:p>
    <w:p>
      <w:pPr>
        <w:numPr>
          <w:ilvl w:val="0"/>
          <w:numId w:val="1184"/>
        </w:numPr>
        <w:pStyle w:val="Compact"/>
      </w:pPr>
      <w:r>
        <w:t xml:space="preserve">lenguajes, poblaciones, entornos y jurisdicciones apoyados;</w:t>
      </w:r>
    </w:p>
    <w:p>
      <w:pPr>
        <w:numPr>
          <w:ilvl w:val="0"/>
          <w:numId w:val="1184"/>
        </w:numPr>
        <w:pStyle w:val="Compact"/>
      </w:pPr>
      <w:r>
        <w:t xml:space="preserve">métricas de rendimiento, umbrales, incertidumbre y modos de fallo conocidos;</w:t>
      </w:r>
    </w:p>
    <w:p>
      <w:pPr>
        <w:numPr>
          <w:ilvl w:val="0"/>
          <w:numId w:val="1184"/>
        </w:numPr>
        <w:pStyle w:val="Compact"/>
      </w:pPr>
      <w:r>
        <w:t xml:space="preserve">sesgo, seguridad, privacidad, seguridad, robustez y riesgos de mal uso;</w:t>
      </w:r>
    </w:p>
    <w:p>
      <w:pPr>
        <w:numPr>
          <w:ilvl w:val="0"/>
          <w:numId w:val="1184"/>
        </w:numPr>
        <w:pStyle w:val="Compact"/>
      </w:pPr>
      <w:r>
        <w:t xml:space="preserve">los requisitos de supervisión, recuperación, escalada y vigilancia;</w:t>
      </w:r>
    </w:p>
    <w:p>
      <w:pPr>
        <w:numPr>
          <w:ilvl w:val="0"/>
          <w:numId w:val="1184"/>
        </w:numPr>
        <w:pStyle w:val="Compact"/>
      </w:pPr>
      <w:r>
        <w:t xml:space="preserve">las dependencias, las integraciones y las hipótesis posteriores;</w:t>
      </w:r>
    </w:p>
    <w:p>
      <w:pPr>
        <w:numPr>
          <w:ilvl w:val="0"/>
          <w:numId w:val="1184"/>
        </w:numPr>
        <w:pStyle w:val="Compact"/>
      </w:pPr>
      <w:r>
        <w:t xml:space="preserve">la clasificación jurídica y las obligaciones aplicables en materia de transparencia o alto riesgo;</w:t>
      </w:r>
    </w:p>
    <w:p>
      <w:pPr>
        <w:numPr>
          <w:ilvl w:val="0"/>
          <w:numId w:val="1184"/>
        </w:numPr>
        <w:pStyle w:val="Compact"/>
      </w:pPr>
      <w:r>
        <w:t xml:space="preserve">cambiar la historia y las limitaciones sin resolver.</w:t>
      </w:r>
    </w:p>
    <w:bookmarkEnd w:id="694"/>
    <w:bookmarkStart w:id="695" w:name="ejemplo-de-globalway-67"/>
    <w:p>
      <w:pPr>
        <w:pStyle w:val="Heading2"/>
      </w:pPr>
      <w:r>
        <w:rPr>
          <w:rStyle w:val="SectionNumber"/>
        </w:rPr>
        <w:t xml:space="preserve">1.652</w:t>
      </w:r>
      <w:r>
        <w:tab/>
      </w:r>
      <w:r>
        <w:t xml:space="preserve">Ejemplo de GlobalWay</w:t>
      </w:r>
    </w:p>
    <w:p>
      <w:pPr>
        <w:pStyle w:val="FirstParagraph"/>
      </w:pPr>
      <w:r>
        <w:t xml:space="preserve">La tarjeta del sistema de asistencia de viajes de GlobalWay documenta el modelo GPAI de terceros, fuentes de recuperación, idiomas, integraciones de reservas, acciones autónomas prohibidas, reglas de escalada humana, riesgos de alucinaciones, métricas de monitoreo y la configuración de producción exacta.</w:t>
      </w:r>
    </w:p>
    <w:bookmarkEnd w:id="695"/>
    <w:bookmarkStart w:id="696" w:name="actividad-de-control-68"/>
    <w:p>
      <w:pPr>
        <w:pStyle w:val="Heading2"/>
      </w:pPr>
      <w:r>
        <w:rPr>
          <w:rStyle w:val="SectionNumber"/>
        </w:rPr>
        <w:t xml:space="preserve">1.653</w:t>
      </w:r>
      <w:r>
        <w:tab/>
      </w:r>
      <w:r>
        <w:t xml:space="preserve">Actividad de control</w:t>
      </w:r>
    </w:p>
    <w:p>
      <w:pPr>
        <w:pStyle w:val="FirstParagraph"/>
      </w:pPr>
      <w:r>
        <w:t xml:space="preserve">Los propietarios de riesgo de productos y modelos deben aprobar tarjetas de modelos y sistemas controladas por versiones antes de publicarlas y actualizarlas después de cambios materiales, incidentes significativos, nuevos hallazgos de evaluación o cambios en el uso previsto. Las limitaciones deben reflejarse en instrucciones, capacitación, interfaces de usuario y monitoreo.</w:t>
      </w:r>
    </w:p>
    <w:bookmarkEnd w:id="696"/>
    <w:bookmarkStart w:id="697" w:name="pruebas-73"/>
    <w:p>
      <w:pPr>
        <w:pStyle w:val="Heading2"/>
      </w:pPr>
      <w:r>
        <w:rPr>
          <w:rStyle w:val="SectionNumber"/>
        </w:rPr>
        <w:t xml:space="preserve">1.654</w:t>
      </w:r>
      <w:r>
        <w:tab/>
      </w:r>
      <w:r>
        <w:t xml:space="preserve">Pruebas</w:t>
      </w:r>
    </w:p>
    <w:p>
      <w:pPr>
        <w:numPr>
          <w:ilvl w:val="0"/>
          <w:numId w:val="1185"/>
        </w:numPr>
        <w:pStyle w:val="Compact"/>
      </w:pPr>
      <w:r>
        <w:t xml:space="preserve">tarjetas de modelo y sistema aprobadas;</w:t>
      </w:r>
    </w:p>
    <w:p>
      <w:pPr>
        <w:numPr>
          <w:ilvl w:val="0"/>
          <w:numId w:val="1185"/>
        </w:numPr>
        <w:pStyle w:val="Compact"/>
      </w:pPr>
      <w:r>
        <w:t xml:space="preserve">mapeo de versiones;</w:t>
      </w:r>
    </w:p>
    <w:p>
      <w:pPr>
        <w:numPr>
          <w:ilvl w:val="0"/>
          <w:numId w:val="1185"/>
        </w:numPr>
        <w:pStyle w:val="Compact"/>
      </w:pPr>
      <w:r>
        <w:t xml:space="preserve">los informes de evaluación;</w:t>
      </w:r>
    </w:p>
    <w:p>
      <w:pPr>
        <w:numPr>
          <w:ilvl w:val="0"/>
          <w:numId w:val="1185"/>
        </w:numPr>
        <w:pStyle w:val="Compact"/>
      </w:pPr>
      <w:r>
        <w:t xml:space="preserve">la limitación y el registro de riesgos;</w:t>
      </w:r>
    </w:p>
    <w:p>
      <w:pPr>
        <w:numPr>
          <w:ilvl w:val="0"/>
          <w:numId w:val="1185"/>
        </w:numPr>
        <w:pStyle w:val="Compact"/>
      </w:pPr>
      <w:r>
        <w:t xml:space="preserve">instrucciones y formación del usuario;</w:t>
      </w:r>
    </w:p>
    <w:p>
      <w:pPr>
        <w:numPr>
          <w:ilvl w:val="0"/>
          <w:numId w:val="1185"/>
        </w:numPr>
        <w:pStyle w:val="Compact"/>
      </w:pPr>
      <w:r>
        <w:t xml:space="preserve">cambiar la historia;</w:t>
      </w:r>
    </w:p>
    <w:p>
      <w:pPr>
        <w:numPr>
          <w:ilvl w:val="0"/>
          <w:numId w:val="1185"/>
        </w:numPr>
        <w:pStyle w:val="Compact"/>
      </w:pPr>
      <w:r>
        <w:t xml:space="preserve">seguimiento y registros de incidentes.</w:t>
      </w:r>
    </w:p>
    <w:bookmarkEnd w:id="697"/>
    <w:bookmarkStart w:id="698" w:name="prueba-de-auditoría-69"/>
    <w:p>
      <w:pPr>
        <w:pStyle w:val="Heading2"/>
      </w:pPr>
      <w:r>
        <w:rPr>
          <w:rStyle w:val="SectionNumber"/>
        </w:rPr>
        <w:t xml:space="preserve">1.655</w:t>
      </w:r>
      <w:r>
        <w:tab/>
      </w:r>
      <w:r>
        <w:t xml:space="preserve">Prueba de auditoría</w:t>
      </w:r>
    </w:p>
    <w:p>
      <w:pPr>
        <w:pStyle w:val="FirstParagraph"/>
      </w:pPr>
      <w:r>
        <w:t xml:space="preserve">Seleccione un sistema de IA desplegado y verifique que sus tarjetas coincidan con la versión y arquitectura reales, describa las limitaciones de material y las dependencias, y sean consistentes con la documentación técnica, instrucciones, controles y el rendimiento de producción observado.</w:t>
      </w:r>
    </w:p>
    <w:bookmarkEnd w:id="698"/>
    <w:bookmarkStart w:id="699" w:name="referencias-jurídicas-primarias-42"/>
    <w:p>
      <w:pPr>
        <w:pStyle w:val="Heading2"/>
      </w:pPr>
      <w:r>
        <w:rPr>
          <w:rStyle w:val="SectionNumber"/>
        </w:rPr>
        <w:t xml:space="preserve">1.656</w:t>
      </w:r>
      <w:r>
        <w:tab/>
      </w:r>
      <w:r>
        <w:t xml:space="preserve">Referencias jurídicas primarias</w:t>
      </w:r>
    </w:p>
    <w:p>
      <w:pPr>
        <w:numPr>
          <w:ilvl w:val="0"/>
          <w:numId w:val="1186"/>
        </w:numPr>
        <w:pStyle w:val="Compact"/>
      </w:pPr>
      <w:r>
        <w:t xml:space="preserve">Reglamento (UE) 2024/1689, modificado: disposiciones aplicables en materia de documentación técnica, transparencia, instrucciones, información sobre la GPAI, gestión de riesgos y posteriores a la comercialización.</w:t>
      </w:r>
    </w:p>
    <w:p>
      <w:pPr>
        <w:numPr>
          <w:ilvl w:val="0"/>
          <w:numId w:val="1186"/>
        </w:numPr>
        <w:pStyle w:val="Compact"/>
      </w:pPr>
      <w:r>
        <w:t xml:space="preserve">Las tarjetas modelo y de sistema están soportando artefactos a menos que la ley vinculante o el contrato les dé una función jurídica específica.</w:t>
      </w:r>
    </w:p>
    <w:bookmarkEnd w:id="699"/>
    <w:bookmarkStart w:id="700" w:name="Xc75e9b996034592b6f42b5c51737441a380f602"/>
    <w:p>
      <w:pPr>
        <w:pStyle w:val="Heading2"/>
      </w:pPr>
      <w:r>
        <w:rPr>
          <w:rStyle w:val="SectionNumber"/>
        </w:rPr>
        <w:t xml:space="preserve">1.657</w:t>
      </w:r>
      <w:r>
        <w:tab/>
      </w:r>
      <w:r>
        <w:t xml:space="preserve">Capítulo 75 — Derechos de auditoría y notificación de incidentes</w:t>
      </w:r>
    </w:p>
    <w:p>
      <w:pPr>
        <w:pStyle w:val="BlockText"/>
      </w:pPr>
      <w:r>
        <w:rPr>
          <w:bCs/>
          <w:b/>
        </w:rPr>
        <w:t xml:space="preserve">Estatus legal:</w:t>
      </w:r>
      <w:r>
        <w:t xml:space="preserve"> </w:t>
      </w:r>
      <w:r>
        <w:t xml:space="preserve">Corregido Maestro Inglés para la consolidación. Este archivo controla el lenguaje de borrador del Capítulo 75 anterior en conflicto.</w:t>
      </w:r>
    </w:p>
    <w:bookmarkEnd w:id="700"/>
    <w:bookmarkStart w:id="701" w:name="requisito-73"/>
    <w:p>
      <w:pPr>
        <w:pStyle w:val="Heading2"/>
      </w:pPr>
      <w:r>
        <w:rPr>
          <w:rStyle w:val="SectionNumber"/>
        </w:rPr>
        <w:t xml:space="preserve">1.658</w:t>
      </w:r>
      <w:r>
        <w:tab/>
      </w:r>
      <w:r>
        <w:t xml:space="preserve">Requisito</w:t>
      </w:r>
    </w:p>
    <w:p>
      <w:pPr>
        <w:pStyle w:val="FirstParagraph"/>
      </w:pPr>
      <w:r>
        <w:t xml:space="preserve">Los acuerdos con proveedores de IA material deben proporcionar suficientes derechos de auditoría, garantía, acceso a la información, notificación de incidentes, apoyo a la investigación y rehabilitación para que cada parte pueda cumplir sus responsabilidades legales y operacionales.</w:t>
      </w:r>
    </w:p>
    <w:bookmarkEnd w:id="701"/>
    <w:bookmarkStart w:id="702" w:name="explicación-en-lenguaje-sencillo-70"/>
    <w:p>
      <w:pPr>
        <w:pStyle w:val="Heading2"/>
      </w:pPr>
      <w:r>
        <w:rPr>
          <w:rStyle w:val="SectionNumber"/>
        </w:rPr>
        <w:t xml:space="preserve">1.659</w:t>
      </w:r>
      <w:r>
        <w:tab/>
      </w:r>
      <w:r>
        <w:t xml:space="preserve">Explicación en lenguaje sencillo</w:t>
      </w:r>
    </w:p>
    <w:p>
      <w:pPr>
        <w:pStyle w:val="FirstParagraph"/>
      </w:pPr>
      <w:r>
        <w:t xml:space="preserve">Una cláusula de auditoría que no puede producir pruebas no es un control efectivo.El cliente necesita acceso oportuno a registros relevantes y cooperación cuando ocurre un evento significativo, al tiempo que protege la confidencialidad legítima, la seguridad y los intereses intelectual-propiedad.</w:t>
      </w:r>
    </w:p>
    <w:bookmarkEnd w:id="702"/>
    <w:bookmarkStart w:id="703" w:name="requisitos-de-control-1"/>
    <w:p>
      <w:pPr>
        <w:pStyle w:val="Heading2"/>
      </w:pPr>
      <w:r>
        <w:rPr>
          <w:rStyle w:val="SectionNumber"/>
        </w:rPr>
        <w:t xml:space="preserve">1.660</w:t>
      </w:r>
      <w:r>
        <w:tab/>
      </w:r>
      <w:r>
        <w:t xml:space="preserve">Requisitos de control</w:t>
      </w:r>
    </w:p>
    <w:p>
      <w:pPr>
        <w:pStyle w:val="FirstParagraph"/>
      </w:pPr>
      <w:r>
        <w:t xml:space="preserve">Los contratos y procedimientos deben definir:</w:t>
      </w:r>
    </w:p>
    <w:p>
      <w:pPr>
        <w:numPr>
          <w:ilvl w:val="0"/>
          <w:numId w:val="1187"/>
        </w:numPr>
        <w:pStyle w:val="Compact"/>
      </w:pPr>
      <w:r>
        <w:t xml:space="preserve">el alcance, la frecuencia, la notificación, los acontecimientos desencadenantes y los revisores cualificados de la auditoría;</w:t>
      </w:r>
    </w:p>
    <w:p>
      <w:pPr>
        <w:numPr>
          <w:ilvl w:val="0"/>
          <w:numId w:val="1187"/>
        </w:numPr>
        <w:pStyle w:val="Compact"/>
      </w:pPr>
      <w:r>
        <w:t xml:space="preserve">acceso a políticas, pruebas técnicas, resultados de ensayos, registros, certificaciones y registros de rehabilitación;</w:t>
      </w:r>
    </w:p>
    <w:p>
      <w:pPr>
        <w:numPr>
          <w:ilvl w:val="0"/>
          <w:numId w:val="1187"/>
        </w:numPr>
        <w:pStyle w:val="Compact"/>
      </w:pPr>
      <w:r>
        <w:t xml:space="preserve">condiciones de confianza para los informes de garantía independientes;</w:t>
      </w:r>
    </w:p>
    <w:p>
      <w:pPr>
        <w:numPr>
          <w:ilvl w:val="0"/>
          <w:numId w:val="1187"/>
        </w:numPr>
        <w:pStyle w:val="Compact"/>
      </w:pPr>
      <w:r>
        <w:t xml:space="preserve">notificación rápida de incidentes graves, incidentes de seguridad, investigaciones reglamentarias, falta de conformidad material y degradación significativa de los servicios;</w:t>
      </w:r>
    </w:p>
    <w:p>
      <w:pPr>
        <w:numPr>
          <w:ilvl w:val="0"/>
          <w:numId w:val="1187"/>
        </w:numPr>
        <w:pStyle w:val="Compact"/>
      </w:pPr>
      <w:r>
        <w:t xml:space="preserve">contenido requerido, marcas de tiempo, actualizaciones, análisis de causas raíz y notificación de medidas correctivas;</w:t>
      </w:r>
    </w:p>
    <w:p>
      <w:pPr>
        <w:numPr>
          <w:ilvl w:val="0"/>
          <w:numId w:val="1187"/>
        </w:numPr>
        <w:pStyle w:val="Compact"/>
      </w:pPr>
      <w:r>
        <w:t xml:space="preserve">la preservación de pruebas y la cooperación con las autoridades, las personas afectadas y otros agentes de la cadena de valor;</w:t>
      </w:r>
    </w:p>
    <w:p>
      <w:pPr>
        <w:numPr>
          <w:ilvl w:val="0"/>
          <w:numId w:val="1187"/>
        </w:numPr>
        <w:pStyle w:val="Compact"/>
      </w:pPr>
      <w:r>
        <w:t xml:space="preserve">derechos de emergencia para restringir, suspender, inhabilitar o aislar el servicio;</w:t>
      </w:r>
    </w:p>
    <w:p>
      <w:pPr>
        <w:numPr>
          <w:ilvl w:val="0"/>
          <w:numId w:val="1187"/>
        </w:numPr>
        <w:pStyle w:val="Compact"/>
      </w:pPr>
      <w:r>
        <w:t xml:space="preserve">los plazos de rehabilitación, validación, escalada y derechos de rescisión;</w:t>
      </w:r>
    </w:p>
    <w:p>
      <w:pPr>
        <w:numPr>
          <w:ilvl w:val="0"/>
          <w:numId w:val="1187"/>
        </w:numPr>
        <w:pStyle w:val="Compact"/>
      </w:pPr>
      <w:r>
        <w:t xml:space="preserve">confidencialidad, privilegio, revisión segura y salvaguardias de minimización de datos;</w:t>
      </w:r>
    </w:p>
    <w:p>
      <w:pPr>
        <w:numPr>
          <w:ilvl w:val="0"/>
          <w:numId w:val="1187"/>
        </w:numPr>
        <w:pStyle w:val="Compact"/>
      </w:pPr>
      <w:r>
        <w:t xml:space="preserve">Subcontratista de flujo hacia abajo y rendición de cuentas.</w:t>
      </w:r>
    </w:p>
    <w:bookmarkEnd w:id="703"/>
    <w:bookmarkStart w:id="704" w:name="ejemplo-de-globalway-68"/>
    <w:p>
      <w:pPr>
        <w:pStyle w:val="Heading2"/>
      </w:pPr>
      <w:r>
        <w:rPr>
          <w:rStyle w:val="SectionNumber"/>
        </w:rPr>
        <w:t xml:space="preserve">1.661</w:t>
      </w:r>
      <w:r>
        <w:tab/>
      </w:r>
      <w:r>
        <w:t xml:space="preserve">Ejemplo de GlobalWay</w:t>
      </w:r>
    </w:p>
    <w:p>
      <w:pPr>
        <w:pStyle w:val="FirstParagraph"/>
      </w:pPr>
      <w:r>
        <w:t xml:space="preserve">Después de que un proveedor reporta resultados de contratación anómalos, GlobalWay invoca sus derechos de información sobre incidentes, obtiene registros de versiones y configuración, conserva registros pertinentes, valida a la población afectada, confirma si se requiere la presentación de informes reglamentarios y rastrea las medidas correctivas antes de la restauración del servicio.</w:t>
      </w:r>
    </w:p>
    <w:bookmarkEnd w:id="704"/>
    <w:bookmarkStart w:id="705" w:name="actividad-de-control-69"/>
    <w:p>
      <w:pPr>
        <w:pStyle w:val="Heading2"/>
      </w:pPr>
      <w:r>
        <w:rPr>
          <w:rStyle w:val="SectionNumber"/>
        </w:rPr>
        <w:t xml:space="preserve">1.662</w:t>
      </w:r>
      <w:r>
        <w:tab/>
      </w:r>
      <w:r>
        <w:t xml:space="preserve">Actividad de control</w:t>
      </w:r>
    </w:p>
    <w:p>
      <w:pPr>
        <w:pStyle w:val="FirstParagraph"/>
      </w:pPr>
      <w:r>
        <w:t xml:space="preserve">Los proveedores de alto riesgo requieren rutas de notificación probadas, contactos actuales, procedimientos de acceso a pruebas y autoridad de escalada. Los derechos contractuales deben ser ejercidos periódicamente en lugar de no ser probados.</w:t>
      </w:r>
    </w:p>
    <w:bookmarkEnd w:id="705"/>
    <w:bookmarkStart w:id="706" w:name="pruebas-74"/>
    <w:p>
      <w:pPr>
        <w:pStyle w:val="Heading2"/>
      </w:pPr>
      <w:r>
        <w:rPr>
          <w:rStyle w:val="SectionNumber"/>
        </w:rPr>
        <w:t xml:space="preserve">1.663</w:t>
      </w:r>
      <w:r>
        <w:tab/>
      </w:r>
      <w:r>
        <w:t xml:space="preserve">Pruebas</w:t>
      </w:r>
    </w:p>
    <w:p>
      <w:pPr>
        <w:numPr>
          <w:ilvl w:val="0"/>
          <w:numId w:val="1188"/>
        </w:numPr>
        <w:pStyle w:val="Compact"/>
      </w:pPr>
      <w:r>
        <w:t xml:space="preserve">las cláusulas de auditoría y notificación ejecutadas;</w:t>
      </w:r>
    </w:p>
    <w:p>
      <w:pPr>
        <w:numPr>
          <w:ilvl w:val="0"/>
          <w:numId w:val="1188"/>
        </w:numPr>
        <w:pStyle w:val="Compact"/>
      </w:pPr>
      <w:r>
        <w:t xml:space="preserve">los informes de garantía del proveedor;</w:t>
      </w:r>
    </w:p>
    <w:p>
      <w:pPr>
        <w:numPr>
          <w:ilvl w:val="0"/>
          <w:numId w:val="1188"/>
        </w:numPr>
        <w:pStyle w:val="Compact"/>
      </w:pPr>
      <w:r>
        <w:t xml:space="preserve">los planes e informes de auditoría;</w:t>
      </w:r>
    </w:p>
    <w:p>
      <w:pPr>
        <w:numPr>
          <w:ilvl w:val="0"/>
          <w:numId w:val="1188"/>
        </w:numPr>
        <w:pStyle w:val="Compact"/>
      </w:pPr>
      <w:r>
        <w:t xml:space="preserve">avisos de incidentes y marcas de tiempo;</w:t>
      </w:r>
    </w:p>
    <w:p>
      <w:pPr>
        <w:numPr>
          <w:ilvl w:val="0"/>
          <w:numId w:val="1188"/>
        </w:numPr>
        <w:pStyle w:val="Compact"/>
      </w:pPr>
      <w:r>
        <w:t xml:space="preserve">conservar las pruebas y los registros de la investigación;</w:t>
      </w:r>
    </w:p>
    <w:p>
      <w:pPr>
        <w:numPr>
          <w:ilvl w:val="0"/>
          <w:numId w:val="1188"/>
        </w:numPr>
        <w:pStyle w:val="Compact"/>
      </w:pPr>
      <w:r>
        <w:t xml:space="preserve">planes de rehabilitación y validación;</w:t>
      </w:r>
    </w:p>
    <w:p>
      <w:pPr>
        <w:numPr>
          <w:ilvl w:val="0"/>
          <w:numId w:val="1188"/>
        </w:numPr>
        <w:pStyle w:val="Compact"/>
      </w:pPr>
      <w:r>
        <w:t xml:space="preserve">las decisiones de escalada, suspensión y cierre;</w:t>
      </w:r>
    </w:p>
    <w:p>
      <w:pPr>
        <w:numPr>
          <w:ilvl w:val="0"/>
          <w:numId w:val="1188"/>
        </w:numPr>
        <w:pStyle w:val="Compact"/>
      </w:pPr>
      <w:r>
        <w:t xml:space="preserve">Pruebas de aseguramiento de subcontratistas.</w:t>
      </w:r>
    </w:p>
    <w:bookmarkEnd w:id="706"/>
    <w:bookmarkStart w:id="707" w:name="prueba-de-auditoría-70"/>
    <w:p>
      <w:pPr>
        <w:pStyle w:val="Heading2"/>
      </w:pPr>
      <w:r>
        <w:rPr>
          <w:rStyle w:val="SectionNumber"/>
        </w:rPr>
        <w:t xml:space="preserve">1.664</w:t>
      </w:r>
      <w:r>
        <w:tab/>
      </w:r>
      <w:r>
        <w:t xml:space="preserve">Prueba de auditoría</w:t>
      </w:r>
    </w:p>
    <w:p>
      <w:pPr>
        <w:pStyle w:val="FirstParagraph"/>
      </w:pPr>
      <w:r>
        <w:t xml:space="preserve">Confirme que los derechos contractuales abarcan las pruebas y los acontecimientos pertinentes, que se cumplieron los plazos de notificación, que las investigaciones recibieron la cooperación adecuada, que se validó la rehabilitación y que se intensificaron las limitaciones de acceso no resueltas.</w:t>
      </w:r>
    </w:p>
    <w:bookmarkEnd w:id="707"/>
    <w:bookmarkStart w:id="708" w:name="referencias-jurídicas-primarias-43"/>
    <w:p>
      <w:pPr>
        <w:pStyle w:val="Heading2"/>
      </w:pPr>
      <w:r>
        <w:rPr>
          <w:rStyle w:val="SectionNumber"/>
        </w:rPr>
        <w:t xml:space="preserve">1.665</w:t>
      </w:r>
      <w:r>
        <w:tab/>
      </w:r>
      <w:r>
        <w:t xml:space="preserve">Referencias jurídicas primarias</w:t>
      </w:r>
    </w:p>
    <w:p>
      <w:pPr>
        <w:numPr>
          <w:ilvl w:val="0"/>
          <w:numId w:val="1189"/>
        </w:numPr>
        <w:pStyle w:val="Compact"/>
      </w:pPr>
      <w:r>
        <w:t xml:space="preserve">Reglamento (UE) 2024/1689, en su versión modificada: disposiciones aplicables en materia de documentación, registro, seguimiento, incidentes graves, medidas correctoras, acceso a la autoridad y cooperación en la cadena de valor.</w:t>
      </w:r>
    </w:p>
    <w:p>
      <w:pPr>
        <w:numPr>
          <w:ilvl w:val="0"/>
          <w:numId w:val="1189"/>
        </w:numPr>
        <w:pStyle w:val="Compact"/>
      </w:pPr>
      <w:r>
        <w:t xml:space="preserve">Ley aplicable de privacidad, ciberseguridad, seguridad de los productos y notificación sectorial.</w:t>
      </w:r>
    </w:p>
    <w:bookmarkEnd w:id="708"/>
    <w:bookmarkStart w:id="709" w:name="Xcf6ed5f82294e4120658f29adb97a8cb60303f1"/>
    <w:p>
      <w:pPr>
        <w:pStyle w:val="Heading2"/>
      </w:pPr>
      <w:r>
        <w:rPr>
          <w:rStyle w:val="SectionNumber"/>
        </w:rPr>
        <w:t xml:space="preserve">1.666</w:t>
      </w:r>
      <w:r>
        <w:tab/>
      </w:r>
      <w:r>
        <w:t xml:space="preserve">Capítulo 76 — Riesgo de dependencia en la nube, la API y el modelo</w:t>
      </w:r>
    </w:p>
    <w:p>
      <w:pPr>
        <w:pStyle w:val="BlockText"/>
      </w:pPr>
      <w:r>
        <w:rPr>
          <w:bCs/>
          <w:b/>
        </w:rPr>
        <w:t xml:space="preserve">Estatus legal:</w:t>
      </w:r>
      <w:r>
        <w:t xml:space="preserve"> </w:t>
      </w:r>
      <w:r>
        <w:t xml:space="preserve">Corregido Maestro Inglés para la consolidación. Este archivo controla el lenguaje de borrador anterior del Capítulo 76 en conflicto.</w:t>
      </w:r>
    </w:p>
    <w:bookmarkEnd w:id="709"/>
    <w:bookmarkStart w:id="710" w:name="requisito-74"/>
    <w:p>
      <w:pPr>
        <w:pStyle w:val="Heading2"/>
      </w:pPr>
      <w:r>
        <w:rPr>
          <w:rStyle w:val="SectionNumber"/>
        </w:rPr>
        <w:t xml:space="preserve">1.667</w:t>
      </w:r>
      <w:r>
        <w:tab/>
      </w:r>
      <w:r>
        <w:t xml:space="preserve">Requisito</w:t>
      </w:r>
    </w:p>
    <w:p>
      <w:pPr>
        <w:pStyle w:val="FirstParagraph"/>
      </w:pPr>
      <w:r>
        <w:t xml:space="preserve">Las organizaciones deben identificar y gestionar la nube de materiales, API, modelo, datos, componentes de software y dependencias de subprocesadores que afectan a sus sistemas de IA. La Ley de IA de la UE no crea un programa independiente de riesgo de dependencia para cada operador, sino que el proveedor, el implementador, el importador, el distribuidor, el fabricante de productos, la gestión de la calidad, la gestión de riesgos, la ciberseguridad, el monitoreo, los incidentes, la documentación y las obligaciones de cooperación requieren suficiente visibilidad y control sobre las dependencias pertinentes.</w:t>
      </w:r>
    </w:p>
    <w:bookmarkEnd w:id="710"/>
    <w:bookmarkStart w:id="711" w:name="explicación-en-lenguaje-sencillo-71"/>
    <w:p>
      <w:pPr>
        <w:pStyle w:val="Heading2"/>
      </w:pPr>
      <w:r>
        <w:rPr>
          <w:rStyle w:val="SectionNumber"/>
        </w:rPr>
        <w:t xml:space="preserve">1.668</w:t>
      </w:r>
      <w:r>
        <w:tab/>
      </w:r>
      <w:r>
        <w:t xml:space="preserve">Explicación en lenguaje sencillo</w:t>
      </w:r>
    </w:p>
    <w:p>
      <w:pPr>
        <w:pStyle w:val="FirstParagraph"/>
      </w:pPr>
      <w:r>
        <w:t xml:space="preserve">Un servicio de IA puede depender de varios componentes externos incluso cuando parece a los usuarios como un sistema único. Un cambio de proveedor, corte, sustitución de modelos, deprecación de API, cambio de ruta regional, subprocesador indocumentado, o pérdida de registros puede alterar la clasificación legal, seguridad, accesibilidad, privacidad, seguridad, supervisión humana o continuidad. Contratar un componente no elimina los deberes legales de la organización.</w:t>
      </w:r>
    </w:p>
    <w:bookmarkEnd w:id="711"/>
    <w:bookmarkStart w:id="712" w:name="X75d1d0b64d369380e51b57cd961fded1e35f873"/>
    <w:p>
      <w:pPr>
        <w:pStyle w:val="Heading2"/>
      </w:pPr>
      <w:r>
        <w:rPr>
          <w:rStyle w:val="SectionNumber"/>
        </w:rPr>
        <w:t xml:space="preserve">1.669</w:t>
      </w:r>
      <w:r>
        <w:tab/>
      </w:r>
      <w:r>
        <w:t xml:space="preserve">Necesidades en materia de gobernanza de las dependencias</w:t>
      </w:r>
    </w:p>
    <w:p>
      <w:pPr>
        <w:pStyle w:val="FirstParagraph"/>
      </w:pPr>
      <w:r>
        <w:t xml:space="preserve">Para cada dependencia material, documentar y evaluar:</w:t>
      </w:r>
    </w:p>
    <w:p>
      <w:pPr>
        <w:numPr>
          <w:ilvl w:val="0"/>
          <w:numId w:val="1190"/>
        </w:numPr>
        <w:pStyle w:val="Compact"/>
      </w:pPr>
      <w:r>
        <w:t xml:space="preserve">componente, proveedor, subprocesador, propósito, propietario y criticidad;</w:t>
      </w:r>
    </w:p>
    <w:p>
      <w:pPr>
        <w:numPr>
          <w:ilvl w:val="0"/>
          <w:numId w:val="1190"/>
        </w:numPr>
        <w:pStyle w:val="Compact"/>
      </w:pPr>
      <w:r>
        <w:t xml:space="preserve">modelos, API, software, datos y versiones de configuración;</w:t>
      </w:r>
    </w:p>
    <w:p>
      <w:pPr>
        <w:numPr>
          <w:ilvl w:val="0"/>
          <w:numId w:val="1190"/>
        </w:numPr>
        <w:pStyle w:val="Compact"/>
      </w:pPr>
      <w:r>
        <w:t xml:space="preserve">los lugares de tratamiento y apoyo, los flujos de datos, la retención y los acuerdos de transferencia;</w:t>
      </w:r>
    </w:p>
    <w:p>
      <w:pPr>
        <w:numPr>
          <w:ilvl w:val="0"/>
          <w:numId w:val="1190"/>
        </w:numPr>
        <w:pStyle w:val="Compact"/>
      </w:pPr>
      <w:r>
        <w:t xml:space="preserve">disponibilidad, niveles de servicio, capacidad de recuperación, cuotas y límites de tarifas;</w:t>
      </w:r>
    </w:p>
    <w:p>
      <w:pPr>
        <w:numPr>
          <w:ilvl w:val="0"/>
          <w:numId w:val="1190"/>
        </w:numPr>
        <w:pStyle w:val="Compact"/>
      </w:pPr>
      <w:r>
        <w:t xml:space="preserve">los procesos de cambio-notificación, liberación, depredación y cambio de emergencia;</w:t>
      </w:r>
    </w:p>
    <w:p>
      <w:pPr>
        <w:numPr>
          <w:ilvl w:val="0"/>
          <w:numId w:val="1190"/>
        </w:numPr>
        <w:pStyle w:val="Compact"/>
      </w:pPr>
      <w:r>
        <w:t xml:space="preserve">seguridad, acceso privilegiado, secretos, separación de inquilinos y gestión de la vulnerabilidad;</w:t>
      </w:r>
    </w:p>
    <w:p>
      <w:pPr>
        <w:numPr>
          <w:ilvl w:val="0"/>
          <w:numId w:val="1190"/>
        </w:numPr>
        <w:pStyle w:val="Compact"/>
      </w:pPr>
      <w:r>
        <w:t xml:space="preserve">la capacidad de tala, vigilancia, acceso a pruebas y notificación de incidentes;</w:t>
      </w:r>
    </w:p>
    <w:p>
      <w:pPr>
        <w:numPr>
          <w:ilvl w:val="0"/>
          <w:numId w:val="1190"/>
        </w:numPr>
        <w:pStyle w:val="Compact"/>
      </w:pPr>
      <w:r>
        <w:t xml:space="preserve">concentración, bloqueo, sustitución y riesgo de fallo en un solo punto;</w:t>
      </w:r>
    </w:p>
    <w:p>
      <w:pPr>
        <w:numPr>
          <w:ilvl w:val="0"/>
          <w:numId w:val="1190"/>
        </w:numPr>
        <w:pStyle w:val="Compact"/>
      </w:pPr>
      <w:r>
        <w:t xml:space="preserve">sistemas de retroactividad ensayados, modo seguro, solo para personas o suspensión controlada;</w:t>
      </w:r>
    </w:p>
    <w:p>
      <w:pPr>
        <w:numPr>
          <w:ilvl w:val="0"/>
          <w:numId w:val="1190"/>
        </w:numPr>
        <w:pStyle w:val="Compact"/>
      </w:pPr>
      <w:r>
        <w:t xml:space="preserve">desencadenantes de reevaluación, revalidación, revisión de la transparencia o análisis de modificaciones sustanciales.</w:t>
      </w:r>
    </w:p>
    <w:bookmarkEnd w:id="712"/>
    <w:bookmarkStart w:id="713" w:name="ejemplo-de-globalway-69"/>
    <w:p>
      <w:pPr>
        <w:pStyle w:val="Heading2"/>
      </w:pPr>
      <w:r>
        <w:rPr>
          <w:rStyle w:val="SectionNumber"/>
        </w:rPr>
        <w:t xml:space="preserve">1.670</w:t>
      </w:r>
      <w:r>
        <w:tab/>
      </w:r>
      <w:r>
        <w:t xml:space="preserve">Ejemplo de GlobalWay</w:t>
      </w:r>
    </w:p>
    <w:p>
      <w:pPr>
        <w:pStyle w:val="FirstParagraph"/>
      </w:pPr>
      <w:r>
        <w:t xml:space="preserve">El servicio de asistencia al viajero de GlobalWay se basa en un modelo alojado, plataforma en la nube, API de traducción, proveedor de identidad, base de datos de recuperación y servicio de monitoreo. Después de una actualización de modelo sin previo aviso reduce la precisión multilingüe y omite las limitaciones de accesibilidad, GlobalWay restringe las funciones afectadas, dirige los casos a consultores capacitados, preserva la versión y la evidencia de salida, requiere investigación del proveedor y revalida el servicio antes de la restauración.</w:t>
      </w:r>
    </w:p>
    <w:bookmarkEnd w:id="713"/>
    <w:bookmarkStart w:id="714" w:name="actividad-de-control-70"/>
    <w:p>
      <w:pPr>
        <w:pStyle w:val="Heading2"/>
      </w:pPr>
      <w:r>
        <w:rPr>
          <w:rStyle w:val="SectionNumber"/>
        </w:rPr>
        <w:t xml:space="preserve">1.671</w:t>
      </w:r>
      <w:r>
        <w:tab/>
      </w:r>
      <w:r>
        <w:t xml:space="preserve">Actividad de control</w:t>
      </w:r>
    </w:p>
    <w:p>
      <w:pPr>
        <w:pStyle w:val="FirstParagraph"/>
      </w:pPr>
      <w:r>
        <w:t xml:space="preserve">Las dependencias materiales deben ser registradas en el inventario de IA y la documentación de arquitectura. Las dependencias altas o críticas deben ser monitoreadas para cambios y cortes, probadas antes de cambios en la producción de materiales, y apoyadas por arreglos aprobados de continuidad y escalada.</w:t>
      </w:r>
    </w:p>
    <w:bookmarkEnd w:id="714"/>
    <w:bookmarkStart w:id="715" w:name="pruebas-75"/>
    <w:p>
      <w:pPr>
        <w:pStyle w:val="Heading2"/>
      </w:pPr>
      <w:r>
        <w:rPr>
          <w:rStyle w:val="SectionNumber"/>
        </w:rPr>
        <w:t xml:space="preserve">1.672</w:t>
      </w:r>
      <w:r>
        <w:tab/>
      </w:r>
      <w:r>
        <w:t xml:space="preserve">Pruebas</w:t>
      </w:r>
    </w:p>
    <w:p>
      <w:pPr>
        <w:numPr>
          <w:ilvl w:val="0"/>
          <w:numId w:val="1191"/>
        </w:numPr>
        <w:pStyle w:val="Compact"/>
      </w:pPr>
      <w:r>
        <w:t xml:space="preserve">la dependencia y el inventario de arquitectura;</w:t>
      </w:r>
    </w:p>
    <w:p>
      <w:pPr>
        <w:numPr>
          <w:ilvl w:val="0"/>
          <w:numId w:val="1191"/>
        </w:numPr>
        <w:pStyle w:val="Compact"/>
      </w:pPr>
      <w:r>
        <w:t xml:space="preserve">registros de proveedores y subprocesadores;</w:t>
      </w:r>
    </w:p>
    <w:p>
      <w:pPr>
        <w:numPr>
          <w:ilvl w:val="0"/>
          <w:numId w:val="1191"/>
        </w:numPr>
        <w:pStyle w:val="Compact"/>
      </w:pPr>
      <w:r>
        <w:t xml:space="preserve">la versión y el historial de configuración;</w:t>
      </w:r>
    </w:p>
    <w:p>
      <w:pPr>
        <w:numPr>
          <w:ilvl w:val="0"/>
          <w:numId w:val="1191"/>
        </w:numPr>
        <w:pStyle w:val="Compact"/>
      </w:pPr>
      <w:r>
        <w:t xml:space="preserve">contratos, niveles de servicio y avisos de cambio;</w:t>
      </w:r>
    </w:p>
    <w:p>
      <w:pPr>
        <w:numPr>
          <w:ilvl w:val="0"/>
          <w:numId w:val="1191"/>
        </w:numPr>
        <w:pStyle w:val="Compact"/>
      </w:pPr>
      <w:r>
        <w:t xml:space="preserve">evaluaciones de la localización y transferencia de datos;</w:t>
      </w:r>
    </w:p>
    <w:p>
      <w:pPr>
        <w:numPr>
          <w:ilvl w:val="0"/>
          <w:numId w:val="1191"/>
        </w:numPr>
        <w:pStyle w:val="Compact"/>
      </w:pPr>
      <w:r>
        <w:t xml:space="preserve">las revisiones de la seguridad y el acceso;</w:t>
      </w:r>
    </w:p>
    <w:p>
      <w:pPr>
        <w:numPr>
          <w:ilvl w:val="0"/>
          <w:numId w:val="1191"/>
        </w:numPr>
        <w:pStyle w:val="Compact"/>
      </w:pPr>
      <w:r>
        <w:t xml:space="preserve">resultados de ensayo, regresión y revalidación;</w:t>
      </w:r>
    </w:p>
    <w:p>
      <w:pPr>
        <w:numPr>
          <w:ilvl w:val="0"/>
          <w:numId w:val="1191"/>
        </w:numPr>
        <w:pStyle w:val="Compact"/>
      </w:pPr>
      <w:r>
        <w:t xml:space="preserve">el seguimiento, el corte y los registros de incidentes;</w:t>
      </w:r>
    </w:p>
    <w:p>
      <w:pPr>
        <w:numPr>
          <w:ilvl w:val="0"/>
          <w:numId w:val="1191"/>
        </w:numPr>
        <w:pStyle w:val="Compact"/>
      </w:pPr>
      <w:r>
        <w:t xml:space="preserve">ejercicios de recuperación y continuidad;</w:t>
      </w:r>
    </w:p>
    <w:p>
      <w:pPr>
        <w:numPr>
          <w:ilvl w:val="0"/>
          <w:numId w:val="1191"/>
        </w:numPr>
        <w:pStyle w:val="Compact"/>
      </w:pPr>
      <w:r>
        <w:t xml:space="preserve">la aceptación del riesgo y las decisiones de los propietarios responsables.</w:t>
      </w:r>
    </w:p>
    <w:bookmarkEnd w:id="715"/>
    <w:bookmarkStart w:id="716" w:name="prueba-de-auditoría-71"/>
    <w:p>
      <w:pPr>
        <w:pStyle w:val="Heading2"/>
      </w:pPr>
      <w:r>
        <w:rPr>
          <w:rStyle w:val="SectionNumber"/>
        </w:rPr>
        <w:t xml:space="preserve">1.673</w:t>
      </w:r>
      <w:r>
        <w:tab/>
      </w:r>
      <w:r>
        <w:t xml:space="preserve">Prueba de auditoría</w:t>
      </w:r>
    </w:p>
    <w:p>
      <w:pPr>
        <w:pStyle w:val="FirstParagraph"/>
      </w:pPr>
      <w:r>
        <w:t xml:space="preserve">Seleccionar sistemas de IA altos y críticos. Confirmar que las dependencias materiales son completas y actuales; se conocen versiones, regiones, subprocesadores y propietarios; los cambios materiales desencadenaron revisiones y pruebas apropiadas; se llevaron a cabo arreglos de continuidad; las pruebas siguieron siendo accesibles; y los riesgos de dependencia no resueltos se intensificaron para los encargados de adoptar decisiones autorizados.</w:t>
      </w:r>
    </w:p>
    <w:bookmarkEnd w:id="716"/>
    <w:bookmarkStart w:id="717" w:name="referencias-jurídicas-primarias-44"/>
    <w:p>
      <w:pPr>
        <w:pStyle w:val="Heading2"/>
      </w:pPr>
      <w:r>
        <w:rPr>
          <w:rStyle w:val="SectionNumber"/>
        </w:rPr>
        <w:t xml:space="preserve">1.674</w:t>
      </w:r>
      <w:r>
        <w:tab/>
      </w:r>
      <w:r>
        <w:t xml:space="preserve">Referencias jurídicas primarias</w:t>
      </w:r>
    </w:p>
    <w:p>
      <w:pPr>
        <w:numPr>
          <w:ilvl w:val="0"/>
          <w:numId w:val="1192"/>
        </w:numPr>
        <w:pStyle w:val="Compact"/>
      </w:pPr>
      <w:r>
        <w:t xml:space="preserve">Reglamento (UE) 2024/1689, modificado: artículos 9 a 17, 20 a 26, 72 a 74, 78 a 82 aplicables, y anexos conexos, en función de la función y la clasificación del sistema.</w:t>
      </w:r>
    </w:p>
    <w:p>
      <w:pPr>
        <w:numPr>
          <w:ilvl w:val="0"/>
          <w:numId w:val="1192"/>
        </w:numPr>
        <w:pStyle w:val="Compact"/>
      </w:pPr>
      <w:r>
        <w:t xml:space="preserve">Reglamento (UE) 2016/679 y otros requisitos aplicables en materia de privacidad, ciberseguridad, seguridad de los productos, protección de los consumidores y sector.</w:t>
      </w:r>
    </w:p>
    <w:p>
      <w:pPr>
        <w:numPr>
          <w:ilvl w:val="0"/>
          <w:numId w:val="1192"/>
        </w:numPr>
        <w:pStyle w:val="Compact"/>
      </w:pPr>
      <w:r>
        <w:t xml:space="preserve">Las prácticas de gestión de la dependencia en este capítulo son métodos de gobernanza y garantía utilizados para apoyar las obligaciones jurídicas aplicables; no son un catálogo de control legal independiente.</w:t>
      </w:r>
    </w:p>
    <w:p>
      <w:pPr>
        <w:numPr>
          <w:ilvl w:val="0"/>
          <w:numId w:val="1192"/>
        </w:numPr>
        <w:pStyle w:val="Compact"/>
      </w:pPr>
      <w:r>
        <w:t xml:space="preserve">Los textos oficiales consolidados actuales controlan los resúmenes antiguos.</w:t>
      </w:r>
    </w:p>
    <w:bookmarkEnd w:id="717"/>
    <w:bookmarkStart w:id="718" w:name="Xccd97b16fc0c6deebc8d56d3e9b4f752d2ff3b1"/>
    <w:p>
      <w:pPr>
        <w:pStyle w:val="Heading2"/>
      </w:pPr>
      <w:r>
        <w:rPr>
          <w:rStyle w:val="SectionNumber"/>
        </w:rPr>
        <w:t xml:space="preserve">1.675</w:t>
      </w:r>
      <w:r>
        <w:tab/>
      </w:r>
      <w:r>
        <w:t xml:space="preserve">Capítulo 77 — Gobernanza de código abierto y componentes</w:t>
      </w:r>
    </w:p>
    <w:p>
      <w:pPr>
        <w:pStyle w:val="BlockText"/>
      </w:pPr>
      <w:r>
        <w:rPr>
          <w:bCs/>
          <w:b/>
        </w:rPr>
        <w:t xml:space="preserve">Estatus legal:</w:t>
      </w:r>
      <w:r>
        <w:t xml:space="preserve"> </w:t>
      </w:r>
      <w:r>
        <w:t xml:space="preserve">Corregido Maestro Inglés para la consolidación. Este archivo controla el lenguaje de borrador anterior del Capítulo 77 en conflicto.</w:t>
      </w:r>
    </w:p>
    <w:bookmarkEnd w:id="718"/>
    <w:bookmarkStart w:id="719" w:name="requisito-75"/>
    <w:p>
      <w:pPr>
        <w:pStyle w:val="Heading2"/>
      </w:pPr>
      <w:r>
        <w:rPr>
          <w:rStyle w:val="SectionNumber"/>
        </w:rPr>
        <w:t xml:space="preserve">1.676</w:t>
      </w:r>
      <w:r>
        <w:tab/>
      </w:r>
      <w:r>
        <w:t xml:space="preserve">Requisito</w:t>
      </w:r>
    </w:p>
    <w:p>
      <w:pPr>
        <w:pStyle w:val="FirstParagraph"/>
      </w:pPr>
      <w:r>
        <w:t xml:space="preserve">Las organizaciones deben evaluar los modelos, sistemas, programas informáticos, conjuntos de datos y componentes de IA de código abierto con arreglo a las condiciones específicas del Reglamento (UE) 2024/1689, en su forma enmendada, en lugar de tratar el estatus de código abierto como una exclusión general. La evaluación debe considerar el papel de los actores, la comercialización, la integración descendente, el uso de alto riesgo, el tratamiento de GPAI, la ciberseguridad, la modificación sustancial, la concesión de licencias, la procedencia y la capacidad de apoyo.</w:t>
      </w:r>
    </w:p>
    <w:bookmarkEnd w:id="719"/>
    <w:bookmarkStart w:id="720" w:name="explicación-en-lenguaje-sencillo-72"/>
    <w:p>
      <w:pPr>
        <w:pStyle w:val="Heading2"/>
      </w:pPr>
      <w:r>
        <w:rPr>
          <w:rStyle w:val="SectionNumber"/>
        </w:rPr>
        <w:t xml:space="preserve">1.677</w:t>
      </w:r>
      <w:r>
        <w:tab/>
      </w:r>
      <w:r>
        <w:t xml:space="preserve">Explicación en lenguaje sencillo</w:t>
      </w:r>
    </w:p>
    <w:p>
      <w:pPr>
        <w:pStyle w:val="FirstParagraph"/>
      </w:pPr>
      <w:r>
        <w:t xml:space="preserve">La distribución de código abierto puede afectar a las obligaciones que se aplican, pero no elimina automáticamente la responsabilidad jurídica.Una vez que un componente abierto se integra en un producto, se modifica, se comercializa, se utiliza con el nombre de una organización o se despliega en un contexto regulado, pueden surgir diferentes deberes.</w:t>
      </w:r>
    </w:p>
    <w:bookmarkEnd w:id="720"/>
    <w:bookmarkStart w:id="721" w:name="necesidades-en-materia-de-gobernanza"/>
    <w:p>
      <w:pPr>
        <w:pStyle w:val="Heading2"/>
      </w:pPr>
      <w:r>
        <w:rPr>
          <w:rStyle w:val="SectionNumber"/>
        </w:rPr>
        <w:t xml:space="preserve">1.678</w:t>
      </w:r>
      <w:r>
        <w:tab/>
      </w:r>
      <w:r>
        <w:t xml:space="preserve">Necesidades en materia de gobernanza</w:t>
      </w:r>
    </w:p>
    <w:p>
      <w:pPr>
        <w:pStyle w:val="FirstParagraph"/>
      </w:pPr>
      <w:r>
        <w:t xml:space="preserve">Mantener los controles para:</w:t>
      </w:r>
    </w:p>
    <w:p>
      <w:pPr>
        <w:numPr>
          <w:ilvl w:val="0"/>
          <w:numId w:val="1193"/>
        </w:numPr>
        <w:pStyle w:val="Compact"/>
      </w:pPr>
      <w:r>
        <w:t xml:space="preserve">procedencia de los componentes y modelos;</w:t>
      </w:r>
    </w:p>
    <w:p>
      <w:pPr>
        <w:numPr>
          <w:ilvl w:val="0"/>
          <w:numId w:val="1193"/>
        </w:numPr>
        <w:pStyle w:val="Compact"/>
      </w:pPr>
      <w:r>
        <w:t xml:space="preserve">condiciones de licencia, restricciones, atribución y compatibilidad;</w:t>
      </w:r>
    </w:p>
    <w:p>
      <w:pPr>
        <w:numPr>
          <w:ilvl w:val="0"/>
          <w:numId w:val="1193"/>
        </w:numPr>
        <w:pStyle w:val="Compact"/>
      </w:pPr>
      <w:r>
        <w:t xml:space="preserve">identidad del mantenedor, historial de liberación y estado de soporte;</w:t>
      </w:r>
    </w:p>
    <w:p>
      <w:pPr>
        <w:numPr>
          <w:ilvl w:val="0"/>
          <w:numId w:val="1193"/>
        </w:numPr>
        <w:pStyle w:val="Compact"/>
      </w:pPr>
      <w:r>
        <w:t xml:space="preserve">vulnerabilidades, incidentes y avisos de seguridad conocidos;</w:t>
      </w:r>
    </w:p>
    <w:p>
      <w:pPr>
        <w:numPr>
          <w:ilvl w:val="0"/>
          <w:numId w:val="1193"/>
        </w:numPr>
        <w:pStyle w:val="Compact"/>
      </w:pPr>
      <w:r>
        <w:t xml:space="preserve">disponibilidad de datos de formación, conjuntos de datos y documentación;</w:t>
      </w:r>
    </w:p>
    <w:p>
      <w:pPr>
        <w:numPr>
          <w:ilvl w:val="0"/>
          <w:numId w:val="1193"/>
        </w:numPr>
        <w:pStyle w:val="Compact"/>
      </w:pPr>
      <w:r>
        <w:t xml:space="preserve">la finalidad prevista, las limitaciones y los usos prohibidos o no justificados;</w:t>
      </w:r>
    </w:p>
    <w:p>
      <w:pPr>
        <w:numPr>
          <w:ilvl w:val="0"/>
          <w:numId w:val="1193"/>
        </w:numPr>
        <w:pStyle w:val="Compact"/>
      </w:pPr>
      <w:r>
        <w:t xml:space="preserve">las consecuencias posteriores de la modificación y la integración;</w:t>
      </w:r>
    </w:p>
    <w:p>
      <w:pPr>
        <w:numPr>
          <w:ilvl w:val="0"/>
          <w:numId w:val="1193"/>
        </w:numPr>
        <w:pStyle w:val="Compact"/>
      </w:pPr>
      <w:r>
        <w:t xml:space="preserve">evaluación de la función del proveedor y de la modificación sustancial;</w:t>
      </w:r>
    </w:p>
    <w:p>
      <w:pPr>
        <w:numPr>
          <w:ilvl w:val="0"/>
          <w:numId w:val="1193"/>
        </w:numPr>
        <w:pStyle w:val="Compact"/>
      </w:pPr>
      <w:r>
        <w:t xml:space="preserve">alto riesgo, transparencia y clasificación del GPAI;</w:t>
      </w:r>
    </w:p>
    <w:p>
      <w:pPr>
        <w:numPr>
          <w:ilvl w:val="0"/>
          <w:numId w:val="1193"/>
        </w:numPr>
        <w:pStyle w:val="Compact"/>
      </w:pPr>
      <w:r>
        <w:t xml:space="preserve">versión de pinning, pruebas, monitoreo, reemplazo y salida.</w:t>
      </w:r>
    </w:p>
    <w:bookmarkEnd w:id="721"/>
    <w:bookmarkStart w:id="722" w:name="ejemplo-de-globalway-70"/>
    <w:p>
      <w:pPr>
        <w:pStyle w:val="Heading2"/>
      </w:pPr>
      <w:r>
        <w:rPr>
          <w:rStyle w:val="SectionNumber"/>
        </w:rPr>
        <w:t xml:space="preserve">1.679</w:t>
      </w:r>
      <w:r>
        <w:tab/>
      </w:r>
      <w:r>
        <w:t xml:space="preserve">Ejemplo de GlobalWay</w:t>
      </w:r>
    </w:p>
    <w:p>
      <w:pPr>
        <w:pStyle w:val="FirstParagraph"/>
      </w:pPr>
      <w:r>
        <w:t xml:space="preserve">GlobalWay integra un modelo de lenguaje de código abierto en un flujo de trabajo interno de soporte de viajes. Antes del uso de la producción, registra la versión del modelo y la licencia, revisa la procedencia y las limitaciones, prueba la seguridad y el rendimiento, evalúa si el ajuste o el despliegue de su propia marca cambia su papel legal, y documenta una ruta de salida si el proyecto no es apoyado.</w:t>
      </w:r>
    </w:p>
    <w:bookmarkEnd w:id="722"/>
    <w:bookmarkStart w:id="723" w:name="actividad-de-control-71"/>
    <w:p>
      <w:pPr>
        <w:pStyle w:val="Heading2"/>
      </w:pPr>
      <w:r>
        <w:rPr>
          <w:rStyle w:val="SectionNumber"/>
        </w:rPr>
        <w:t xml:space="preserve">1.680</w:t>
      </w:r>
      <w:r>
        <w:tab/>
      </w:r>
      <w:r>
        <w:t xml:space="preserve">Actividad de control</w:t>
      </w:r>
    </w:p>
    <w:p>
      <w:pPr>
        <w:pStyle w:val="FirstParagraph"/>
      </w:pPr>
      <w:r>
        <w:t xml:space="preserve">Ningún componente de IA de código abierto puede entrar en la producción sin registro de inventario, revisión legal y de seguridad, aprobación de licencias, pruebas específicas de versiones, análisis de funciones y clasificación, y un propietario de mantenimiento responsable.</w:t>
      </w:r>
    </w:p>
    <w:bookmarkEnd w:id="723"/>
    <w:bookmarkStart w:id="724" w:name="pruebas-76"/>
    <w:p>
      <w:pPr>
        <w:pStyle w:val="Heading2"/>
      </w:pPr>
      <w:r>
        <w:rPr>
          <w:rStyle w:val="SectionNumber"/>
        </w:rPr>
        <w:t xml:space="preserve">1.681</w:t>
      </w:r>
      <w:r>
        <w:tab/>
      </w:r>
      <w:r>
        <w:t xml:space="preserve">Pruebas</w:t>
      </w:r>
    </w:p>
    <w:p>
      <w:pPr>
        <w:numPr>
          <w:ilvl w:val="0"/>
          <w:numId w:val="1194"/>
        </w:numPr>
        <w:pStyle w:val="Compact"/>
      </w:pPr>
      <w:r>
        <w:t xml:space="preserve">software y modelo de factura de materiales;</w:t>
      </w:r>
    </w:p>
    <w:p>
      <w:pPr>
        <w:numPr>
          <w:ilvl w:val="0"/>
          <w:numId w:val="1194"/>
        </w:numPr>
        <w:pStyle w:val="Compact"/>
      </w:pPr>
      <w:r>
        <w:t xml:space="preserve">la licencia y el registro de atribución;</w:t>
      </w:r>
    </w:p>
    <w:p>
      <w:pPr>
        <w:numPr>
          <w:ilvl w:val="0"/>
          <w:numId w:val="1194"/>
        </w:numPr>
        <w:pStyle w:val="Compact"/>
      </w:pPr>
      <w:r>
        <w:t xml:space="preserve">la procedencia y la revisión del encargado;</w:t>
      </w:r>
    </w:p>
    <w:p>
      <w:pPr>
        <w:numPr>
          <w:ilvl w:val="0"/>
          <w:numId w:val="1194"/>
        </w:numPr>
        <w:pStyle w:val="Compact"/>
      </w:pPr>
      <w:r>
        <w:t xml:space="preserve">evaluación de la vulnerabilidad y la seguridad;</w:t>
      </w:r>
    </w:p>
    <w:p>
      <w:pPr>
        <w:numPr>
          <w:ilvl w:val="0"/>
          <w:numId w:val="1194"/>
        </w:numPr>
        <w:pStyle w:val="Compact"/>
      </w:pPr>
      <w:r>
        <w:t xml:space="preserve">la finalidad prevista y el registro de limitación;</w:t>
      </w:r>
    </w:p>
    <w:p>
      <w:pPr>
        <w:numPr>
          <w:ilvl w:val="0"/>
          <w:numId w:val="1194"/>
        </w:numPr>
        <w:pStyle w:val="Compact"/>
      </w:pPr>
      <w:r>
        <w:t xml:space="preserve">evaluación de las funciones y la clasificación;</w:t>
      </w:r>
    </w:p>
    <w:p>
      <w:pPr>
        <w:numPr>
          <w:ilvl w:val="0"/>
          <w:numId w:val="1194"/>
        </w:numPr>
        <w:pStyle w:val="Compact"/>
      </w:pPr>
      <w:r>
        <w:t xml:space="preserve">pruebas de ensayo y aprobación;</w:t>
      </w:r>
    </w:p>
    <w:p>
      <w:pPr>
        <w:numPr>
          <w:ilvl w:val="0"/>
          <w:numId w:val="1194"/>
        </w:numPr>
        <w:pStyle w:val="Compact"/>
      </w:pPr>
      <w:r>
        <w:t xml:space="preserve">seguimiento y plan de sustitución.</w:t>
      </w:r>
    </w:p>
    <w:bookmarkEnd w:id="724"/>
    <w:bookmarkStart w:id="725" w:name="prueba-de-auditoría-72"/>
    <w:p>
      <w:pPr>
        <w:pStyle w:val="Heading2"/>
      </w:pPr>
      <w:r>
        <w:rPr>
          <w:rStyle w:val="SectionNumber"/>
        </w:rPr>
        <w:t xml:space="preserve">1.682</w:t>
      </w:r>
      <w:r>
        <w:tab/>
      </w:r>
      <w:r>
        <w:t xml:space="preserve">Prueba de auditoría</w:t>
      </w:r>
    </w:p>
    <w:p>
      <w:pPr>
        <w:pStyle w:val="FirstParagraph"/>
      </w:pPr>
      <w:r>
        <w:t xml:space="preserve">Seleccione componentes de IA de código abierto en la producción. Confirme que las versiones exactas son inventariadas, licencia y procedencia fueron revisadas, rol legal y clasificación fueron evaluadas, vulnerabilidades y limitaciones son monitoreadas, y modificaciones materiales desencadenaron reevaluación.</w:t>
      </w:r>
    </w:p>
    <w:bookmarkEnd w:id="725"/>
    <w:bookmarkStart w:id="726" w:name="referencias-jurídicas-primarias-45"/>
    <w:p>
      <w:pPr>
        <w:pStyle w:val="Heading2"/>
      </w:pPr>
      <w:r>
        <w:rPr>
          <w:rStyle w:val="SectionNumber"/>
        </w:rPr>
        <w:t xml:space="preserve">1.683</w:t>
      </w:r>
      <w:r>
        <w:tab/>
      </w:r>
      <w:r>
        <w:t xml:space="preserve">Referencias jurídicas primarias</w:t>
      </w:r>
    </w:p>
    <w:p>
      <w:pPr>
        <w:numPr>
          <w:ilvl w:val="0"/>
          <w:numId w:val="1195"/>
        </w:numPr>
        <w:pStyle w:val="Compact"/>
      </w:pPr>
      <w:r>
        <w:t xml:space="preserve">Reglamento (UE) 2024/1689, modificado: ámbito de aplicación aplicable, código abierto, GPAI, función del proveedor, modificación sustancial, seguridad cibernética y disposiciones de alto riesgo.</w:t>
      </w:r>
    </w:p>
    <w:p>
      <w:pPr>
        <w:numPr>
          <w:ilvl w:val="0"/>
          <w:numId w:val="1195"/>
        </w:numPr>
        <w:pStyle w:val="Compact"/>
      </w:pPr>
      <w:r>
        <w:t xml:space="preserve">Los actuales controles consolidados de texto EUR-Lex sobre los resúmenes antiguos.</w:t>
      </w:r>
    </w:p>
    <w:bookmarkEnd w:id="726"/>
    <w:bookmarkStart w:id="727" w:name="Xdff9f7c20baea53ea502cad8424aec5cf672269"/>
    <w:p>
      <w:pPr>
        <w:pStyle w:val="Heading2"/>
      </w:pPr>
      <w:r>
        <w:rPr>
          <w:rStyle w:val="SectionNumber"/>
        </w:rPr>
        <w:t xml:space="preserve">1.684</w:t>
      </w:r>
      <w:r>
        <w:tab/>
      </w:r>
      <w:r>
        <w:t xml:space="preserve">Capítulo 78 — Seguimiento continuo de los proveedores</w:t>
      </w:r>
    </w:p>
    <w:p>
      <w:pPr>
        <w:pStyle w:val="BlockText"/>
      </w:pPr>
      <w:r>
        <w:rPr>
          <w:bCs/>
          <w:b/>
        </w:rPr>
        <w:t xml:space="preserve">Estatus legal:</w:t>
      </w:r>
      <w:r>
        <w:t xml:space="preserve"> </w:t>
      </w:r>
      <w:r>
        <w:t xml:space="preserve">Corregido Maestro Inglés para la consolidación. Este archivo controla el lenguaje de borrador anterior del Capítulo 78 en conflicto.</w:t>
      </w:r>
    </w:p>
    <w:bookmarkEnd w:id="727"/>
    <w:bookmarkStart w:id="728" w:name="requisito-76"/>
    <w:p>
      <w:pPr>
        <w:pStyle w:val="Heading2"/>
      </w:pPr>
      <w:r>
        <w:rPr>
          <w:rStyle w:val="SectionNumber"/>
        </w:rPr>
        <w:t xml:space="preserve">1.685</w:t>
      </w:r>
      <w:r>
        <w:tab/>
      </w:r>
      <w:r>
        <w:t xml:space="preserve">Requisito</w:t>
      </w:r>
    </w:p>
    <w:p>
      <w:pPr>
        <w:pStyle w:val="FirstParagraph"/>
      </w:pPr>
      <w:r>
        <w:t xml:space="preserve">Las organizaciones deben supervisar a los proveedores de IA de material durante toda la relación para confirmar que la función legal, sistema o modelo de clasificación, documentación, estado de conformidad, rendimiento, seguridad, incidentes, cambios y capacidad de servicio siguen siendo aceptables.</w:t>
      </w:r>
    </w:p>
    <w:bookmarkEnd w:id="728"/>
    <w:bookmarkStart w:id="729" w:name="explicación-en-lenguaje-sencillo-73"/>
    <w:p>
      <w:pPr>
        <w:pStyle w:val="Heading2"/>
      </w:pPr>
      <w:r>
        <w:rPr>
          <w:rStyle w:val="SectionNumber"/>
        </w:rPr>
        <w:t xml:space="preserve">1.686</w:t>
      </w:r>
      <w:r>
        <w:tab/>
      </w:r>
      <w:r>
        <w:t xml:space="preserve">Explicación en lenguaje sencillo</w:t>
      </w:r>
    </w:p>
    <w:p>
      <w:pPr>
        <w:pStyle w:val="FirstParagraph"/>
      </w:pPr>
      <w:r>
        <w:t xml:space="preserve">Un proveedor que pasó la debida diligencia el año pasado puede ya no presentar el mismo riesgo. Los modelos cambian, los proveedores se reorganizan, los subprocesadores son añadidos, la orientación evoluciona, los incidentes ocurren, y la calidad del apoyo puede disminuir.</w:t>
      </w:r>
    </w:p>
    <w:bookmarkEnd w:id="729"/>
    <w:bookmarkStart w:id="730" w:name="zonas-de-vigilancia"/>
    <w:p>
      <w:pPr>
        <w:pStyle w:val="Heading2"/>
      </w:pPr>
      <w:r>
        <w:rPr>
          <w:rStyle w:val="SectionNumber"/>
        </w:rPr>
        <w:t xml:space="preserve">1.687</w:t>
      </w:r>
      <w:r>
        <w:tab/>
      </w:r>
      <w:r>
        <w:t xml:space="preserve">Zonas de vigilancia</w:t>
      </w:r>
    </w:p>
    <w:p>
      <w:pPr>
        <w:pStyle w:val="FirstParagraph"/>
      </w:pPr>
      <w:r>
        <w:t xml:space="preserve">Monitor como mínimo:</w:t>
      </w:r>
    </w:p>
    <w:p>
      <w:pPr>
        <w:numPr>
          <w:ilvl w:val="0"/>
          <w:numId w:val="1196"/>
        </w:numPr>
        <w:pStyle w:val="Compact"/>
      </w:pPr>
      <w:r>
        <w:t xml:space="preserve">la entidad jurídica, la propiedad, la jurisdicción y los cambios en las funciones de la Ley de IA;</w:t>
      </w:r>
    </w:p>
    <w:p>
      <w:pPr>
        <w:numPr>
          <w:ilvl w:val="0"/>
          <w:numId w:val="1196"/>
        </w:numPr>
        <w:pStyle w:val="Compact"/>
      </w:pPr>
      <w:r>
        <w:t xml:space="preserve">cambios en la clasificación de riesgos sistémicos y de alto riesgo, transparencia, GPAI;</w:t>
      </w:r>
    </w:p>
    <w:p>
      <w:pPr>
        <w:numPr>
          <w:ilvl w:val="0"/>
          <w:numId w:val="1196"/>
        </w:numPr>
        <w:pStyle w:val="Compact"/>
      </w:pPr>
      <w:r>
        <w:t xml:space="preserve">cambios en el modelo, el sistema, los datos, la finalidad prevista y los servicios;</w:t>
      </w:r>
    </w:p>
    <w:p>
      <w:pPr>
        <w:numPr>
          <w:ilvl w:val="0"/>
          <w:numId w:val="1196"/>
        </w:numPr>
        <w:pStyle w:val="Compact"/>
      </w:pPr>
      <w:r>
        <w:t xml:space="preserve">el estado de conformidad, registro, certificación y garantía;</w:t>
      </w:r>
    </w:p>
    <w:p>
      <w:pPr>
        <w:numPr>
          <w:ilvl w:val="0"/>
          <w:numId w:val="1196"/>
        </w:numPr>
        <w:pStyle w:val="Compact"/>
      </w:pPr>
      <w:r>
        <w:t xml:space="preserve">documentación técnica, instrucciones, limitaciones y notas de liberación;</w:t>
      </w:r>
    </w:p>
    <w:p>
      <w:pPr>
        <w:numPr>
          <w:ilvl w:val="0"/>
          <w:numId w:val="1196"/>
        </w:numPr>
        <w:pStyle w:val="Compact"/>
      </w:pPr>
      <w:r>
        <w:t xml:space="preserve">rendimiento, sesgo, robustez, ciberseguridad, disponibilidad e indicadores de apoyo;</w:t>
      </w:r>
    </w:p>
    <w:p>
      <w:pPr>
        <w:numPr>
          <w:ilvl w:val="0"/>
          <w:numId w:val="1196"/>
        </w:numPr>
        <w:pStyle w:val="Compact"/>
      </w:pPr>
      <w:r>
        <w:t xml:space="preserve">incidentes, quejas, vulnerabilidades, medidas reglamentarias y medidas correctivas;</w:t>
      </w:r>
    </w:p>
    <w:p>
      <w:pPr>
        <w:numPr>
          <w:ilvl w:val="0"/>
          <w:numId w:val="1196"/>
        </w:numPr>
        <w:pStyle w:val="Compact"/>
      </w:pPr>
      <w:r>
        <w:t xml:space="preserve">los cambios en el subcontratista, el anfitrión, la región, la concentración y la continuidad;</w:t>
      </w:r>
    </w:p>
    <w:p>
      <w:pPr>
        <w:numPr>
          <w:ilvl w:val="0"/>
          <w:numId w:val="1196"/>
        </w:numPr>
        <w:pStyle w:val="Compact"/>
      </w:pPr>
      <w:r>
        <w:t xml:space="preserve">el cumplimiento de los contratos, los resultados de las auditorías, la rehabilitación y las excepciones no resueltas;</w:t>
      </w:r>
    </w:p>
    <w:p>
      <w:pPr>
        <w:numPr>
          <w:ilvl w:val="0"/>
          <w:numId w:val="1196"/>
        </w:numPr>
        <w:pStyle w:val="Compact"/>
      </w:pPr>
      <w:r>
        <w:t xml:space="preserve">riesgo de terminación del servicio, deterioro financiero, adquisición o interrupción del servicio.</w:t>
      </w:r>
    </w:p>
    <w:bookmarkEnd w:id="730"/>
    <w:bookmarkStart w:id="731" w:name="ejemplo-de-globalway-71"/>
    <w:p>
      <w:pPr>
        <w:pStyle w:val="Heading2"/>
      </w:pPr>
      <w:r>
        <w:rPr>
          <w:rStyle w:val="SectionNumber"/>
        </w:rPr>
        <w:t xml:space="preserve">1.688</w:t>
      </w:r>
      <w:r>
        <w:tab/>
      </w:r>
      <w:r>
        <w:t xml:space="preserve">Ejemplo de GlobalWay</w:t>
      </w:r>
    </w:p>
    <w:p>
      <w:pPr>
        <w:pStyle w:val="FirstParagraph"/>
      </w:pPr>
      <w:r>
        <w:t xml:space="preserve">La revisión incluye avisos de liberación de modelos, desempeño de subgrupos, incidentes, avisos de seguridad, cambios en la documentación, subcontratistas, niveles de servicio y desarrollos regulatorios. Las infracciones de umbral desencadenan una revisión o suspensión mejoradas.</w:t>
      </w:r>
    </w:p>
    <w:bookmarkEnd w:id="731"/>
    <w:bookmarkStart w:id="732" w:name="actividad-de-control-72"/>
    <w:p>
      <w:pPr>
        <w:pStyle w:val="Heading2"/>
      </w:pPr>
      <w:r>
        <w:rPr>
          <w:rStyle w:val="SectionNumber"/>
        </w:rPr>
        <w:t xml:space="preserve">1.689</w:t>
      </w:r>
      <w:r>
        <w:tab/>
      </w:r>
      <w:r>
        <w:t xml:space="preserve">Actividad de control</w:t>
      </w:r>
    </w:p>
    <w:p>
      <w:pPr>
        <w:pStyle w:val="FirstParagraph"/>
      </w:pPr>
      <w:r>
        <w:t xml:space="preserve">La Administración de Proveedores debe asignar un nivel de monitoreo y revisar la cadencia de cada proveedor de IA de material. Los resultados de monitoreo deben ser documentados, evaluados por riesgo, aprobados y vinculados a la gestión de problemas.</w:t>
      </w:r>
    </w:p>
    <w:bookmarkEnd w:id="732"/>
    <w:bookmarkStart w:id="733" w:name="pruebas-77"/>
    <w:p>
      <w:pPr>
        <w:pStyle w:val="Heading2"/>
      </w:pPr>
      <w:r>
        <w:rPr>
          <w:rStyle w:val="SectionNumber"/>
        </w:rPr>
        <w:t xml:space="preserve">1.690</w:t>
      </w:r>
      <w:r>
        <w:tab/>
      </w:r>
      <w:r>
        <w:t xml:space="preserve">Pruebas</w:t>
      </w:r>
    </w:p>
    <w:p>
      <w:pPr>
        <w:numPr>
          <w:ilvl w:val="0"/>
          <w:numId w:val="1197"/>
        </w:numPr>
        <w:pStyle w:val="Compact"/>
      </w:pPr>
      <w:r>
        <w:t xml:space="preserve">el plan y nivel de seguimiento de los proveedores;</w:t>
      </w:r>
    </w:p>
    <w:p>
      <w:pPr>
        <w:numPr>
          <w:ilvl w:val="0"/>
          <w:numId w:val="1197"/>
        </w:numPr>
        <w:pStyle w:val="Compact"/>
      </w:pPr>
      <w:r>
        <w:t xml:space="preserve">los registros de los exámenes periódicos;</w:t>
      </w:r>
    </w:p>
    <w:p>
      <w:pPr>
        <w:numPr>
          <w:ilvl w:val="0"/>
          <w:numId w:val="1197"/>
        </w:numPr>
        <w:pStyle w:val="Compact"/>
      </w:pPr>
      <w:r>
        <w:t xml:space="preserve">las notificaciones de cambios e incidentes;</w:t>
      </w:r>
    </w:p>
    <w:p>
      <w:pPr>
        <w:numPr>
          <w:ilvl w:val="0"/>
          <w:numId w:val="1197"/>
        </w:numPr>
        <w:pStyle w:val="Compact"/>
      </w:pPr>
      <w:r>
        <w:t xml:space="preserve">métricas de servicio, rendimiento y seguridad;</w:t>
      </w:r>
    </w:p>
    <w:p>
      <w:pPr>
        <w:numPr>
          <w:ilvl w:val="0"/>
          <w:numId w:val="1197"/>
        </w:numPr>
        <w:pStyle w:val="Compact"/>
      </w:pPr>
      <w:r>
        <w:t xml:space="preserve">la garantía y las actualizaciones reglamentarias;</w:t>
      </w:r>
    </w:p>
    <w:p>
      <w:pPr>
        <w:numPr>
          <w:ilvl w:val="0"/>
          <w:numId w:val="1197"/>
        </w:numPr>
        <w:pStyle w:val="Compact"/>
      </w:pPr>
      <w:r>
        <w:t xml:space="preserve">las reevaluaciones del riesgo y los registros de emisión;</w:t>
      </w:r>
    </w:p>
    <w:p>
      <w:pPr>
        <w:numPr>
          <w:ilvl w:val="0"/>
          <w:numId w:val="1197"/>
        </w:numPr>
        <w:pStyle w:val="Compact"/>
      </w:pPr>
      <w:r>
        <w:t xml:space="preserve">las decisiones de rehabilitación, suspensión o salida;</w:t>
      </w:r>
    </w:p>
    <w:p>
      <w:pPr>
        <w:numPr>
          <w:ilvl w:val="0"/>
          <w:numId w:val="1197"/>
        </w:numPr>
        <w:pStyle w:val="Compact"/>
      </w:pPr>
      <w:r>
        <w:t xml:space="preserve">revisión y aprobación de la gestión.</w:t>
      </w:r>
    </w:p>
    <w:bookmarkEnd w:id="733"/>
    <w:bookmarkStart w:id="734" w:name="prueba-de-auditoría-73"/>
    <w:p>
      <w:pPr>
        <w:pStyle w:val="Heading2"/>
      </w:pPr>
      <w:r>
        <w:rPr>
          <w:rStyle w:val="SectionNumber"/>
        </w:rPr>
        <w:t xml:space="preserve">1.691</w:t>
      </w:r>
      <w:r>
        <w:tab/>
      </w:r>
      <w:r>
        <w:t xml:space="preserve">Prueba de auditoría</w:t>
      </w:r>
    </w:p>
    <w:p>
      <w:pPr>
        <w:pStyle w:val="FirstParagraph"/>
      </w:pPr>
      <w:r>
        <w:t xml:space="preserve">Seleccionar proveedores de IA de material y confirmar que la vigilancia se produjo en la cadencia definida, abarcó los cambios legales y operacionales, identificó las brechas de umbral, desencadenó una reevaluación oportuna y produjo medidas documentadas mediante el cierre.</w:t>
      </w:r>
    </w:p>
    <w:bookmarkEnd w:id="734"/>
    <w:bookmarkStart w:id="735" w:name="referencias-jurídicas-primarias-46"/>
    <w:p>
      <w:pPr>
        <w:pStyle w:val="Heading2"/>
      </w:pPr>
      <w:r>
        <w:rPr>
          <w:rStyle w:val="SectionNumber"/>
        </w:rPr>
        <w:t xml:space="preserve">1.692</w:t>
      </w:r>
      <w:r>
        <w:tab/>
      </w:r>
      <w:r>
        <w:t xml:space="preserve">Referencias jurídicas primarias</w:t>
      </w:r>
    </w:p>
    <w:p>
      <w:pPr>
        <w:numPr>
          <w:ilvl w:val="0"/>
          <w:numId w:val="1198"/>
        </w:numPr>
        <w:pStyle w:val="Compact"/>
      </w:pPr>
      <w:r>
        <w:t xml:space="preserve">Reglamento (UE) 2024/1689, modificado: disposiciones aplicables relativas al proveedor, el implementador, la cadena de valor, el seguimiento, el incidente, la acción correctiva, la documentación y los cambios.</w:t>
      </w:r>
    </w:p>
    <w:p>
      <w:pPr>
        <w:numPr>
          <w:ilvl w:val="0"/>
          <w:numId w:val="1198"/>
        </w:numPr>
        <w:pStyle w:val="Compact"/>
      </w:pPr>
      <w:r>
        <w:t xml:space="preserve">Los actuales controles consolidados de texto EUR-Lex sobre los resúmenes antiguos.</w:t>
      </w:r>
    </w:p>
    <w:bookmarkEnd w:id="735"/>
    <w:bookmarkStart w:id="736" w:name="Xd57bcb3439868169a1f5e9b62e74e3f8c7e033d"/>
    <w:p>
      <w:pPr>
        <w:pStyle w:val="Heading2"/>
      </w:pPr>
      <w:r>
        <w:rPr>
          <w:rStyle w:val="SectionNumber"/>
        </w:rPr>
        <w:t xml:space="preserve">1.693</w:t>
      </w:r>
      <w:r>
        <w:tab/>
      </w:r>
      <w:r>
        <w:t xml:space="preserve">Capítulo 79 — Planificación de salidas, portabilidad y continuidad</w:t>
      </w:r>
    </w:p>
    <w:p>
      <w:pPr>
        <w:pStyle w:val="BlockText"/>
      </w:pPr>
      <w:r>
        <w:rPr>
          <w:bCs/>
          <w:b/>
        </w:rPr>
        <w:t xml:space="preserve">Estatus legal:</w:t>
      </w:r>
      <w:r>
        <w:t xml:space="preserve"> </w:t>
      </w:r>
      <w:r>
        <w:t xml:space="preserve">Corregido Maestro Inglés para la consolidación. Este archivo controla el lenguaje de borrador anterior del Capítulo 79 en conflicto.</w:t>
      </w:r>
    </w:p>
    <w:bookmarkEnd w:id="736"/>
    <w:bookmarkStart w:id="737" w:name="requisito-77"/>
    <w:p>
      <w:pPr>
        <w:pStyle w:val="Heading2"/>
      </w:pPr>
      <w:r>
        <w:rPr>
          <w:rStyle w:val="SectionNumber"/>
        </w:rPr>
        <w:t xml:space="preserve">1.694</w:t>
      </w:r>
      <w:r>
        <w:tab/>
      </w:r>
      <w:r>
        <w:t xml:space="preserve">Requisito</w:t>
      </w:r>
    </w:p>
    <w:p>
      <w:pPr>
        <w:pStyle w:val="FirstParagraph"/>
      </w:pPr>
      <w:r>
        <w:t xml:space="preserve">Las organizaciones deben planificar la suspensión, sustitución, migración o terminación segura de los servicios de IA material sin perder la evidencia requerida, perturbando los procesos regulados, exponiendo a las personas afectadas a riesgos no gestionados o impidiendo el cumplimiento continuo.La planificación de salida debe abordar la portabilidad, continuidad, retención, eliminación, validación y responsabilidad.</w:t>
      </w:r>
    </w:p>
    <w:bookmarkEnd w:id="737"/>
    <w:bookmarkStart w:id="738" w:name="explicación-en-lenguaje-sencillo-74"/>
    <w:p>
      <w:pPr>
        <w:pStyle w:val="Heading2"/>
      </w:pPr>
      <w:r>
        <w:rPr>
          <w:rStyle w:val="SectionNumber"/>
        </w:rPr>
        <w:t xml:space="preserve">1.695</w:t>
      </w:r>
      <w:r>
        <w:tab/>
      </w:r>
      <w:r>
        <w:t xml:space="preserve">Explicación en lenguaje sencillo</w:t>
      </w:r>
    </w:p>
    <w:p>
      <w:pPr>
        <w:pStyle w:val="FirstParagraph"/>
      </w:pPr>
      <w:r>
        <w:t xml:space="preserve">Una relación con un proveedor puede terminar por falta de rendimiento, medidas reglamentarias, acontecimientos de seguridad, controversias comerciales, adquisiciones, insolvencia o cambios estratégicos. La organización debe poder detener o reemplazar el servicio de manera controlada en lugar de depender de un sistema inseguro o no apoyado.</w:t>
      </w:r>
    </w:p>
    <w:bookmarkEnd w:id="738"/>
    <w:bookmarkStart w:id="739" w:name="requisitos-de-salida"/>
    <w:p>
      <w:pPr>
        <w:pStyle w:val="Heading2"/>
      </w:pPr>
      <w:r>
        <w:rPr>
          <w:rStyle w:val="SectionNumber"/>
        </w:rPr>
        <w:t xml:space="preserve">1.696</w:t>
      </w:r>
      <w:r>
        <w:tab/>
      </w:r>
      <w:r>
        <w:t xml:space="preserve">Requisitos de salida</w:t>
      </w:r>
    </w:p>
    <w:p>
      <w:pPr>
        <w:pStyle w:val="FirstParagraph"/>
      </w:pPr>
      <w:r>
        <w:t xml:space="preserve">El plan de salida deberá abordar:</w:t>
      </w:r>
    </w:p>
    <w:p>
      <w:pPr>
        <w:numPr>
          <w:ilvl w:val="0"/>
          <w:numId w:val="1199"/>
        </w:numPr>
        <w:pStyle w:val="Compact"/>
      </w:pPr>
      <w:r>
        <w:t xml:space="preserve">autoridad de suspensión y cierre de emergencia;</w:t>
      </w:r>
    </w:p>
    <w:p>
      <w:pPr>
        <w:numPr>
          <w:ilvl w:val="0"/>
          <w:numId w:val="1199"/>
        </w:numPr>
        <w:pStyle w:val="Compact"/>
      </w:pPr>
      <w:r>
        <w:t xml:space="preserve">servicio, modelo, configuración, datos, rapidez e inventario de flujo de trabajo;</w:t>
      </w:r>
    </w:p>
    <w:p>
      <w:pPr>
        <w:numPr>
          <w:ilvl w:val="0"/>
          <w:numId w:val="1199"/>
        </w:numPr>
        <w:pStyle w:val="Compact"/>
      </w:pPr>
      <w:r>
        <w:t xml:space="preserve">exportación de registros, decisiones, documentación y pruebas de auditoría necesarias;</w:t>
      </w:r>
    </w:p>
    <w:p>
      <w:pPr>
        <w:numPr>
          <w:ilvl w:val="0"/>
          <w:numId w:val="1199"/>
        </w:numPr>
        <w:pStyle w:val="Compact"/>
      </w:pPr>
      <w:r>
        <w:t xml:space="preserve">la retención necesaria para la conformidad, los incidentes, las quejas, las investigaciones y las obligaciones jurídicas;</w:t>
      </w:r>
    </w:p>
    <w:p>
      <w:pPr>
        <w:numPr>
          <w:ilvl w:val="0"/>
          <w:numId w:val="1199"/>
        </w:numPr>
        <w:pStyle w:val="Compact"/>
      </w:pPr>
      <w:r>
        <w:t xml:space="preserve">devolución, transferencia y eliminación verificada de datos;</w:t>
      </w:r>
    </w:p>
    <w:p>
      <w:pPr>
        <w:numPr>
          <w:ilvl w:val="0"/>
          <w:numId w:val="1199"/>
        </w:numPr>
        <w:pStyle w:val="Compact"/>
      </w:pPr>
      <w:r>
        <w:t xml:space="preserve">mapeo de migración, pruebas, validación y retroceso;</w:t>
      </w:r>
    </w:p>
    <w:p>
      <w:pPr>
        <w:numPr>
          <w:ilvl w:val="0"/>
          <w:numId w:val="1199"/>
        </w:numPr>
        <w:pStyle w:val="Compact"/>
      </w:pPr>
      <w:r>
        <w:t xml:space="preserve">la continuidad de la supervisión humana y las salvaguardias de las personas afectadas;</w:t>
      </w:r>
    </w:p>
    <w:p>
      <w:pPr>
        <w:numPr>
          <w:ilvl w:val="0"/>
          <w:numId w:val="1199"/>
        </w:numPr>
        <w:pStyle w:val="Compact"/>
      </w:pPr>
      <w:r>
        <w:t xml:space="preserve">reevaluación del proveedor de sustitución, función, clasificación y finalidad prevista;</w:t>
      </w:r>
    </w:p>
    <w:p>
      <w:pPr>
        <w:numPr>
          <w:ilvl w:val="0"/>
          <w:numId w:val="1199"/>
        </w:numPr>
        <w:pStyle w:val="Compact"/>
      </w:pPr>
      <w:r>
        <w:t xml:space="preserve">las comunicaciones entre usuarios, autoridades, clientes y personas afectadas, cuando sea necesario;</w:t>
      </w:r>
    </w:p>
    <w:p>
      <w:pPr>
        <w:numPr>
          <w:ilvl w:val="0"/>
          <w:numId w:val="1199"/>
        </w:numPr>
        <w:pStyle w:val="Compact"/>
      </w:pPr>
      <w:r>
        <w:t xml:space="preserve">las cuestiones relativas a la dependencia residual, la licencia, la propiedad intelectual y los subcontratistas;</w:t>
      </w:r>
    </w:p>
    <w:p>
      <w:pPr>
        <w:numPr>
          <w:ilvl w:val="0"/>
          <w:numId w:val="1199"/>
        </w:numPr>
        <w:pStyle w:val="Compact"/>
      </w:pPr>
      <w:r>
        <w:t xml:space="preserve">revocación final del acceso y cierre de la seguridad;</w:t>
      </w:r>
    </w:p>
    <w:p>
      <w:pPr>
        <w:numPr>
          <w:ilvl w:val="0"/>
          <w:numId w:val="1199"/>
        </w:numPr>
        <w:pStyle w:val="Compact"/>
      </w:pPr>
      <w:r>
        <w:t xml:space="preserve">seguimiento después de la salida y experiencia adquirida.</w:t>
      </w:r>
    </w:p>
    <w:bookmarkEnd w:id="739"/>
    <w:bookmarkStart w:id="740" w:name="ejemplo-de-globalway-72"/>
    <w:p>
      <w:pPr>
        <w:pStyle w:val="Heading2"/>
      </w:pPr>
      <w:r>
        <w:rPr>
          <w:rStyle w:val="SectionNumber"/>
        </w:rPr>
        <w:t xml:space="preserve">1.697</w:t>
      </w:r>
      <w:r>
        <w:tab/>
      </w:r>
      <w:r>
        <w:t xml:space="preserve">Ejemplo de GlobalWay</w:t>
      </w:r>
    </w:p>
    <w:p>
      <w:pPr>
        <w:pStyle w:val="FirstParagraph"/>
      </w:pPr>
      <w:r>
        <w:t xml:space="preserve">GlobalWay decide reemplazar a un proveedor de selección de contrataciones después de las disparidades de desempeño no resueltas. Suspende la clasificación automatizada, dirige las decisiones a revisores humanos capacitados, exporta los registros y la documentación requeridos, valida el sistema de sustitución con arreglo a los criterios aprobados, preserva las pruebas de la investigación y verifica la eliminación de los datos que ya no son necesarios.</w:t>
      </w:r>
    </w:p>
    <w:bookmarkEnd w:id="740"/>
    <w:bookmarkStart w:id="741" w:name="actividad-de-control-73"/>
    <w:p>
      <w:pPr>
        <w:pStyle w:val="Heading2"/>
      </w:pPr>
      <w:r>
        <w:rPr>
          <w:rStyle w:val="SectionNumber"/>
        </w:rPr>
        <w:t xml:space="preserve">1.698</w:t>
      </w:r>
      <w:r>
        <w:tab/>
      </w:r>
      <w:r>
        <w:t xml:space="preserve">Actividad de control</w:t>
      </w:r>
    </w:p>
    <w:p>
      <w:pPr>
        <w:pStyle w:val="FirstParagraph"/>
      </w:pPr>
      <w:r>
        <w:t xml:space="preserve">Cada proveedor de IA de material debe tener un plan de salida documentado y periódicamente probado antes de la aprobación de la producción. Los servicios de alto riesgo requieren soluciones de emergencia definidas, pruebas de exportación de pruebas, criterios de validación de reemplazo y autoridad ejecutiva para suspender o terminar el uso.</w:t>
      </w:r>
    </w:p>
    <w:bookmarkEnd w:id="741"/>
    <w:bookmarkStart w:id="742" w:name="pruebas-78"/>
    <w:p>
      <w:pPr>
        <w:pStyle w:val="Heading2"/>
      </w:pPr>
      <w:r>
        <w:rPr>
          <w:rStyle w:val="SectionNumber"/>
        </w:rPr>
        <w:t xml:space="preserve">1.699</w:t>
      </w:r>
      <w:r>
        <w:tab/>
      </w:r>
      <w:r>
        <w:t xml:space="preserve">Pruebas</w:t>
      </w:r>
    </w:p>
    <w:p>
      <w:pPr>
        <w:numPr>
          <w:ilvl w:val="0"/>
          <w:numId w:val="1200"/>
        </w:numPr>
        <w:pStyle w:val="Compact"/>
      </w:pPr>
      <w:r>
        <w:t xml:space="preserve">el plan aprobado de salida y continuidad;</w:t>
      </w:r>
    </w:p>
    <w:p>
      <w:pPr>
        <w:numPr>
          <w:ilvl w:val="0"/>
          <w:numId w:val="1200"/>
        </w:numPr>
        <w:pStyle w:val="Compact"/>
      </w:pPr>
      <w:r>
        <w:t xml:space="preserve">mapa de inventario y dependencia;</w:t>
      </w:r>
    </w:p>
    <w:p>
      <w:pPr>
        <w:numPr>
          <w:ilvl w:val="0"/>
          <w:numId w:val="1200"/>
        </w:numPr>
        <w:pStyle w:val="Compact"/>
      </w:pPr>
      <w:r>
        <w:t xml:space="preserve">la exportación de pruebas y el registro de retención;</w:t>
      </w:r>
    </w:p>
    <w:p>
      <w:pPr>
        <w:numPr>
          <w:ilvl w:val="0"/>
          <w:numId w:val="1200"/>
        </w:numPr>
        <w:pStyle w:val="Compact"/>
      </w:pPr>
      <w:r>
        <w:t xml:space="preserve">certificación de la devolución y supresión de datos;</w:t>
      </w:r>
    </w:p>
    <w:p>
      <w:pPr>
        <w:numPr>
          <w:ilvl w:val="0"/>
          <w:numId w:val="1200"/>
        </w:numPr>
        <w:pStyle w:val="Compact"/>
      </w:pPr>
      <w:r>
        <w:t xml:space="preserve">los resultados de migración y validación;</w:t>
      </w:r>
    </w:p>
    <w:p>
      <w:pPr>
        <w:numPr>
          <w:ilvl w:val="0"/>
          <w:numId w:val="1200"/>
        </w:numPr>
        <w:pStyle w:val="Compact"/>
      </w:pPr>
      <w:r>
        <w:t xml:space="preserve">comunicaciones y aprobaciones;</w:t>
      </w:r>
    </w:p>
    <w:p>
      <w:pPr>
        <w:numPr>
          <w:ilvl w:val="0"/>
          <w:numId w:val="1200"/>
        </w:numPr>
        <w:pStyle w:val="Compact"/>
      </w:pPr>
      <w:r>
        <w:t xml:space="preserve">pruebas de acceso a la revocación;</w:t>
      </w:r>
    </w:p>
    <w:p>
      <w:pPr>
        <w:numPr>
          <w:ilvl w:val="0"/>
          <w:numId w:val="1200"/>
        </w:numPr>
        <w:pStyle w:val="Compact"/>
      </w:pPr>
      <w:r>
        <w:t xml:space="preserve">la revisión posterior a la salida y la decisión sobre el riesgo residual.</w:t>
      </w:r>
    </w:p>
    <w:bookmarkEnd w:id="742"/>
    <w:bookmarkStart w:id="743" w:name="prueba-de-auditoría-74"/>
    <w:p>
      <w:pPr>
        <w:pStyle w:val="Heading2"/>
      </w:pPr>
      <w:r>
        <w:rPr>
          <w:rStyle w:val="SectionNumber"/>
        </w:rPr>
        <w:t xml:space="preserve">1.700</w:t>
      </w:r>
      <w:r>
        <w:tab/>
      </w:r>
      <w:r>
        <w:t xml:space="preserve">Prueba de auditoría</w:t>
      </w:r>
    </w:p>
    <w:p>
      <w:pPr>
        <w:pStyle w:val="FirstParagraph"/>
      </w:pPr>
      <w:r>
        <w:t xml:space="preserve">Comprobar que se conservaron los registros necesarios, se verificó el manejo de los datos, se validaron los controles de sustitución antes del uso de la producción, se mantuvieron los procesos afectados y se cerraron adecuadamente el acceso y las dependencias.</w:t>
      </w:r>
    </w:p>
    <w:bookmarkEnd w:id="743"/>
    <w:bookmarkStart w:id="744" w:name="referencias-jurídicas-primarias-47"/>
    <w:p>
      <w:pPr>
        <w:pStyle w:val="Heading2"/>
      </w:pPr>
      <w:r>
        <w:rPr>
          <w:rStyle w:val="SectionNumber"/>
        </w:rPr>
        <w:t xml:space="preserve">1.701</w:t>
      </w:r>
      <w:r>
        <w:tab/>
      </w:r>
      <w:r>
        <w:t xml:space="preserve">Referencias jurídicas primarias</w:t>
      </w:r>
    </w:p>
    <w:p>
      <w:pPr>
        <w:numPr>
          <w:ilvl w:val="0"/>
          <w:numId w:val="1201"/>
        </w:numPr>
        <w:pStyle w:val="Compact"/>
      </w:pPr>
      <w:r>
        <w:t xml:space="preserve">Reglamento (UE) 2024/1689, modificado: disposiciones aplicables en materia de documentación, registro, seguimiento, incidentes, medidas correctivas, despliegue, proveedor, cadena de valor y acceso a la autoridad.</w:t>
      </w:r>
    </w:p>
    <w:p>
      <w:pPr>
        <w:numPr>
          <w:ilvl w:val="0"/>
          <w:numId w:val="1201"/>
        </w:numPr>
        <w:pStyle w:val="Compact"/>
      </w:pPr>
      <w:r>
        <w:t xml:space="preserve">Privacidad aplicable, seguridad cibernética, seguridad de los productos, empleo, protección del consumidor y requisitos de conservación del sector.</w:t>
      </w:r>
    </w:p>
    <w:bookmarkEnd w:id="744"/>
    <w:bookmarkStart w:id="745" w:name="capítulo-80-integración-del-gdpr"/>
    <w:p>
      <w:pPr>
        <w:pStyle w:val="Heading2"/>
      </w:pPr>
      <w:r>
        <w:rPr>
          <w:rStyle w:val="SectionNumber"/>
        </w:rPr>
        <w:t xml:space="preserve">1.702</w:t>
      </w:r>
      <w:r>
        <w:tab/>
      </w:r>
      <w:r>
        <w:t xml:space="preserve">Capítulo 80 — Integración del GDPR</w:t>
      </w:r>
    </w:p>
    <w:p>
      <w:pPr>
        <w:pStyle w:val="BlockText"/>
      </w:pPr>
      <w:r>
        <w:rPr>
          <w:bCs/>
          <w:b/>
        </w:rPr>
        <w:t xml:space="preserve">Estatus legal:</w:t>
      </w:r>
      <w:r>
        <w:t xml:space="preserve"> </w:t>
      </w:r>
      <w:r>
        <w:t xml:space="preserve">Corregido Maestro Inglés para la consolidación. Este archivo controla el lenguaje de borrador del Capítulo 80 anterior en conflicto.</w:t>
      </w:r>
    </w:p>
    <w:bookmarkEnd w:id="745"/>
    <w:bookmarkStart w:id="746" w:name="requisito-78"/>
    <w:p>
      <w:pPr>
        <w:pStyle w:val="Heading2"/>
      </w:pPr>
      <w:r>
        <w:rPr>
          <w:rStyle w:val="SectionNumber"/>
        </w:rPr>
        <w:t xml:space="preserve">1.703</w:t>
      </w:r>
      <w:r>
        <w:tab/>
      </w:r>
      <w:r>
        <w:t xml:space="preserve">Requisito</w:t>
      </w:r>
    </w:p>
    <w:p>
      <w:pPr>
        <w:pStyle w:val="FirstParagraph"/>
      </w:pPr>
      <w:r>
        <w:t xml:space="preserve">Las organizaciones que procesan datos personales a través de sistemas de IA deben cumplir la Ley de IA de la UE y la ley de protección de datos aplicable en paralelo. El cumplimiento de un régimen no establece el cumplimiento con el otro. La organización debe identificar al controlador, procesador, cocontrolador, proveedor, implementador, importador, distribuidor u otra función y asignar cada obligación al mismo sistema, modelo, propósito de procesamiento, flujo de datos y versión de producción.</w:t>
      </w:r>
    </w:p>
    <w:bookmarkEnd w:id="746"/>
    <w:bookmarkStart w:id="747" w:name="explicación-en-lenguaje-sencillo-75"/>
    <w:p>
      <w:pPr>
        <w:pStyle w:val="Heading2"/>
      </w:pPr>
      <w:r>
        <w:rPr>
          <w:rStyle w:val="SectionNumber"/>
        </w:rPr>
        <w:t xml:space="preserve">1.704</w:t>
      </w:r>
      <w:r>
        <w:tab/>
      </w:r>
      <w:r>
        <w:t xml:space="preserve">Explicación en lenguaje sencillo</w:t>
      </w:r>
    </w:p>
    <w:p>
      <w:pPr>
        <w:pStyle w:val="FirstParagraph"/>
      </w:pPr>
      <w:r>
        <w:t xml:space="preserve">La Ley de IA de la UE regula los riesgos, roles, acceso al mercado, prácticas prohibidas, requisitos de alto riesgo, transparencia y supervisión del sistema de IA. El GDPR regula el tratamiento legal de datos personales, derechos de sujetos de datos, responsabilidad, seguridad, transferencias internacionales y toma de decisiones automatizada. Un despliegue único de IA puede desencadenar ambos regímenes y legislación adicional nacional o sectorial.</w:t>
      </w:r>
    </w:p>
    <w:bookmarkEnd w:id="747"/>
    <w:bookmarkStart w:id="748" w:name="evaluación-integrada"/>
    <w:p>
      <w:pPr>
        <w:pStyle w:val="Heading2"/>
      </w:pPr>
      <w:r>
        <w:rPr>
          <w:rStyle w:val="SectionNumber"/>
        </w:rPr>
        <w:t xml:space="preserve">1.705</w:t>
      </w:r>
      <w:r>
        <w:tab/>
      </w:r>
      <w:r>
        <w:t xml:space="preserve">Evaluación integrada</w:t>
      </w:r>
    </w:p>
    <w:p>
      <w:pPr>
        <w:pStyle w:val="FirstParagraph"/>
      </w:pPr>
      <w:r>
        <w:t xml:space="preserve">Documento como mínimo:</w:t>
      </w:r>
    </w:p>
    <w:p>
      <w:pPr>
        <w:numPr>
          <w:ilvl w:val="0"/>
          <w:numId w:val="1202"/>
        </w:numPr>
        <w:pStyle w:val="Compact"/>
      </w:pPr>
      <w:r>
        <w:t xml:space="preserve">el papel de cada entidad jurídica en la Ley de IA y en el RGPD;</w:t>
      </w:r>
    </w:p>
    <w:p>
      <w:pPr>
        <w:numPr>
          <w:ilvl w:val="0"/>
          <w:numId w:val="1202"/>
        </w:numPr>
        <w:pStyle w:val="Compact"/>
      </w:pPr>
      <w:r>
        <w:t xml:space="preserve">la finalidad prevista y cada finalidad de tratamiento de datos personales;</w:t>
      </w:r>
    </w:p>
    <w:p>
      <w:pPr>
        <w:numPr>
          <w:ilvl w:val="0"/>
          <w:numId w:val="1202"/>
        </w:numPr>
        <w:pStyle w:val="Compact"/>
      </w:pPr>
      <w:r>
        <w:t xml:space="preserve">la base legítima y, en su caso, las condiciones del artículo 9 o del artículo 10;</w:t>
      </w:r>
    </w:p>
    <w:p>
      <w:pPr>
        <w:numPr>
          <w:ilvl w:val="0"/>
          <w:numId w:val="1202"/>
        </w:numPr>
        <w:pStyle w:val="Compact"/>
      </w:pPr>
      <w:r>
        <w:t xml:space="preserve">fuentes de datos, categorías, destinatarios, ubicaciones, retención y transferencias;</w:t>
      </w:r>
    </w:p>
    <w:p>
      <w:pPr>
        <w:numPr>
          <w:ilvl w:val="0"/>
          <w:numId w:val="1202"/>
        </w:numPr>
        <w:pStyle w:val="Compact"/>
      </w:pPr>
      <w:r>
        <w:t xml:space="preserve">derechos de transparencia en el marco de ambos regímenes;</w:t>
      </w:r>
    </w:p>
    <w:p>
      <w:pPr>
        <w:numPr>
          <w:ilvl w:val="0"/>
          <w:numId w:val="1202"/>
        </w:numPr>
        <w:pStyle w:val="Compact"/>
      </w:pPr>
      <w:r>
        <w:t xml:space="preserve">los derechos de los sujetos de datos y las vías de reclamación o explicación de las personas afectadas;</w:t>
      </w:r>
    </w:p>
    <w:p>
      <w:pPr>
        <w:numPr>
          <w:ilvl w:val="0"/>
          <w:numId w:val="1202"/>
        </w:numPr>
        <w:pStyle w:val="Compact"/>
      </w:pPr>
      <w:r>
        <w:t xml:space="preserve">DPIA, evaluación de impacto de los derechos fundamentales, conformidad y dependencia de la gestión de riesgos;</w:t>
      </w:r>
    </w:p>
    <w:p>
      <w:pPr>
        <w:numPr>
          <w:ilvl w:val="0"/>
          <w:numId w:val="1202"/>
        </w:numPr>
        <w:pStyle w:val="Compact"/>
      </w:pPr>
      <w:r>
        <w:t xml:space="preserve">análisis automatizado de la toma de decisiones con arreglo al artículo 22 del RGPD;</w:t>
      </w:r>
    </w:p>
    <w:p>
      <w:pPr>
        <w:numPr>
          <w:ilvl w:val="0"/>
          <w:numId w:val="1202"/>
        </w:numPr>
        <w:pStyle w:val="Compact"/>
      </w:pPr>
      <w:r>
        <w:t xml:space="preserve">seguridad, tala, vigilancia, incumplimiento y coordinación de incidentes graves;</w:t>
      </w:r>
    </w:p>
    <w:p>
      <w:pPr>
        <w:numPr>
          <w:ilvl w:val="0"/>
          <w:numId w:val="1202"/>
        </w:numPr>
        <w:pStyle w:val="Compact"/>
      </w:pPr>
      <w:r>
        <w:t xml:space="preserve">los factores desencadenantes del cambio que requieran una reevaluación.</w:t>
      </w:r>
    </w:p>
    <w:bookmarkEnd w:id="748"/>
    <w:bookmarkStart w:id="749" w:name="ejemplo-de-globalway-73"/>
    <w:p>
      <w:pPr>
        <w:pStyle w:val="Heading2"/>
      </w:pPr>
      <w:r>
        <w:rPr>
          <w:rStyle w:val="SectionNumber"/>
        </w:rPr>
        <w:t xml:space="preserve">1.706</w:t>
      </w:r>
      <w:r>
        <w:tab/>
      </w:r>
      <w:r>
        <w:t xml:space="preserve">Ejemplo de GlobalWay</w:t>
      </w:r>
    </w:p>
    <w:p>
      <w:pPr>
        <w:pStyle w:val="FirstParagraph"/>
      </w:pPr>
      <w:r>
        <w:t xml:space="preserve">GlobalWay despliega un sistema de contratación de IA en varios Estados miembros de la UE. Documenta por separado sus obligaciones de despliegue en virtud de la Ley de IA, sus responsabilidades de controlador en virtud del RGPD, las funciones de proveedor y procesador, la base legal para el procesamiento de datos de los solicitantes, las salvaguardias del artículo 22, los límites de retención, la revisión humana y la relación entre el DPIA y la evaluación de impacto de los derechos fundamentales de la Ley de IA.</w:t>
      </w:r>
    </w:p>
    <w:bookmarkEnd w:id="749"/>
    <w:bookmarkStart w:id="750" w:name="actividad-de-control-74"/>
    <w:p>
      <w:pPr>
        <w:pStyle w:val="Heading2"/>
      </w:pPr>
      <w:r>
        <w:rPr>
          <w:rStyle w:val="SectionNumber"/>
        </w:rPr>
        <w:t xml:space="preserve">1.707</w:t>
      </w:r>
      <w:r>
        <w:tab/>
      </w:r>
      <w:r>
        <w:t xml:space="preserve">Actividad de control</w:t>
      </w:r>
    </w:p>
    <w:p>
      <w:pPr>
        <w:pStyle w:val="FirstParagraph"/>
      </w:pPr>
      <w:r>
        <w:t xml:space="preserve">Legal, Privacy y AI Governance deben aprobar conjuntamente un mapa regulatorio integrado antes del uso de la producción. El mapa debe vincular cada requisito a un propietario responsable, control, fuente de evidencia, y el disparador de revisión. Los conflictos o la incertidumbre deben escalarse a un abogado calificado en lugar de resolverse asumiendo que una ley anula a la otra.</w:t>
      </w:r>
    </w:p>
    <w:bookmarkEnd w:id="750"/>
    <w:bookmarkStart w:id="751" w:name="pruebas-79"/>
    <w:p>
      <w:pPr>
        <w:pStyle w:val="Heading2"/>
      </w:pPr>
      <w:r>
        <w:rPr>
          <w:rStyle w:val="SectionNumber"/>
        </w:rPr>
        <w:t xml:space="preserve">1.708</w:t>
      </w:r>
      <w:r>
        <w:tab/>
      </w:r>
      <w:r>
        <w:t xml:space="preserve">Pruebas</w:t>
      </w:r>
    </w:p>
    <w:p>
      <w:pPr>
        <w:numPr>
          <w:ilvl w:val="0"/>
          <w:numId w:val="1203"/>
        </w:numPr>
        <w:pStyle w:val="Compact"/>
      </w:pPr>
      <w:r>
        <w:t xml:space="preserve">un mapa integrado de funciones y obligaciones;</w:t>
      </w:r>
    </w:p>
    <w:p>
      <w:pPr>
        <w:numPr>
          <w:ilvl w:val="0"/>
          <w:numId w:val="1203"/>
        </w:numPr>
        <w:pStyle w:val="Compact"/>
      </w:pPr>
      <w:r>
        <w:t xml:space="preserve">los registros de las actividades de transformación;</w:t>
      </w:r>
    </w:p>
    <w:p>
      <w:pPr>
        <w:numPr>
          <w:ilvl w:val="0"/>
          <w:numId w:val="1203"/>
        </w:numPr>
        <w:pStyle w:val="Compact"/>
      </w:pPr>
      <w:r>
        <w:t xml:space="preserve">análisis de las bases legales y de categorías especiales;</w:t>
      </w:r>
    </w:p>
    <w:p>
      <w:pPr>
        <w:numPr>
          <w:ilvl w:val="0"/>
          <w:numId w:val="1203"/>
        </w:numPr>
        <w:pStyle w:val="Compact"/>
      </w:pPr>
      <w:r>
        <w:t xml:space="preserve">DPIA y evaluación del impacto de los derechos fundamentales;</w:t>
      </w:r>
    </w:p>
    <w:p>
      <w:pPr>
        <w:numPr>
          <w:ilvl w:val="0"/>
          <w:numId w:val="1203"/>
        </w:numPr>
        <w:pStyle w:val="Compact"/>
      </w:pPr>
      <w:r>
        <w:t xml:space="preserve">los avisos de privacidad y los avisos de transparencia de IA;</w:t>
      </w:r>
    </w:p>
    <w:p>
      <w:pPr>
        <w:numPr>
          <w:ilvl w:val="0"/>
          <w:numId w:val="1203"/>
        </w:numPr>
        <w:pStyle w:val="Compact"/>
      </w:pPr>
      <w:r>
        <w:t xml:space="preserve">el procedimiento relativo a los derechos de los sujetos de datos;</w:t>
      </w:r>
    </w:p>
    <w:p>
      <w:pPr>
        <w:numPr>
          <w:ilvl w:val="0"/>
          <w:numId w:val="1203"/>
        </w:numPr>
        <w:pStyle w:val="Compact"/>
      </w:pPr>
      <w:r>
        <w:t xml:space="preserve">contratos y condiciones de tratamiento de datos;</w:t>
      </w:r>
    </w:p>
    <w:p>
      <w:pPr>
        <w:numPr>
          <w:ilvl w:val="0"/>
          <w:numId w:val="1203"/>
        </w:numPr>
        <w:pStyle w:val="Compact"/>
      </w:pPr>
      <w:r>
        <w:t xml:space="preserve">procedimientos de seguridad, incidentes e infracciones;</w:t>
      </w:r>
    </w:p>
    <w:p>
      <w:pPr>
        <w:numPr>
          <w:ilvl w:val="0"/>
          <w:numId w:val="1203"/>
        </w:numPr>
        <w:pStyle w:val="Compact"/>
      </w:pPr>
      <w:r>
        <w:t xml:space="preserve">revisar y cambiar la historia.</w:t>
      </w:r>
    </w:p>
    <w:bookmarkEnd w:id="751"/>
    <w:bookmarkStart w:id="752" w:name="prueba-de-auditoría-75"/>
    <w:p>
      <w:pPr>
        <w:pStyle w:val="Heading2"/>
      </w:pPr>
      <w:r>
        <w:rPr>
          <w:rStyle w:val="SectionNumber"/>
        </w:rPr>
        <w:t xml:space="preserve">1.709</w:t>
      </w:r>
      <w:r>
        <w:tab/>
      </w:r>
      <w:r>
        <w:t xml:space="preserve">Prueba de auditoría</w:t>
      </w:r>
    </w:p>
    <w:p>
      <w:pPr>
        <w:pStyle w:val="FirstParagraph"/>
      </w:pPr>
      <w:r>
        <w:t xml:space="preserve">Seleccione una muestra de los sistemas de IA que procesan datos personales. Verifique que las funciones de IA Act y GDPR fueron identificadas por separado, las bases legales y el tratamiento del Artículo 22 fueron documentados, los avisos y los procesos de derechos son consistentes, y cambios en el propósito, los datos, el modelo, el proveedor o la jurisdicción activaron la reevaluación.</w:t>
      </w:r>
    </w:p>
    <w:bookmarkEnd w:id="752"/>
    <w:bookmarkStart w:id="753" w:name="referencias-jurídicas-primarias-48"/>
    <w:p>
      <w:pPr>
        <w:pStyle w:val="Heading2"/>
      </w:pPr>
      <w:r>
        <w:rPr>
          <w:rStyle w:val="SectionNumber"/>
        </w:rPr>
        <w:t xml:space="preserve">1.710</w:t>
      </w:r>
      <w:r>
        <w:tab/>
      </w:r>
      <w:r>
        <w:t xml:space="preserve">Referencias jurídicas primarias</w:t>
      </w:r>
    </w:p>
    <w:p>
      <w:pPr>
        <w:numPr>
          <w:ilvl w:val="0"/>
          <w:numId w:val="1204"/>
        </w:numPr>
        <w:pStyle w:val="Compact"/>
      </w:pPr>
      <w:r>
        <w:t xml:space="preserve">Reglamento (UE) 2024/1689, modificado, incluidos los artículos 2, 10, 13, 26, 27 y 50, según proceda.</w:t>
      </w:r>
    </w:p>
    <w:p>
      <w:pPr>
        <w:numPr>
          <w:ilvl w:val="0"/>
          <w:numId w:val="1204"/>
        </w:numPr>
        <w:pStyle w:val="Compact"/>
      </w:pPr>
      <w:r>
        <w:t xml:space="preserve">Reglamento (UE) 2016/679, incluidos los artículos 5, 6, 9, 12 a 22, 25, 30, 32 a 36 y 44 a 49, según proceda.</w:t>
      </w:r>
    </w:p>
    <w:p>
      <w:pPr>
        <w:numPr>
          <w:ilvl w:val="0"/>
          <w:numId w:val="1204"/>
        </w:numPr>
        <w:pStyle w:val="Compact"/>
      </w:pPr>
      <w:r>
        <w:t xml:space="preserve">El actual control consolidado de los textos EUR-Lex sobre resúmenes y borradores anteriores.</w:t>
      </w:r>
    </w:p>
    <w:bookmarkEnd w:id="753"/>
    <w:bookmarkStart w:id="754" w:name="Xa1f7ff2b77772698e3e45de4d285a0937017591"/>
    <w:p>
      <w:pPr>
        <w:pStyle w:val="Heading2"/>
      </w:pPr>
      <w:r>
        <w:rPr>
          <w:rStyle w:val="SectionNumber"/>
        </w:rPr>
        <w:t xml:space="preserve">1.711</w:t>
      </w:r>
      <w:r>
        <w:tab/>
      </w:r>
      <w:r>
        <w:t xml:space="preserve">Capítulo 81 — Privacidad por diseño y minimización de datos</w:t>
      </w:r>
    </w:p>
    <w:p>
      <w:pPr>
        <w:pStyle w:val="BlockText"/>
      </w:pPr>
      <w:r>
        <w:rPr>
          <w:bCs/>
          <w:b/>
        </w:rPr>
        <w:t xml:space="preserve">Estatus legal:</w:t>
      </w:r>
      <w:r>
        <w:t xml:space="preserve"> </w:t>
      </w:r>
      <w:r>
        <w:t xml:space="preserve">Corregido Maestro Inglés para la consolidación. Este archivo controla el lenguaje de borrador anterior del Capítulo 81 en conflicto.</w:t>
      </w:r>
    </w:p>
    <w:bookmarkEnd w:id="754"/>
    <w:bookmarkStart w:id="755" w:name="requisito-79"/>
    <w:p>
      <w:pPr>
        <w:pStyle w:val="Heading2"/>
      </w:pPr>
      <w:r>
        <w:rPr>
          <w:rStyle w:val="SectionNumber"/>
        </w:rPr>
        <w:t xml:space="preserve">1.712</w:t>
      </w:r>
      <w:r>
        <w:tab/>
      </w:r>
      <w:r>
        <w:t xml:space="preserve">Requisito</w:t>
      </w:r>
    </w:p>
    <w:p>
      <w:pPr>
        <w:pStyle w:val="FirstParagraph"/>
      </w:pPr>
      <w:r>
        <w:t xml:space="preserve">Los sistemas de IA que procesan datos personales deben incorporar principios de privacidad y protección de datos en el diseño, desarrollo, configuración, despliegue, supervisión y jubilación. Los datos personales deben ser adecuados, pertinentes y limitados a lo que sea necesario para el propósito documentado, mientras que se cumplen los requisitos de gobernanza, exactitud, gestión de riesgos y evidencia de los datos de la Ley de IA.</w:t>
      </w:r>
    </w:p>
    <w:bookmarkEnd w:id="755"/>
    <w:bookmarkStart w:id="756" w:name="explicación-en-lenguaje-sencillo-76"/>
    <w:p>
      <w:pPr>
        <w:pStyle w:val="Heading2"/>
      </w:pPr>
      <w:r>
        <w:rPr>
          <w:rStyle w:val="SectionNumber"/>
        </w:rPr>
        <w:t xml:space="preserve">1.713</w:t>
      </w:r>
      <w:r>
        <w:tab/>
      </w:r>
      <w:r>
        <w:t xml:space="preserve">Explicación en lenguaje sencillo</w:t>
      </w:r>
    </w:p>
    <w:p>
      <w:pPr>
        <w:pStyle w:val="FirstParagraph"/>
      </w:pPr>
      <w:r>
        <w:t xml:space="preserve">Más datos no es automáticamente mejor o legal. Los equipos deben justificar por qué cada elemento de datos, función, campo rápido, registro, anotación y período de retención es necesario. Diseño que mejora la privacidad debe ser considerado antes de la recopilación y antes de cambios de modelo o flujo de trabajo, no añadido sólo después de la implementación.</w:t>
      </w:r>
    </w:p>
    <w:bookmarkEnd w:id="756"/>
    <w:bookmarkStart w:id="757" w:name="controles-de-diseño"/>
    <w:p>
      <w:pPr>
        <w:pStyle w:val="Heading2"/>
      </w:pPr>
      <w:r>
        <w:rPr>
          <w:rStyle w:val="SectionNumber"/>
        </w:rPr>
        <w:t xml:space="preserve">1.714</w:t>
      </w:r>
      <w:r>
        <w:tab/>
      </w:r>
      <w:r>
        <w:t xml:space="preserve">Controles de diseño</w:t>
      </w:r>
    </w:p>
    <w:p>
      <w:pPr>
        <w:pStyle w:val="FirstParagraph"/>
      </w:pPr>
      <w:r>
        <w:t xml:space="preserve">La organización debería aplicar:</w:t>
      </w:r>
    </w:p>
    <w:p>
      <w:pPr>
        <w:numPr>
          <w:ilvl w:val="0"/>
          <w:numId w:val="1205"/>
        </w:numPr>
        <w:pStyle w:val="Compact"/>
      </w:pPr>
      <w:r>
        <w:t xml:space="preserve">pruebas documentadas de finalidad y necesidad para cada elemento de datos personales;</w:t>
      </w:r>
    </w:p>
    <w:p>
      <w:pPr>
        <w:numPr>
          <w:ilvl w:val="0"/>
          <w:numId w:val="1205"/>
        </w:numPr>
        <w:pStyle w:val="Compact"/>
      </w:pPr>
      <w:r>
        <w:t xml:space="preserve">revisión de características y variables indirectas;</w:t>
      </w:r>
    </w:p>
    <w:p>
      <w:pPr>
        <w:numPr>
          <w:ilvl w:val="0"/>
          <w:numId w:val="1205"/>
        </w:numPr>
        <w:pStyle w:val="Compact"/>
      </w:pPr>
      <w:r>
        <w:t xml:space="preserve">límites de recogida y retención;</w:t>
      </w:r>
    </w:p>
    <w:p>
      <w:pPr>
        <w:numPr>
          <w:ilvl w:val="0"/>
          <w:numId w:val="1205"/>
        </w:numPr>
        <w:pStyle w:val="Compact"/>
      </w:pPr>
      <w:r>
        <w:t xml:space="preserve">acceso basado en funciones y menor privilegio;</w:t>
      </w:r>
    </w:p>
    <w:p>
      <w:pPr>
        <w:numPr>
          <w:ilvl w:val="0"/>
          <w:numId w:val="1205"/>
        </w:numPr>
        <w:pStyle w:val="Compact"/>
      </w:pPr>
      <w:r>
        <w:t xml:space="preserve">seudonimización, agregación, enmascaramiento o datos sintéticos, cuando proceda;</w:t>
      </w:r>
    </w:p>
    <w:p>
      <w:pPr>
        <w:numPr>
          <w:ilvl w:val="0"/>
          <w:numId w:val="1205"/>
        </w:numPr>
        <w:pStyle w:val="Compact"/>
      </w:pPr>
      <w:r>
        <w:t xml:space="preserve">separación de los datos de formación, validación, ensayo y producción;</w:t>
      </w:r>
    </w:p>
    <w:p>
      <w:pPr>
        <w:numPr>
          <w:ilvl w:val="0"/>
          <w:numId w:val="1205"/>
        </w:numPr>
        <w:pStyle w:val="Compact"/>
      </w:pPr>
      <w:r>
        <w:t xml:space="preserve">la conservación de la privacidad en el registro y el seguimiento;</w:t>
      </w:r>
    </w:p>
    <w:p>
      <w:pPr>
        <w:numPr>
          <w:ilvl w:val="0"/>
          <w:numId w:val="1205"/>
        </w:numPr>
        <w:pStyle w:val="Compact"/>
      </w:pPr>
      <w:r>
        <w:t xml:space="preserve">controles contra la memorización, divulgación o reidentificación no deseadas;</w:t>
      </w:r>
    </w:p>
    <w:p>
      <w:pPr>
        <w:numPr>
          <w:ilvl w:val="0"/>
          <w:numId w:val="1205"/>
        </w:numPr>
        <w:pStyle w:val="Compact"/>
      </w:pPr>
      <w:r>
        <w:t xml:space="preserve">supresión, corrección, restricción y flujos de trabajo de portabilidad, cuando proceda;</w:t>
      </w:r>
    </w:p>
    <w:p>
      <w:pPr>
        <w:numPr>
          <w:ilvl w:val="0"/>
          <w:numId w:val="1205"/>
        </w:numPr>
        <w:pStyle w:val="Compact"/>
      </w:pPr>
      <w:r>
        <w:t xml:space="preserve">reevaluación después de nuevas fuentes de datos, características, actualizaciones de modelos, integraciones o propósitos.</w:t>
      </w:r>
    </w:p>
    <w:bookmarkEnd w:id="757"/>
    <w:bookmarkStart w:id="758" w:name="ejemplo-de-globalway-74"/>
    <w:p>
      <w:pPr>
        <w:pStyle w:val="Heading2"/>
      </w:pPr>
      <w:r>
        <w:rPr>
          <w:rStyle w:val="SectionNumber"/>
        </w:rPr>
        <w:t xml:space="preserve">1.715</w:t>
      </w:r>
      <w:r>
        <w:tab/>
      </w:r>
      <w:r>
        <w:t xml:space="preserve">Ejemplo de GlobalWay</w:t>
      </w:r>
    </w:p>
    <w:p>
      <w:pPr>
        <w:pStyle w:val="FirstParagraph"/>
      </w:pPr>
      <w:r>
        <w:t xml:space="preserve">El sistema de asistencia para viajes de GlobalWay no retiene números de pasaporte, datos de tarjetas de pago o información de salud en avisos simplemente porque esos campos existen en sistemas anteriores. La revisión del diseño confirma qué atributos son necesarios, enmascara valores sensibles, limita el contenido de los registros y establece períodos de retención alineados con las necesidades legales y operacionales.</w:t>
      </w:r>
    </w:p>
    <w:bookmarkEnd w:id="758"/>
    <w:bookmarkStart w:id="759" w:name="actividad-de-control-75"/>
    <w:p>
      <w:pPr>
        <w:pStyle w:val="Heading2"/>
      </w:pPr>
      <w:r>
        <w:rPr>
          <w:rStyle w:val="SectionNumber"/>
        </w:rPr>
        <w:t xml:space="preserve">1.716</w:t>
      </w:r>
      <w:r>
        <w:tab/>
      </w:r>
      <w:r>
        <w:t xml:space="preserve">Actividad de control</w:t>
      </w:r>
    </w:p>
    <w:p>
      <w:pPr>
        <w:pStyle w:val="FirstParagraph"/>
      </w:pPr>
      <w:r>
        <w:t xml:space="preserve">Privacy Engineering y AI Governance deben aprobar una revisión de privacidad por diseño antes de la liberación de la producción y después de cambios materiales. La revisión debe documentar la necesidad, proporcionalidad, decisiones de minimización, salvaguardias técnicas, riesgos residuales y compensaciones no resueltas.</w:t>
      </w:r>
    </w:p>
    <w:bookmarkEnd w:id="759"/>
    <w:bookmarkStart w:id="760" w:name="pruebas-80"/>
    <w:p>
      <w:pPr>
        <w:pStyle w:val="Heading2"/>
      </w:pPr>
      <w:r>
        <w:rPr>
          <w:rStyle w:val="SectionNumber"/>
        </w:rPr>
        <w:t xml:space="preserve">1.717</w:t>
      </w:r>
      <w:r>
        <w:tab/>
      </w:r>
      <w:r>
        <w:t xml:space="preserve">Pruebas</w:t>
      </w:r>
    </w:p>
    <w:p>
      <w:pPr>
        <w:numPr>
          <w:ilvl w:val="0"/>
          <w:numId w:val="1206"/>
        </w:numPr>
        <w:pStyle w:val="Compact"/>
      </w:pPr>
      <w:r>
        <w:t xml:space="preserve">inventario de datos y mapa de flujo;</w:t>
      </w:r>
    </w:p>
    <w:p>
      <w:pPr>
        <w:numPr>
          <w:ilvl w:val="0"/>
          <w:numId w:val="1206"/>
        </w:numPr>
        <w:pStyle w:val="Compact"/>
      </w:pPr>
      <w:r>
        <w:t xml:space="preserve">evaluación de la finalidad y la necesidad;</w:t>
      </w:r>
    </w:p>
    <w:p>
      <w:pPr>
        <w:numPr>
          <w:ilvl w:val="0"/>
          <w:numId w:val="1206"/>
        </w:numPr>
        <w:pStyle w:val="Compact"/>
      </w:pPr>
      <w:r>
        <w:t xml:space="preserve">justificación de la selección de características;</w:t>
      </w:r>
    </w:p>
    <w:p>
      <w:pPr>
        <w:numPr>
          <w:ilvl w:val="0"/>
          <w:numId w:val="1206"/>
        </w:numPr>
        <w:pStyle w:val="Compact"/>
      </w:pPr>
      <w:r>
        <w:t xml:space="preserve">el calendario de retención;</w:t>
      </w:r>
    </w:p>
    <w:p>
      <w:pPr>
        <w:numPr>
          <w:ilvl w:val="0"/>
          <w:numId w:val="1206"/>
        </w:numPr>
        <w:pStyle w:val="Compact"/>
      </w:pPr>
      <w:r>
        <w:t xml:space="preserve">diseño de control de acceso;</w:t>
      </w:r>
    </w:p>
    <w:p>
      <w:pPr>
        <w:numPr>
          <w:ilvl w:val="0"/>
          <w:numId w:val="1206"/>
        </w:numPr>
        <w:pStyle w:val="Compact"/>
      </w:pPr>
      <w:r>
        <w:t xml:space="preserve">pruebas de seudonimización o enmascaramiento;</w:t>
      </w:r>
    </w:p>
    <w:p>
      <w:pPr>
        <w:numPr>
          <w:ilvl w:val="0"/>
          <w:numId w:val="1206"/>
        </w:numPr>
        <w:pStyle w:val="Compact"/>
      </w:pPr>
      <w:r>
        <w:t xml:space="preserve">los resultados de las pruebas de privacidad;</w:t>
      </w:r>
    </w:p>
    <w:p>
      <w:pPr>
        <w:numPr>
          <w:ilvl w:val="0"/>
          <w:numId w:val="1206"/>
        </w:numPr>
        <w:pStyle w:val="Compact"/>
      </w:pPr>
      <w:r>
        <w:t xml:space="preserve">procedimientos de supresión y gestión de derechos;</w:t>
      </w:r>
    </w:p>
    <w:p>
      <w:pPr>
        <w:numPr>
          <w:ilvl w:val="0"/>
          <w:numId w:val="1206"/>
        </w:numPr>
        <w:pStyle w:val="Compact"/>
      </w:pPr>
      <w:r>
        <w:t xml:space="preserve">aprobación de diseño-revisión y cambiar la historia.</w:t>
      </w:r>
    </w:p>
    <w:bookmarkEnd w:id="760"/>
    <w:bookmarkStart w:id="761" w:name="prueba-de-auditoría-76"/>
    <w:p>
      <w:pPr>
        <w:pStyle w:val="Heading2"/>
      </w:pPr>
      <w:r>
        <w:rPr>
          <w:rStyle w:val="SectionNumber"/>
        </w:rPr>
        <w:t xml:space="preserve">1.718</w:t>
      </w:r>
      <w:r>
        <w:tab/>
      </w:r>
      <w:r>
        <w:t xml:space="preserve">Prueba de auditoría</w:t>
      </w:r>
    </w:p>
    <w:p>
      <w:pPr>
        <w:pStyle w:val="FirstParagraph"/>
      </w:pPr>
      <w:r>
        <w:t xml:space="preserve">Seleccione una muestra de elementos de datos de IA, características, indicaciones y registros. Confirme que se documentaron las necesidades, se eliminaron los datos excesivos o rancios, las salvaguardias funcionan como están diseñadas y los cambios materiales desencadenaron una revisión renovada.</w:t>
      </w:r>
    </w:p>
    <w:bookmarkEnd w:id="761"/>
    <w:bookmarkStart w:id="762" w:name="referencias-jurídicas-primarias-49"/>
    <w:p>
      <w:pPr>
        <w:pStyle w:val="Heading2"/>
      </w:pPr>
      <w:r>
        <w:rPr>
          <w:rStyle w:val="SectionNumber"/>
        </w:rPr>
        <w:t xml:space="preserve">1.719</w:t>
      </w:r>
      <w:r>
        <w:tab/>
      </w:r>
      <w:r>
        <w:t xml:space="preserve">Referencias jurídicas primarias</w:t>
      </w:r>
    </w:p>
    <w:p>
      <w:pPr>
        <w:numPr>
          <w:ilvl w:val="0"/>
          <w:numId w:val="1207"/>
        </w:numPr>
        <w:pStyle w:val="Compact"/>
      </w:pPr>
      <w:r>
        <w:t xml:space="preserve">Reglamento (UE) 2016/679: artículo 5, apartado 1, letra c), artículo 25 y artículo 32, con otras disposiciones aplicables.</w:t>
      </w:r>
    </w:p>
    <w:p>
      <w:pPr>
        <w:numPr>
          <w:ilvl w:val="0"/>
          <w:numId w:val="1207"/>
        </w:numPr>
        <w:pStyle w:val="Compact"/>
      </w:pPr>
      <w:r>
        <w:t xml:space="preserve">Reglamento (UE) 2024/1689, modificado: artículos 9, 10, 12, 15, 26 y anexo IV, según proceda.</w:t>
      </w:r>
    </w:p>
    <w:p>
      <w:pPr>
        <w:numPr>
          <w:ilvl w:val="0"/>
          <w:numId w:val="1207"/>
        </w:numPr>
        <w:pStyle w:val="Compact"/>
      </w:pPr>
      <w:r>
        <w:t xml:space="preserve">El actual control consolidado de los textos EUR-Lex sobre resúmenes y borradores anteriores.</w:t>
      </w:r>
    </w:p>
    <w:bookmarkEnd w:id="762"/>
    <w:bookmarkStart w:id="763" w:name="X5d6178e30fd96dc194466a8522a2409f4944269"/>
    <w:p>
      <w:pPr>
        <w:pStyle w:val="Heading2"/>
      </w:pPr>
      <w:r>
        <w:rPr>
          <w:rStyle w:val="SectionNumber"/>
        </w:rPr>
        <w:t xml:space="preserve">1.720</w:t>
      </w:r>
      <w:r>
        <w:tab/>
      </w:r>
      <w:r>
        <w:t xml:space="preserve">Capítulo 82 — Datos personales de categoría especial y sensibles</w:t>
      </w:r>
    </w:p>
    <w:p>
      <w:pPr>
        <w:pStyle w:val="BlockText"/>
      </w:pPr>
      <w:r>
        <w:rPr>
          <w:bCs/>
          <w:b/>
        </w:rPr>
        <w:t xml:space="preserve">Estatus legal:</w:t>
      </w:r>
      <w:r>
        <w:t xml:space="preserve"> </w:t>
      </w:r>
      <w:r>
        <w:t xml:space="preserve">Corregido Maestro Inglés para la consolidación. Este archivo controla el lenguaje de borrador anterior del Capítulo 82 en conflicto.</w:t>
      </w:r>
    </w:p>
    <w:bookmarkEnd w:id="763"/>
    <w:bookmarkStart w:id="764" w:name="requisito-80"/>
    <w:p>
      <w:pPr>
        <w:pStyle w:val="Heading2"/>
      </w:pPr>
      <w:r>
        <w:rPr>
          <w:rStyle w:val="SectionNumber"/>
        </w:rPr>
        <w:t xml:space="preserve">1.721</w:t>
      </w:r>
      <w:r>
        <w:tab/>
      </w:r>
      <w:r>
        <w:t xml:space="preserve">Requisito</w:t>
      </w:r>
    </w:p>
    <w:p>
      <w:pPr>
        <w:pStyle w:val="FirstParagraph"/>
      </w:pPr>
      <w:r>
        <w:t xml:space="preserve">Las organizaciones deben identificar y controlar el procesamiento de categorías especiales de datos personales, datos biométricos, datos de delitos penales y otra información sensible utilizada por sistemas de IA o expuesta a ellos. El procesamiento requiere una base legal válida bajo el RGPD, una condición aplicable de los artículos 9 o 10 cuando corresponda, salvaguardias apropiadas, y el cumplimiento de las restricciones y condiciones de la Ley de IA.</w:t>
      </w:r>
    </w:p>
    <w:bookmarkEnd w:id="764"/>
    <w:bookmarkStart w:id="765" w:name="explicación-en-lenguaje-sencillo-77"/>
    <w:p>
      <w:pPr>
        <w:pStyle w:val="Heading2"/>
      </w:pPr>
      <w:r>
        <w:rPr>
          <w:rStyle w:val="SectionNumber"/>
        </w:rPr>
        <w:t xml:space="preserve">1.722</w:t>
      </w:r>
      <w:r>
        <w:tab/>
      </w:r>
      <w:r>
        <w:t xml:space="preserve">Explicación en lenguaje sencillo</w:t>
      </w:r>
    </w:p>
    <w:p>
      <w:pPr>
        <w:pStyle w:val="FirstParagraph"/>
      </w:pPr>
      <w:r>
        <w:t xml:space="preserve">Los datos sensibles pueden crear un aumento de la discriminación, la privacidad, la seguridad y los riesgos relacionados con los derechos fundamentales. La Ley de IA de la UE no crea un permiso general para utilizar esos datos. Sus disposiciones limitadas para la detección y corrección de sesgos en los sistemas de IA de alto riesgo deben interpretarse de manera restrictiva y aplicarse con las salvaguardias exigidas tanto por la Ley de IA como por la ley de protección de datos.</w:t>
      </w:r>
    </w:p>
    <w:bookmarkEnd w:id="765"/>
    <w:bookmarkStart w:id="766" w:name="requisitos-de-control-2"/>
    <w:p>
      <w:pPr>
        <w:pStyle w:val="Heading2"/>
      </w:pPr>
      <w:r>
        <w:rPr>
          <w:rStyle w:val="SectionNumber"/>
        </w:rPr>
        <w:t xml:space="preserve">1.723</w:t>
      </w:r>
      <w:r>
        <w:tab/>
      </w:r>
      <w:r>
        <w:t xml:space="preserve">Requisitos de control</w:t>
      </w:r>
    </w:p>
    <w:p>
      <w:pPr>
        <w:pStyle w:val="FirstParagraph"/>
      </w:pPr>
      <w:r>
        <w:t xml:space="preserve">La evaluación deberá tener en cuenta:</w:t>
      </w:r>
    </w:p>
    <w:p>
      <w:pPr>
        <w:numPr>
          <w:ilvl w:val="0"/>
          <w:numId w:val="1208"/>
        </w:numPr>
        <w:pStyle w:val="Compact"/>
      </w:pPr>
      <w:r>
        <w:t xml:space="preserve">categorías exactas de datos y si se trata de atributos inferidos;</w:t>
      </w:r>
    </w:p>
    <w:p>
      <w:pPr>
        <w:numPr>
          <w:ilvl w:val="0"/>
          <w:numId w:val="1208"/>
        </w:numPr>
        <w:pStyle w:val="Compact"/>
      </w:pPr>
      <w:r>
        <w:t xml:space="preserve">la base legítima y la condición del artículo 9 o del artículo 10;</w:t>
      </w:r>
    </w:p>
    <w:p>
      <w:pPr>
        <w:numPr>
          <w:ilvl w:val="0"/>
          <w:numId w:val="1208"/>
        </w:numPr>
        <w:pStyle w:val="Compact"/>
      </w:pPr>
      <w:r>
        <w:t xml:space="preserve">necesidad y proporcionalidad;</w:t>
      </w:r>
    </w:p>
    <w:p>
      <w:pPr>
        <w:numPr>
          <w:ilvl w:val="0"/>
          <w:numId w:val="1208"/>
        </w:numPr>
        <w:pStyle w:val="Compact"/>
      </w:pPr>
      <w:r>
        <w:t xml:space="preserve">si la Ley de Amnistía Internacional permite, restringe o prohíbe la práctica pertinente;</w:t>
      </w:r>
    </w:p>
    <w:p>
      <w:pPr>
        <w:numPr>
          <w:ilvl w:val="0"/>
          <w:numId w:val="1208"/>
        </w:numPr>
        <w:pStyle w:val="Compact"/>
      </w:pPr>
      <w:r>
        <w:t xml:space="preserve">limitación de acceso, segregación, encriptación, seudonimización y supresión;</w:t>
      </w:r>
    </w:p>
    <w:p>
      <w:pPr>
        <w:numPr>
          <w:ilvl w:val="0"/>
          <w:numId w:val="1208"/>
        </w:numPr>
        <w:pStyle w:val="Compact"/>
      </w:pPr>
      <w:r>
        <w:t xml:space="preserve">la finalidad, el alcance, la duración y las salvaguardias de la detección de sesgos en que se basa el artículo 10, apartado 5, de la Ley de IA;</w:t>
      </w:r>
    </w:p>
    <w:p>
      <w:pPr>
        <w:numPr>
          <w:ilvl w:val="0"/>
          <w:numId w:val="1208"/>
        </w:numPr>
        <w:pStyle w:val="Compact"/>
      </w:pPr>
      <w:r>
        <w:t xml:space="preserve">categorización biométrica, reconocimiento de emociones, identificación biométrica a distancia u otros desencadenantes prohibidos/de alto riesgo;</w:t>
      </w:r>
    </w:p>
    <w:p>
      <w:pPr>
        <w:numPr>
          <w:ilvl w:val="0"/>
          <w:numId w:val="1208"/>
        </w:numPr>
        <w:pStyle w:val="Compact"/>
      </w:pPr>
      <w:r>
        <w:t xml:space="preserve">transparencia y derechos de las personas afectadas;</w:t>
      </w:r>
    </w:p>
    <w:p>
      <w:pPr>
        <w:numPr>
          <w:ilvl w:val="0"/>
          <w:numId w:val="1208"/>
        </w:numPr>
        <w:pStyle w:val="Compact"/>
      </w:pPr>
      <w:r>
        <w:t xml:space="preserve">transferencias transfronterizas y acceso de los proveedores;</w:t>
      </w:r>
    </w:p>
    <w:p>
      <w:pPr>
        <w:numPr>
          <w:ilvl w:val="0"/>
          <w:numId w:val="1208"/>
        </w:numPr>
        <w:pStyle w:val="Compact"/>
      </w:pPr>
      <w:r>
        <w:t xml:space="preserve">auditabilidad y reevaluación después del cambio.</w:t>
      </w:r>
    </w:p>
    <w:bookmarkEnd w:id="766"/>
    <w:bookmarkStart w:id="767" w:name="ejemplo-de-globalway-75"/>
    <w:p>
      <w:pPr>
        <w:pStyle w:val="Heading2"/>
      </w:pPr>
      <w:r>
        <w:rPr>
          <w:rStyle w:val="SectionNumber"/>
        </w:rPr>
        <w:t xml:space="preserve">1.724</w:t>
      </w:r>
      <w:r>
        <w:tab/>
      </w:r>
      <w:r>
        <w:t xml:space="preserve">Ejemplo de GlobalWay</w:t>
      </w:r>
    </w:p>
    <w:p>
      <w:pPr>
        <w:pStyle w:val="FirstParagraph"/>
      </w:pPr>
      <w:r>
        <w:t xml:space="preserve">GlobalWay evalúa si los datos de asistencia de viaje relacionados con la salud y la información inferida sobre discapacidad son necesarios para un servicio propuesto. Impide el uso para la clasificación de empleados, restringe el acceso, documenta la condición del RGPD, separa la asistencia operativa de la analítica y rechaza cualquier intento de reutilizar los datos con un propósito incompatible.</w:t>
      </w:r>
    </w:p>
    <w:bookmarkEnd w:id="767"/>
    <w:bookmarkStart w:id="768" w:name="actividad-de-control-76"/>
    <w:p>
      <w:pPr>
        <w:pStyle w:val="Heading2"/>
      </w:pPr>
      <w:r>
        <w:rPr>
          <w:rStyle w:val="SectionNumber"/>
        </w:rPr>
        <w:t xml:space="preserve">1.725</w:t>
      </w:r>
      <w:r>
        <w:tab/>
      </w:r>
      <w:r>
        <w:t xml:space="preserve">Actividad de control</w:t>
      </w:r>
    </w:p>
    <w:p>
      <w:pPr>
        <w:pStyle w:val="FirstParagraph"/>
      </w:pPr>
      <w:r>
        <w:t xml:space="preserve">Ningún uso de IA que implique datos de categoría especial, biométricos o de delitos penales puede proceder sin la aprobación legal y de privacidad escrita. La decisión debe identificar la condición legal exacta, las salvaguardias, el período de retención, el modelo de acceso, los usos secundarios prohibidos y los desencadenantes de revisión.</w:t>
      </w:r>
    </w:p>
    <w:bookmarkEnd w:id="768"/>
    <w:bookmarkStart w:id="769" w:name="pruebas-81"/>
    <w:p>
      <w:pPr>
        <w:pStyle w:val="Heading2"/>
      </w:pPr>
      <w:r>
        <w:rPr>
          <w:rStyle w:val="SectionNumber"/>
        </w:rPr>
        <w:t xml:space="preserve">1.726</w:t>
      </w:r>
      <w:r>
        <w:tab/>
      </w:r>
      <w:r>
        <w:t xml:space="preserve">Pruebas</w:t>
      </w:r>
    </w:p>
    <w:p>
      <w:pPr>
        <w:numPr>
          <w:ilvl w:val="0"/>
          <w:numId w:val="1209"/>
        </w:numPr>
        <w:pStyle w:val="Compact"/>
      </w:pPr>
      <w:r>
        <w:t xml:space="preserve">inventario de datos sensibles;</w:t>
      </w:r>
    </w:p>
    <w:p>
      <w:pPr>
        <w:numPr>
          <w:ilvl w:val="0"/>
          <w:numId w:val="1209"/>
        </w:numPr>
        <w:pStyle w:val="Compact"/>
      </w:pPr>
      <w:r>
        <w:t xml:space="preserve">la base legal y el análisis del artículo 9/10;</w:t>
      </w:r>
    </w:p>
    <w:p>
      <w:pPr>
        <w:numPr>
          <w:ilvl w:val="0"/>
          <w:numId w:val="1209"/>
        </w:numPr>
        <w:pStyle w:val="Compact"/>
      </w:pPr>
      <w:r>
        <w:t xml:space="preserve">la necesidad y la evaluación de la proporcionalidad;</w:t>
      </w:r>
    </w:p>
    <w:p>
      <w:pPr>
        <w:numPr>
          <w:ilvl w:val="0"/>
          <w:numId w:val="1209"/>
        </w:numPr>
        <w:pStyle w:val="Compact"/>
      </w:pPr>
      <w:r>
        <w:t xml:space="preserve">Clasificación de la Ley de Amnistía Internacional y revisión de las prácticas prohibidas;</w:t>
      </w:r>
    </w:p>
    <w:p>
      <w:pPr>
        <w:numPr>
          <w:ilvl w:val="0"/>
          <w:numId w:val="1209"/>
        </w:numPr>
        <w:pStyle w:val="Compact"/>
      </w:pPr>
      <w:r>
        <w:t xml:space="preserve">pruebas de acceso, encriptación y segregación;</w:t>
      </w:r>
    </w:p>
    <w:p>
      <w:pPr>
        <w:numPr>
          <w:ilvl w:val="0"/>
          <w:numId w:val="1209"/>
        </w:numPr>
        <w:pStyle w:val="Compact"/>
      </w:pPr>
      <w:r>
        <w:t xml:space="preserve">los registros de conservación y supresión;</w:t>
      </w:r>
    </w:p>
    <w:p>
      <w:pPr>
        <w:numPr>
          <w:ilvl w:val="0"/>
          <w:numId w:val="1209"/>
        </w:numPr>
        <w:pStyle w:val="Compact"/>
      </w:pPr>
      <w:r>
        <w:t xml:space="preserve">las notificaciones y los procedimientos de derechos;</w:t>
      </w:r>
    </w:p>
    <w:p>
      <w:pPr>
        <w:numPr>
          <w:ilvl w:val="0"/>
          <w:numId w:val="1209"/>
        </w:numPr>
        <w:pStyle w:val="Compact"/>
      </w:pPr>
      <w:r>
        <w:t xml:space="preserve">evaluaciones de proveedores y transferencias;</w:t>
      </w:r>
    </w:p>
    <w:p>
      <w:pPr>
        <w:numPr>
          <w:ilvl w:val="0"/>
          <w:numId w:val="1209"/>
        </w:numPr>
        <w:pStyle w:val="Compact"/>
      </w:pPr>
      <w:r>
        <w:t xml:space="preserve">aprobaciones y historial de reevaluación.</w:t>
      </w:r>
    </w:p>
    <w:bookmarkEnd w:id="769"/>
    <w:bookmarkStart w:id="770" w:name="prueba-de-auditoría-77"/>
    <w:p>
      <w:pPr>
        <w:pStyle w:val="Heading2"/>
      </w:pPr>
      <w:r>
        <w:rPr>
          <w:rStyle w:val="SectionNumber"/>
        </w:rPr>
        <w:t xml:space="preserve">1.727</w:t>
      </w:r>
      <w:r>
        <w:tab/>
      </w:r>
      <w:r>
        <w:t xml:space="preserve">Prueba de auditoría</w:t>
      </w:r>
    </w:p>
    <w:p>
      <w:pPr>
        <w:pStyle w:val="FirstParagraph"/>
      </w:pPr>
      <w:r>
        <w:t xml:space="preserve">Seleccione sistemas de IA que utilicen o infieren datos sensibles. Confirme que la categoría de datos, condición legal, tratamiento de IA Act, salvaguardias, acceso, retención y restricciones de uso secundario están documentadas y funcionan eficazmente.</w:t>
      </w:r>
    </w:p>
    <w:bookmarkEnd w:id="770"/>
    <w:bookmarkStart w:id="771" w:name="referencias-jurídicas-primarias-50"/>
    <w:p>
      <w:pPr>
        <w:pStyle w:val="Heading2"/>
      </w:pPr>
      <w:r>
        <w:rPr>
          <w:rStyle w:val="SectionNumber"/>
        </w:rPr>
        <w:t xml:space="preserve">1.728</w:t>
      </w:r>
      <w:r>
        <w:tab/>
      </w:r>
      <w:r>
        <w:t xml:space="preserve">Referencias jurídicas primarias</w:t>
      </w:r>
    </w:p>
    <w:p>
      <w:pPr>
        <w:numPr>
          <w:ilvl w:val="0"/>
          <w:numId w:val="1210"/>
        </w:numPr>
        <w:pStyle w:val="Compact"/>
      </w:pPr>
      <w:r>
        <w:t xml:space="preserve">Reglamento (UE) 2016/679: artículos 5, 6, 9, 10, 25, 32 y 35.</w:t>
      </w:r>
    </w:p>
    <w:p>
      <w:pPr>
        <w:numPr>
          <w:ilvl w:val="0"/>
          <w:numId w:val="1210"/>
        </w:numPr>
        <w:pStyle w:val="Compact"/>
      </w:pPr>
      <w:r>
        <w:t xml:space="preserve">Reglamento (UE) 2024/1689, modificado: artículos 5, 9, 10 y 26 y disposiciones pertinentes sobre biometría y transparencia.</w:t>
      </w:r>
    </w:p>
    <w:p>
      <w:pPr>
        <w:numPr>
          <w:ilvl w:val="0"/>
          <w:numId w:val="1210"/>
        </w:numPr>
        <w:pStyle w:val="Compact"/>
      </w:pPr>
      <w:r>
        <w:t xml:space="preserve">El actual control consolidado de los textos EUR-Lex sobre resúmenes y borradores anteriores.</w:t>
      </w:r>
    </w:p>
    <w:bookmarkEnd w:id="771"/>
    <w:bookmarkStart w:id="772" w:name="Xa4ade8b17ca1dea3c8b7379e54289aa96da3ccb"/>
    <w:p>
      <w:pPr>
        <w:pStyle w:val="Heading2"/>
      </w:pPr>
      <w:r>
        <w:rPr>
          <w:rStyle w:val="SectionNumber"/>
        </w:rPr>
        <w:t xml:space="preserve">1.729</w:t>
      </w:r>
      <w:r>
        <w:tab/>
      </w:r>
      <w:r>
        <w:t xml:space="preserve">Capítulo 83 — Adopción automatizada de decisiones</w:t>
      </w:r>
    </w:p>
    <w:p>
      <w:pPr>
        <w:pStyle w:val="BlockText"/>
      </w:pPr>
      <w:r>
        <w:rPr>
          <w:bCs/>
          <w:b/>
        </w:rPr>
        <w:t xml:space="preserve">Estatus legal:</w:t>
      </w:r>
      <w:r>
        <w:t xml:space="preserve"> </w:t>
      </w:r>
      <w:r>
        <w:t xml:space="preserve">Corregido Maestro Inglés para la consolidación. Este archivo controla el lenguaje de borrador anterior del Capítulo 83.</w:t>
      </w:r>
    </w:p>
    <w:bookmarkEnd w:id="772"/>
    <w:bookmarkStart w:id="773" w:name="requisito-81"/>
    <w:p>
      <w:pPr>
        <w:pStyle w:val="Heading2"/>
      </w:pPr>
      <w:r>
        <w:rPr>
          <w:rStyle w:val="SectionNumber"/>
        </w:rPr>
        <w:t xml:space="preserve">1.730</w:t>
      </w:r>
      <w:r>
        <w:tab/>
      </w:r>
      <w:r>
        <w:t xml:space="preserve">Requisito</w:t>
      </w:r>
    </w:p>
    <w:p>
      <w:pPr>
        <w:pStyle w:val="FirstParagraph"/>
      </w:pPr>
      <w:r>
        <w:t xml:space="preserve">Las organizaciones deben evaluar si una decisión apoyada por IA o generada por IA se basa únicamente en el procesamiento automatizado y produce efectos jurídicos o efectos igualmente significativos en una persona física. Cuando se aplique el artículo 22 del RGPD, la organización debe identificar una excepción válida, implementar salvaguardias adecuadas y asegurar que el proceso de decisión real se ajuste al modelo documentado de revisión humana.</w:t>
      </w:r>
    </w:p>
    <w:bookmarkEnd w:id="773"/>
    <w:bookmarkStart w:id="774" w:name="explicación-en-lenguaje-sencillo-78"/>
    <w:p>
      <w:pPr>
        <w:pStyle w:val="Heading2"/>
      </w:pPr>
      <w:r>
        <w:rPr>
          <w:rStyle w:val="SectionNumber"/>
        </w:rPr>
        <w:t xml:space="preserve">1.731</w:t>
      </w:r>
      <w:r>
        <w:tab/>
      </w:r>
      <w:r>
        <w:t xml:space="preserve">Explicación en lenguaje sencillo</w:t>
      </w:r>
    </w:p>
    <w:p>
      <w:pPr>
        <w:pStyle w:val="FirstParagraph"/>
      </w:pPr>
      <w:r>
        <w:t xml:space="preserve">Llamar a un proceso</w:t>
      </w:r>
      <w:r>
        <w:t xml:space="preserve"> </w:t>
      </w:r>
      <w:r>
        <w:t xml:space="preserve">“</w:t>
      </w:r>
      <w:r>
        <w:t xml:space="preserve">humano en el bucle</w:t>
      </w:r>
      <w:r>
        <w:t xml:space="preserve">”</w:t>
      </w:r>
      <w:r>
        <w:t xml:space="preserve"> </w:t>
      </w:r>
      <w:r>
        <w:t xml:space="preserve">no lo elimina del artículo 22 si el revisor humano acepta rutinariamente la salida del sistema sin autoridad, información, tiempo o competencia significativas para cambiar el resultado. La evaluación debe examinar la realidad operacional, no las etiquetas.</w:t>
      </w:r>
    </w:p>
    <w:bookmarkEnd w:id="774"/>
    <w:bookmarkStart w:id="775" w:name="criterios-de-evaluación"/>
    <w:p>
      <w:pPr>
        <w:pStyle w:val="Heading2"/>
      </w:pPr>
      <w:r>
        <w:rPr>
          <w:rStyle w:val="SectionNumber"/>
        </w:rPr>
        <w:t xml:space="preserve">1.732</w:t>
      </w:r>
      <w:r>
        <w:tab/>
      </w:r>
      <w:r>
        <w:t xml:space="preserve">Criterios de evaluación</w:t>
      </w:r>
    </w:p>
    <w:p>
      <w:pPr>
        <w:pStyle w:val="FirstParagraph"/>
      </w:pPr>
      <w:r>
        <w:t xml:space="preserve">Documento como mínimo:</w:t>
      </w:r>
    </w:p>
    <w:p>
      <w:pPr>
        <w:numPr>
          <w:ilvl w:val="0"/>
          <w:numId w:val="1211"/>
        </w:numPr>
        <w:pStyle w:val="Compact"/>
      </w:pPr>
      <w:r>
        <w:t xml:space="preserve">la decisión, las personas afectadas y las consecuencias;</w:t>
      </w:r>
    </w:p>
    <w:p>
      <w:pPr>
        <w:numPr>
          <w:ilvl w:val="0"/>
          <w:numId w:val="1211"/>
        </w:numPr>
        <w:pStyle w:val="Compact"/>
      </w:pPr>
      <w:r>
        <w:t xml:space="preserve">si el tratamiento está exclusivamente automatizado en la práctica;</w:t>
      </w:r>
    </w:p>
    <w:p>
      <w:pPr>
        <w:numPr>
          <w:ilvl w:val="0"/>
          <w:numId w:val="1211"/>
        </w:numPr>
        <w:pStyle w:val="Compact"/>
      </w:pPr>
      <w:r>
        <w:t xml:space="preserve">el papel y la sustancia de cualquier intervención humana;</w:t>
      </w:r>
    </w:p>
    <w:p>
      <w:pPr>
        <w:numPr>
          <w:ilvl w:val="0"/>
          <w:numId w:val="1211"/>
        </w:numPr>
        <w:pStyle w:val="Compact"/>
      </w:pPr>
      <w:r>
        <w:t xml:space="preserve">si el efecto es legal o similar;</w:t>
      </w:r>
    </w:p>
    <w:p>
      <w:pPr>
        <w:numPr>
          <w:ilvl w:val="0"/>
          <w:numId w:val="1211"/>
        </w:numPr>
        <w:pStyle w:val="Compact"/>
      </w:pPr>
      <w:r>
        <w:t xml:space="preserve">la excepción a que se refiere el artículo 22, apartado 2, cuando proceda;</w:t>
      </w:r>
    </w:p>
    <w:p>
      <w:pPr>
        <w:numPr>
          <w:ilvl w:val="0"/>
          <w:numId w:val="1211"/>
        </w:numPr>
        <w:pStyle w:val="Compact"/>
      </w:pPr>
      <w:r>
        <w:t xml:space="preserve">restricciones relativas a datos de categorías especiales;</w:t>
      </w:r>
    </w:p>
    <w:p>
      <w:pPr>
        <w:numPr>
          <w:ilvl w:val="0"/>
          <w:numId w:val="1211"/>
        </w:numPr>
        <w:pStyle w:val="Compact"/>
      </w:pPr>
      <w:r>
        <w:t xml:space="preserve">información sobre la lógica, la importancia y las consecuencias previstas;</w:t>
      </w:r>
    </w:p>
    <w:p>
      <w:pPr>
        <w:numPr>
          <w:ilvl w:val="0"/>
          <w:numId w:val="1211"/>
        </w:numPr>
        <w:pStyle w:val="Compact"/>
      </w:pPr>
      <w:r>
        <w:t xml:space="preserve">derechos a la intervención humana, expresar una opinión y impugnar la decisión;</w:t>
      </w:r>
    </w:p>
    <w:p>
      <w:pPr>
        <w:numPr>
          <w:ilvl w:val="0"/>
          <w:numId w:val="1211"/>
        </w:numPr>
        <w:pStyle w:val="Compact"/>
      </w:pPr>
      <w:r>
        <w:t xml:space="preserve">pruebas de exactitud, discriminación, coherencia y anulación de la eficacia;</w:t>
      </w:r>
    </w:p>
    <w:p>
      <w:pPr>
        <w:numPr>
          <w:ilvl w:val="0"/>
          <w:numId w:val="1211"/>
        </w:numPr>
        <w:pStyle w:val="Compact"/>
      </w:pPr>
      <w:r>
        <w:t xml:space="preserve">la interacción con la Ley de AI de alto riesgo, transparencia, supervisión humana y obligaciones en materia de derechos fundamentales.</w:t>
      </w:r>
    </w:p>
    <w:bookmarkEnd w:id="775"/>
    <w:bookmarkStart w:id="776" w:name="ejemplo-de-globalway-76"/>
    <w:p>
      <w:pPr>
        <w:pStyle w:val="Heading2"/>
      </w:pPr>
      <w:r>
        <w:rPr>
          <w:rStyle w:val="SectionNumber"/>
        </w:rPr>
        <w:t xml:space="preserve">1.733</w:t>
      </w:r>
      <w:r>
        <w:tab/>
      </w:r>
      <w:r>
        <w:t xml:space="preserve">Ejemplo de GlobalWay</w:t>
      </w:r>
    </w:p>
    <w:p>
      <w:pPr>
        <w:pStyle w:val="FirstParagraph"/>
      </w:pPr>
      <w:r>
        <w:t xml:space="preserve">GlobalWay utiliza un sistema de IA para clasificar a los solicitantes de empleo. El reclutadores debe revisar las pruebas pertinentes de la aplicación, entender las limitaciones del sistema, registrar las razones de las decisiones y tener autoridad para apartarse del ranking.</w:t>
      </w:r>
    </w:p>
    <w:bookmarkEnd w:id="776"/>
    <w:bookmarkStart w:id="777" w:name="actividad-de-control-77"/>
    <w:p>
      <w:pPr>
        <w:pStyle w:val="Heading2"/>
      </w:pPr>
      <w:r>
        <w:rPr>
          <w:rStyle w:val="SectionNumber"/>
        </w:rPr>
        <w:t xml:space="preserve">1.734</w:t>
      </w:r>
      <w:r>
        <w:tab/>
      </w:r>
      <w:r>
        <w:t xml:space="preserve">Actividad de control</w:t>
      </w:r>
    </w:p>
    <w:p>
      <w:pPr>
        <w:pStyle w:val="FirstParagraph"/>
      </w:pPr>
      <w:r>
        <w:t xml:space="preserve">Legal, Privacy, y el propietario de la empresa deben aprobar una evaluación de decisión automatizada antes de su despliegue. Cuando se aplique el artículo 22, la liberación debe ser bloqueada a menos que la excepción legal y las salvaguardias estén documentadas, las notificaciones estén completas, los canales de oposición y de revisión humana estén operativos, y la supervisión demuestre una participación humana significativa cuando se alegue.</w:t>
      </w:r>
    </w:p>
    <w:bookmarkEnd w:id="777"/>
    <w:bookmarkStart w:id="778" w:name="pruebas-82"/>
    <w:p>
      <w:pPr>
        <w:pStyle w:val="Heading2"/>
      </w:pPr>
      <w:r>
        <w:rPr>
          <w:rStyle w:val="SectionNumber"/>
        </w:rPr>
        <w:t xml:space="preserve">1.735</w:t>
      </w:r>
      <w:r>
        <w:tab/>
      </w:r>
      <w:r>
        <w:t xml:space="preserve">Pruebas</w:t>
      </w:r>
    </w:p>
    <w:p>
      <w:pPr>
        <w:numPr>
          <w:ilvl w:val="0"/>
          <w:numId w:val="1212"/>
        </w:numPr>
        <w:pStyle w:val="Compact"/>
      </w:pPr>
      <w:r>
        <w:t xml:space="preserve">evaluación automatizada de las decisiones;</w:t>
      </w:r>
    </w:p>
    <w:p>
      <w:pPr>
        <w:numPr>
          <w:ilvl w:val="0"/>
          <w:numId w:val="1212"/>
        </w:numPr>
        <w:pStyle w:val="Compact"/>
      </w:pPr>
      <w:r>
        <w:t xml:space="preserve">Artículo 22 - Análisis jurídico;</w:t>
      </w:r>
    </w:p>
    <w:p>
      <w:pPr>
        <w:numPr>
          <w:ilvl w:val="0"/>
          <w:numId w:val="1212"/>
        </w:numPr>
        <w:pStyle w:val="Compact"/>
      </w:pPr>
      <w:r>
        <w:t xml:space="preserve">el mapa de flujo de trabajo y de los derechos de decisión;</w:t>
      </w:r>
    </w:p>
    <w:p>
      <w:pPr>
        <w:numPr>
          <w:ilvl w:val="0"/>
          <w:numId w:val="1212"/>
        </w:numPr>
        <w:pStyle w:val="Compact"/>
      </w:pPr>
      <w:r>
        <w:t xml:space="preserve">instrucciones del revisor y pruebas de competencia;</w:t>
      </w:r>
    </w:p>
    <w:p>
      <w:pPr>
        <w:numPr>
          <w:ilvl w:val="0"/>
          <w:numId w:val="1212"/>
        </w:numPr>
        <w:pStyle w:val="Compact"/>
      </w:pPr>
      <w:r>
        <w:t xml:space="preserve">los avisos y los materiales de explicación;</w:t>
      </w:r>
    </w:p>
    <w:p>
      <w:pPr>
        <w:numPr>
          <w:ilvl w:val="0"/>
          <w:numId w:val="1212"/>
        </w:numPr>
        <w:pStyle w:val="Compact"/>
      </w:pPr>
      <w:r>
        <w:t xml:space="preserve">los expedientes de impugnación, apelación e intervención humana;</w:t>
      </w:r>
    </w:p>
    <w:p>
      <w:pPr>
        <w:numPr>
          <w:ilvl w:val="0"/>
          <w:numId w:val="1212"/>
        </w:numPr>
        <w:pStyle w:val="Compact"/>
      </w:pPr>
      <w:r>
        <w:t xml:space="preserve">la anulación y el seguimiento de los resultados;</w:t>
      </w:r>
    </w:p>
    <w:p>
      <w:pPr>
        <w:numPr>
          <w:ilvl w:val="0"/>
          <w:numId w:val="1212"/>
        </w:numPr>
        <w:pStyle w:val="Compact"/>
      </w:pPr>
      <w:r>
        <w:t xml:space="preserve">pruebas de sesgo, precisión y consistencia;</w:t>
      </w:r>
    </w:p>
    <w:p>
      <w:pPr>
        <w:numPr>
          <w:ilvl w:val="0"/>
          <w:numId w:val="1212"/>
        </w:numPr>
        <w:pStyle w:val="Compact"/>
      </w:pPr>
      <w:r>
        <w:t xml:space="preserve">aprobaciones y historial de reevaluación.</w:t>
      </w:r>
    </w:p>
    <w:bookmarkEnd w:id="778"/>
    <w:bookmarkStart w:id="779" w:name="prueba-de-auditoría-78"/>
    <w:p>
      <w:pPr>
        <w:pStyle w:val="Heading2"/>
      </w:pPr>
      <w:r>
        <w:rPr>
          <w:rStyle w:val="SectionNumber"/>
        </w:rPr>
        <w:t xml:space="preserve">1.736</w:t>
      </w:r>
      <w:r>
        <w:tab/>
      </w:r>
      <w:r>
        <w:t xml:space="preserve">Prueba de auditoría</w:t>
      </w:r>
    </w:p>
    <w:p>
      <w:pPr>
        <w:pStyle w:val="FirstParagraph"/>
      </w:pPr>
      <w:r>
        <w:t xml:space="preserve">Observe una muestra de decisiones y revisores de entrevistas. Confirme que el proceso documentado coincide con la práctica real, la intervención humana es significativa cuando se confía en ella, los derechos de las personas afectadas son operativos, y las decisiones de alto riesgo o significativas reciben supervisión y pruebas apropiadas.</w:t>
      </w:r>
    </w:p>
    <w:bookmarkEnd w:id="779"/>
    <w:bookmarkStart w:id="780" w:name="referencias-jurídicas-primarias-51"/>
    <w:p>
      <w:pPr>
        <w:pStyle w:val="Heading2"/>
      </w:pPr>
      <w:r>
        <w:rPr>
          <w:rStyle w:val="SectionNumber"/>
        </w:rPr>
        <w:t xml:space="preserve">1.737</w:t>
      </w:r>
      <w:r>
        <w:tab/>
      </w:r>
      <w:r>
        <w:t xml:space="preserve">Referencias jurídicas primarias</w:t>
      </w:r>
    </w:p>
    <w:p>
      <w:pPr>
        <w:numPr>
          <w:ilvl w:val="0"/>
          <w:numId w:val="1213"/>
        </w:numPr>
        <w:pStyle w:val="Compact"/>
      </w:pPr>
      <w:r>
        <w:t xml:space="preserve">Reglamento (UE) 2016/679: artículos 13 a 15 y 22, con el considerando 71 y la jurisprudencia aplicable.</w:t>
      </w:r>
    </w:p>
    <w:p>
      <w:pPr>
        <w:numPr>
          <w:ilvl w:val="0"/>
          <w:numId w:val="1213"/>
        </w:numPr>
        <w:pStyle w:val="Compact"/>
      </w:pPr>
      <w:r>
        <w:t xml:space="preserve">Reglamento (UE) 2024/1689, modificado: artículos 13, 14, 26, 27 y disposiciones pertinentes del anexo III.</w:t>
      </w:r>
    </w:p>
    <w:p>
      <w:pPr>
        <w:numPr>
          <w:ilvl w:val="0"/>
          <w:numId w:val="1213"/>
        </w:numPr>
        <w:pStyle w:val="Compact"/>
      </w:pPr>
      <w:r>
        <w:t xml:space="preserve">Los textos EUR-Lex consolidados actuales y la autoridad del Tribunal de Justicia interpretan el control de los resúmenes.</w:t>
      </w:r>
    </w:p>
    <w:bookmarkEnd w:id="780"/>
    <w:bookmarkStart w:id="781" w:name="X57b19350d5ad3223e978f91e09699422d1adc2e"/>
    <w:p>
      <w:pPr>
        <w:pStyle w:val="Heading2"/>
      </w:pPr>
      <w:r>
        <w:rPr>
          <w:rStyle w:val="SectionNumber"/>
        </w:rPr>
        <w:t xml:space="preserve">1.738</w:t>
      </w:r>
      <w:r>
        <w:tab/>
      </w:r>
      <w:r>
        <w:t xml:space="preserve">Capítulo 84 — Ciclo de vida seguro de desarrollo de la IA</w:t>
      </w:r>
    </w:p>
    <w:p>
      <w:pPr>
        <w:pStyle w:val="BlockText"/>
      </w:pPr>
      <w:r>
        <w:rPr>
          <w:bCs/>
          <w:b/>
        </w:rPr>
        <w:t xml:space="preserve">Estatus legal:</w:t>
      </w:r>
      <w:r>
        <w:t xml:space="preserve"> </w:t>
      </w:r>
      <w:r>
        <w:t xml:space="preserve">Corregido Maestro Inglés para la consolidación. Este archivo controla el lenguaje de borrador anterior del Capítulo 84.</w:t>
      </w:r>
    </w:p>
    <w:bookmarkEnd w:id="781"/>
    <w:bookmarkStart w:id="782" w:name="requisito-82"/>
    <w:p>
      <w:pPr>
        <w:pStyle w:val="Heading2"/>
      </w:pPr>
      <w:r>
        <w:rPr>
          <w:rStyle w:val="SectionNumber"/>
        </w:rPr>
        <w:t xml:space="preserve">1.739</w:t>
      </w:r>
      <w:r>
        <w:tab/>
      </w:r>
      <w:r>
        <w:t xml:space="preserve">Requisito</w:t>
      </w:r>
    </w:p>
    <w:p>
      <w:pPr>
        <w:pStyle w:val="FirstParagraph"/>
      </w:pPr>
      <w:r>
        <w:t xml:space="preserve">Los proveedores y las organizaciones que desarrollan, integran, configuran o modifican materialmente los sistemas de IA deben incorporar seguridad, seguridad, privacidad, robustez, gobernanza de datos, supervisión humana, documentación y control de cambios durante todo el ciclo de vida. Los controles deben ser proporcionales al propósito previsto del sistema, la clasificación de riesgos, el uso indebido previsible, las dependencias de la cadena de valor y el entorno de producción.</w:t>
      </w:r>
    </w:p>
    <w:bookmarkEnd w:id="782"/>
    <w:bookmarkStart w:id="783" w:name="explicación-en-lenguaje-sencillo-79"/>
    <w:p>
      <w:pPr>
        <w:pStyle w:val="Heading2"/>
      </w:pPr>
      <w:r>
        <w:rPr>
          <w:rStyle w:val="SectionNumber"/>
        </w:rPr>
        <w:t xml:space="preserve">1.740</w:t>
      </w:r>
      <w:r>
        <w:tab/>
      </w:r>
      <w:r>
        <w:t xml:space="preserve">Explicación en lenguaje sencillo</w:t>
      </w:r>
    </w:p>
    <w:p>
      <w:pPr>
        <w:pStyle w:val="FirstParagraph"/>
      </w:pPr>
      <w:r>
        <w:t xml:space="preserve">La revisión de seguridad no se puede posponer hasta el final del desarrollo. Las amenazas específicas de IA pueden entrar a través de datos, modelos, avisos, herramientas, API, integraciones, registros, tuberías de implementación y uso posterior. El ciclo de vida debe producir evidencia de que los controles fueron diseñados, probados, aprobados, monitoreados y actualizados para la versión de producción real.</w:t>
      </w:r>
    </w:p>
    <w:bookmarkEnd w:id="783"/>
    <w:bookmarkStart w:id="784" w:name="controles-del-ciclo-de-vida"/>
    <w:p>
      <w:pPr>
        <w:pStyle w:val="Heading2"/>
      </w:pPr>
      <w:r>
        <w:rPr>
          <w:rStyle w:val="SectionNumber"/>
        </w:rPr>
        <w:t xml:space="preserve">1.741</w:t>
      </w:r>
      <w:r>
        <w:tab/>
      </w:r>
      <w:r>
        <w:t xml:space="preserve">Controles del ciclo de vida</w:t>
      </w:r>
    </w:p>
    <w:p>
      <w:pPr>
        <w:pStyle w:val="FirstParagraph"/>
      </w:pPr>
      <w:r>
        <w:t xml:space="preserve">El ciclo de vida seguro debe incluir:</w:t>
      </w:r>
    </w:p>
    <w:p>
      <w:pPr>
        <w:numPr>
          <w:ilvl w:val="0"/>
          <w:numId w:val="1214"/>
        </w:numPr>
        <w:pStyle w:val="Compact"/>
      </w:pPr>
      <w:r>
        <w:t xml:space="preserve">admisión, finalidad prevista, función y clasificación de riesgos;</w:t>
      </w:r>
    </w:p>
    <w:p>
      <w:pPr>
        <w:numPr>
          <w:ilvl w:val="0"/>
          <w:numId w:val="1214"/>
        </w:numPr>
        <w:pStyle w:val="Compact"/>
      </w:pPr>
      <w:r>
        <w:t xml:space="preserve">requisitos de seguridad y casos de abuso;</w:t>
      </w:r>
    </w:p>
    <w:p>
      <w:pPr>
        <w:numPr>
          <w:ilvl w:val="0"/>
          <w:numId w:val="1214"/>
        </w:numPr>
        <w:pStyle w:val="Compact"/>
      </w:pPr>
      <w:r>
        <w:t xml:space="preserve">arquitectura, flujo de datos y revisión de los límites de confianza;</w:t>
      </w:r>
    </w:p>
    <w:p>
      <w:pPr>
        <w:numPr>
          <w:ilvl w:val="0"/>
          <w:numId w:val="1214"/>
        </w:numPr>
        <w:pStyle w:val="Compact"/>
      </w:pPr>
      <w:r>
        <w:t xml:space="preserve">procedencia, integridad, calidad y controles de acceso de los datos;</w:t>
      </w:r>
    </w:p>
    <w:p>
      <w:pPr>
        <w:numPr>
          <w:ilvl w:val="0"/>
          <w:numId w:val="1214"/>
        </w:numPr>
        <w:pStyle w:val="Compact"/>
      </w:pPr>
      <w:r>
        <w:t xml:space="preserve">codificación, dependencia, modelo y controles de infraestructura seguros;</w:t>
      </w:r>
    </w:p>
    <w:p>
      <w:pPr>
        <w:numPr>
          <w:ilvl w:val="0"/>
          <w:numId w:val="1214"/>
        </w:numPr>
        <w:pStyle w:val="Compact"/>
      </w:pPr>
      <w:r>
        <w:t xml:space="preserve">seguridades rápidas, de recuperación, agente, herramienta y API;</w:t>
      </w:r>
    </w:p>
    <w:p>
      <w:pPr>
        <w:numPr>
          <w:ilvl w:val="0"/>
          <w:numId w:val="1214"/>
        </w:numPr>
        <w:pStyle w:val="Compact"/>
      </w:pPr>
      <w:r>
        <w:t xml:space="preserve">privacidad, sesgo, seguridad, robustez y pruebas de supervisión humana;</w:t>
      </w:r>
    </w:p>
    <w:p>
      <w:pPr>
        <w:numPr>
          <w:ilvl w:val="0"/>
          <w:numId w:val="1214"/>
        </w:numPr>
        <w:pStyle w:val="Compact"/>
      </w:pPr>
      <w:r>
        <w:t xml:space="preserve">ensayos contradictorios y gestión de la vulnerabilidad;</w:t>
      </w:r>
    </w:p>
    <w:p>
      <w:pPr>
        <w:numPr>
          <w:ilvl w:val="0"/>
          <w:numId w:val="1214"/>
        </w:numPr>
        <w:pStyle w:val="Compact"/>
      </w:pPr>
      <w:r>
        <w:t xml:space="preserve">criterios de liberación, separación de funciones, aprobaciones y retroceso;</w:t>
      </w:r>
    </w:p>
    <w:p>
      <w:pPr>
        <w:numPr>
          <w:ilvl w:val="0"/>
          <w:numId w:val="1214"/>
        </w:numPr>
        <w:pStyle w:val="Compact"/>
      </w:pPr>
      <w:r>
        <w:t xml:space="preserve">registro, monitoreo, respuesta a incidentes y retroalimentación post-comercialización;</w:t>
      </w:r>
    </w:p>
    <w:p>
      <w:pPr>
        <w:numPr>
          <w:ilvl w:val="0"/>
          <w:numId w:val="1214"/>
        </w:numPr>
        <w:pStyle w:val="Compact"/>
      </w:pPr>
      <w:r>
        <w:t xml:space="preserve">documentación vinculada a versiones y retención de pruebas;</w:t>
      </w:r>
    </w:p>
    <w:p>
      <w:pPr>
        <w:numPr>
          <w:ilvl w:val="0"/>
          <w:numId w:val="1214"/>
        </w:numPr>
        <w:pStyle w:val="Compact"/>
      </w:pPr>
      <w:r>
        <w:t xml:space="preserve">jubilación, eliminación de datos, eliminación de modelos y planificación de la continuidad.</w:t>
      </w:r>
    </w:p>
    <w:bookmarkEnd w:id="784"/>
    <w:bookmarkStart w:id="785" w:name="ejemplo-de-globalway-77"/>
    <w:p>
      <w:pPr>
        <w:pStyle w:val="Heading2"/>
      </w:pPr>
      <w:r>
        <w:rPr>
          <w:rStyle w:val="SectionNumber"/>
        </w:rPr>
        <w:t xml:space="preserve">1.742</w:t>
      </w:r>
      <w:r>
        <w:tab/>
      </w:r>
      <w:r>
        <w:t xml:space="preserve">Ejemplo de GlobalWay</w:t>
      </w:r>
    </w:p>
    <w:p>
      <w:pPr>
        <w:pStyle w:val="FirstParagraph"/>
      </w:pPr>
      <w:r>
        <w:t xml:space="preserve">GlobalWay desarrolla un asistente de política de viajes de IA que puede consultar sistemas de reserva y redactar recomendaciones de viajeros. La herramienta segura limita el ciclo de vida, valida las fuentes de recuperación, prueba la inyección rápida y la fuga de datos, requiere la aprobación humana para acciones consecuentes, registra versiones de producción y bloquea la liberación hasta que se completen las puertas de seguridad y cumplimiento.</w:t>
      </w:r>
    </w:p>
    <w:bookmarkEnd w:id="785"/>
    <w:bookmarkStart w:id="786" w:name="actividad-de-control-78"/>
    <w:p>
      <w:pPr>
        <w:pStyle w:val="Heading2"/>
      </w:pPr>
      <w:r>
        <w:rPr>
          <w:rStyle w:val="SectionNumber"/>
        </w:rPr>
        <w:t xml:space="preserve">1.743</w:t>
      </w:r>
      <w:r>
        <w:tab/>
      </w:r>
      <w:r>
        <w:t xml:space="preserve">Actividad de control</w:t>
      </w:r>
    </w:p>
    <w:p>
      <w:pPr>
        <w:pStyle w:val="FirstParagraph"/>
      </w:pPr>
      <w:r>
        <w:t xml:space="preserve">La ingeniería debe operar un ciclo de vida seguro-AI documentado con puertas obligatorias apropiadas al riesgo. Los sistemas de alto riesgo o materiales requieren seguridad independiente, privacidad, legal y aprobación de gobierno de IA. Las excepciones deben identificar al propietario, justificación, controles de compensación, fecha de vencimiento y riesgo residual.</w:t>
      </w:r>
    </w:p>
    <w:bookmarkEnd w:id="786"/>
    <w:bookmarkStart w:id="787" w:name="pruebas-83"/>
    <w:p>
      <w:pPr>
        <w:pStyle w:val="Heading2"/>
      </w:pPr>
      <w:r>
        <w:rPr>
          <w:rStyle w:val="SectionNumber"/>
        </w:rPr>
        <w:t xml:space="preserve">1.744</w:t>
      </w:r>
      <w:r>
        <w:tab/>
      </w:r>
      <w:r>
        <w:t xml:space="preserve">Pruebas</w:t>
      </w:r>
    </w:p>
    <w:p>
      <w:pPr>
        <w:numPr>
          <w:ilvl w:val="0"/>
          <w:numId w:val="1215"/>
        </w:numPr>
        <w:pStyle w:val="Compact"/>
      </w:pPr>
      <w:r>
        <w:t xml:space="preserve">normas de ciclo de vida y puertas de control;</w:t>
      </w:r>
    </w:p>
    <w:p>
      <w:pPr>
        <w:numPr>
          <w:ilvl w:val="0"/>
          <w:numId w:val="1215"/>
        </w:numPr>
        <w:pStyle w:val="Compact"/>
      </w:pPr>
      <w:r>
        <w:t xml:space="preserve">modelo de amenaza y casos de abuso;</w:t>
      </w:r>
    </w:p>
    <w:p>
      <w:pPr>
        <w:numPr>
          <w:ilvl w:val="0"/>
          <w:numId w:val="1215"/>
        </w:numPr>
        <w:pStyle w:val="Compact"/>
      </w:pPr>
      <w:r>
        <w:t xml:space="preserve">las revisiones de la arquitectura y el flujo de datos;</w:t>
      </w:r>
    </w:p>
    <w:p>
      <w:pPr>
        <w:numPr>
          <w:ilvl w:val="0"/>
          <w:numId w:val="1215"/>
        </w:numPr>
        <w:pStyle w:val="Compact"/>
      </w:pPr>
      <w:r>
        <w:t xml:space="preserve">registros de seguridad, desarrollo y dependencia;</w:t>
      </w:r>
    </w:p>
    <w:p>
      <w:pPr>
        <w:numPr>
          <w:ilvl w:val="0"/>
          <w:numId w:val="1215"/>
        </w:numPr>
        <w:pStyle w:val="Compact"/>
      </w:pPr>
      <w:r>
        <w:t xml:space="preserve">los planes y resultados de los ensayos;</w:t>
      </w:r>
    </w:p>
    <w:p>
      <w:pPr>
        <w:numPr>
          <w:ilvl w:val="0"/>
          <w:numId w:val="1215"/>
        </w:numPr>
        <w:pStyle w:val="Compact"/>
      </w:pPr>
      <w:r>
        <w:t xml:space="preserve">los registros de vulnerabilidad y rehabilitación;</w:t>
      </w:r>
    </w:p>
    <w:p>
      <w:pPr>
        <w:numPr>
          <w:ilvl w:val="0"/>
          <w:numId w:val="1215"/>
        </w:numPr>
        <w:pStyle w:val="Compact"/>
      </w:pPr>
      <w:r>
        <w:t xml:space="preserve">las autorizaciones de liberación y los registros de excepción;</w:t>
      </w:r>
    </w:p>
    <w:p>
      <w:pPr>
        <w:numPr>
          <w:ilvl w:val="0"/>
          <w:numId w:val="1215"/>
        </w:numPr>
        <w:pStyle w:val="Compact"/>
      </w:pPr>
      <w:r>
        <w:t xml:space="preserve">documentación técnica vinculada a la versión;</w:t>
      </w:r>
    </w:p>
    <w:p>
      <w:pPr>
        <w:numPr>
          <w:ilvl w:val="0"/>
          <w:numId w:val="1215"/>
        </w:numPr>
        <w:pStyle w:val="Compact"/>
      </w:pPr>
      <w:r>
        <w:t xml:space="preserve">pruebas de seguimiento y de revisión posterior a la liberación;</w:t>
      </w:r>
    </w:p>
    <w:p>
      <w:pPr>
        <w:numPr>
          <w:ilvl w:val="0"/>
          <w:numId w:val="1215"/>
        </w:numPr>
        <w:pStyle w:val="Compact"/>
      </w:pPr>
      <w:r>
        <w:t xml:space="preserve">los registros de jubilación y eliminación.</w:t>
      </w:r>
    </w:p>
    <w:bookmarkEnd w:id="787"/>
    <w:bookmarkStart w:id="788" w:name="prueba-de-auditoría-79"/>
    <w:p>
      <w:pPr>
        <w:pStyle w:val="Heading2"/>
      </w:pPr>
      <w:r>
        <w:rPr>
          <w:rStyle w:val="SectionNumber"/>
        </w:rPr>
        <w:t xml:space="preserve">1.745</w:t>
      </w:r>
      <w:r>
        <w:tab/>
      </w:r>
      <w:r>
        <w:t xml:space="preserve">Prueba de auditoría</w:t>
      </w:r>
    </w:p>
    <w:p>
      <w:pPr>
        <w:pStyle w:val="FirstParagraph"/>
      </w:pPr>
      <w:r>
        <w:t xml:space="preserve">Seleccione una muestra de liberaciones de IA de producción. Trace cada liberación a través de admisión, diseño, desarrollo, pruebas, aprobación, despliegue y monitoreo. Confirme que se completaron las puertas necesarias, se autorizaron excepciones y se estableció un plazo, y las pruebas coinciden con la versión implementada.</w:t>
      </w:r>
    </w:p>
    <w:bookmarkEnd w:id="788"/>
    <w:bookmarkStart w:id="789" w:name="referencias-jurídicas-primarias-52"/>
    <w:p>
      <w:pPr>
        <w:pStyle w:val="Heading2"/>
      </w:pPr>
      <w:r>
        <w:rPr>
          <w:rStyle w:val="SectionNumber"/>
        </w:rPr>
        <w:t xml:space="preserve">1.746</w:t>
      </w:r>
      <w:r>
        <w:tab/>
      </w:r>
      <w:r>
        <w:t xml:space="preserve">Referencias jurídicas primarias</w:t>
      </w:r>
    </w:p>
    <w:p>
      <w:pPr>
        <w:numPr>
          <w:ilvl w:val="0"/>
          <w:numId w:val="1216"/>
        </w:numPr>
        <w:pStyle w:val="Compact"/>
      </w:pPr>
      <w:r>
        <w:t xml:space="preserve">Reglamento (UE) 2024/1689, modificado: artículos 9 a 15, 17, 20, 24 a 26, 55, 72 a 73, y anexo IV, según proceda.</w:t>
      </w:r>
    </w:p>
    <w:p>
      <w:pPr>
        <w:numPr>
          <w:ilvl w:val="0"/>
          <w:numId w:val="1216"/>
        </w:numPr>
        <w:pStyle w:val="Compact"/>
      </w:pPr>
      <w:r>
        <w:t xml:space="preserve">Reglamento (UE) 2016/679: artículos 25, 32, 35 y disposiciones de rendición de cuentas relacionadas con el tratamiento de datos personales.</w:t>
      </w:r>
    </w:p>
    <w:p>
      <w:pPr>
        <w:numPr>
          <w:ilvl w:val="0"/>
          <w:numId w:val="1216"/>
        </w:numPr>
        <w:pStyle w:val="Compact"/>
      </w:pPr>
      <w:r>
        <w:t xml:space="preserve">El actual control consolidado de los textos EUR-Lex sobre resúmenes y borradores anteriores.</w:t>
      </w:r>
    </w:p>
    <w:bookmarkEnd w:id="789"/>
    <w:bookmarkStart w:id="790" w:name="capítulo-85-modelización-de-amenazas"/>
    <w:p>
      <w:pPr>
        <w:pStyle w:val="Heading2"/>
      </w:pPr>
      <w:r>
        <w:rPr>
          <w:rStyle w:val="SectionNumber"/>
        </w:rPr>
        <w:t xml:space="preserve">1.747</w:t>
      </w:r>
      <w:r>
        <w:tab/>
      </w:r>
      <w:r>
        <w:t xml:space="preserve">Capítulo 85 — Modelización de amenazas</w:t>
      </w:r>
    </w:p>
    <w:p>
      <w:pPr>
        <w:pStyle w:val="BlockText"/>
      </w:pPr>
      <w:r>
        <w:rPr>
          <w:bCs/>
          <w:b/>
        </w:rPr>
        <w:t xml:space="preserve">Estatus legal:</w:t>
      </w:r>
      <w:r>
        <w:t xml:space="preserve"> </w:t>
      </w:r>
      <w:r>
        <w:t xml:space="preserve">Corregido Maestro Inglés para la consolidación. Este archivo controla el lenguaje de borrador del Capítulo 85 anterior.</w:t>
      </w:r>
    </w:p>
    <w:bookmarkEnd w:id="790"/>
    <w:bookmarkStart w:id="791" w:name="requisito-83"/>
    <w:p>
      <w:pPr>
        <w:pStyle w:val="Heading2"/>
      </w:pPr>
      <w:r>
        <w:rPr>
          <w:rStyle w:val="SectionNumber"/>
        </w:rPr>
        <w:t xml:space="preserve">1.748</w:t>
      </w:r>
      <w:r>
        <w:tab/>
      </w:r>
      <w:r>
        <w:t xml:space="preserve">Requisito</w:t>
      </w:r>
    </w:p>
    <w:p>
      <w:pPr>
        <w:pStyle w:val="FirstParagraph"/>
      </w:pPr>
      <w:r>
        <w:t xml:space="preserve">Las organizaciones deben realizar modelos proporcionados de amenazas para los sistemas de IA y los componentes de IA de uso general cuando la seguridad, la seguridad, la resiliencia, la privacidad, los derechos fundamentales o los riesgos operacionales puedan verse afectados materialmente por un uso indebido malintencionado o accidental.</w:t>
      </w:r>
    </w:p>
    <w:bookmarkEnd w:id="791"/>
    <w:bookmarkStart w:id="792" w:name="explicación-en-lenguaje-sencillo-80"/>
    <w:p>
      <w:pPr>
        <w:pStyle w:val="Heading2"/>
      </w:pPr>
      <w:r>
        <w:rPr>
          <w:rStyle w:val="SectionNumber"/>
        </w:rPr>
        <w:t xml:space="preserve">1.749</w:t>
      </w:r>
      <w:r>
        <w:tab/>
      </w:r>
      <w:r>
        <w:t xml:space="preserve">Explicación en lenguaje sencillo</w:t>
      </w:r>
    </w:p>
    <w:p>
      <w:pPr>
        <w:pStyle w:val="FirstParagraph"/>
      </w:pPr>
      <w:r>
        <w:t xml:space="preserve">El modelado de amenazas de IA identifica cómo los atacantes, internautas, usuarios, dependencias, tuberías de datos, avisos, modelos, herramientas e interfaces pueden causar resultados dañinos. Debe cubrir todo el ciclo de vida y actualizarse cuando el sistema, modelo, propósito previsto, datos, entorno de implementación o situación de amenaza cambie.</w:t>
      </w:r>
    </w:p>
    <w:bookmarkEnd w:id="792"/>
    <w:bookmarkStart w:id="793" w:name="alcance-de-la-modelización-de-amenazas"/>
    <w:p>
      <w:pPr>
        <w:pStyle w:val="Heading2"/>
      </w:pPr>
      <w:r>
        <w:rPr>
          <w:rStyle w:val="SectionNumber"/>
        </w:rPr>
        <w:t xml:space="preserve">1.750</w:t>
      </w:r>
      <w:r>
        <w:tab/>
      </w:r>
      <w:r>
        <w:t xml:space="preserve">Alcance de la modelización de amenazas</w:t>
      </w:r>
    </w:p>
    <w:p>
      <w:pPr>
        <w:pStyle w:val="FirstParagraph"/>
      </w:pPr>
      <w:r>
        <w:t xml:space="preserve">Evaluar como mínimo:</w:t>
      </w:r>
    </w:p>
    <w:p>
      <w:pPr>
        <w:numPr>
          <w:ilvl w:val="0"/>
          <w:numId w:val="1217"/>
        </w:numPr>
        <w:pStyle w:val="Compact"/>
      </w:pPr>
      <w:r>
        <w:t xml:space="preserve">activos, límites de confianza, actores y superficies de ataque;</w:t>
      </w:r>
    </w:p>
    <w:p>
      <w:pPr>
        <w:numPr>
          <w:ilvl w:val="0"/>
          <w:numId w:val="1217"/>
        </w:numPr>
        <w:pStyle w:val="Compact"/>
      </w:pPr>
      <w:r>
        <w:t xml:space="preserve">formación, ajuste, recuperación, conducción rápida e inferencia;</w:t>
      </w:r>
    </w:p>
    <w:p>
      <w:pPr>
        <w:numPr>
          <w:ilvl w:val="0"/>
          <w:numId w:val="1217"/>
        </w:numPr>
        <w:pStyle w:val="Compact"/>
      </w:pPr>
      <w:r>
        <w:t xml:space="preserve">envenenamiento de datos, inyección rápida, manipulación de modelos, extracción y robo;</w:t>
      </w:r>
    </w:p>
    <w:p>
      <w:pPr>
        <w:numPr>
          <w:ilvl w:val="0"/>
          <w:numId w:val="1217"/>
        </w:numPr>
        <w:pStyle w:val="Compact"/>
      </w:pPr>
      <w:r>
        <w:t xml:space="preserve">uso no autorizado de herramientas, escalada de privilegios y abuso de agentes;</w:t>
      </w:r>
    </w:p>
    <w:p>
      <w:pPr>
        <w:numPr>
          <w:ilvl w:val="0"/>
          <w:numId w:val="1217"/>
        </w:numPr>
        <w:pStyle w:val="Compact"/>
      </w:pPr>
      <w:r>
        <w:t xml:space="preserve">cadena de suministro, API, plugin, código abierto y dependencias en la nube;</w:t>
      </w:r>
    </w:p>
    <w:p>
      <w:pPr>
        <w:numPr>
          <w:ilvl w:val="0"/>
          <w:numId w:val="1217"/>
        </w:numPr>
        <w:pStyle w:val="Compact"/>
      </w:pPr>
      <w:r>
        <w:t xml:space="preserve">fugas de privacidad, memorización, exposición a información confidencial e inversión de modelos;</w:t>
      </w:r>
    </w:p>
    <w:p>
      <w:pPr>
        <w:numPr>
          <w:ilvl w:val="0"/>
          <w:numId w:val="1217"/>
        </w:numPr>
        <w:pStyle w:val="Compact"/>
      </w:pPr>
      <w:r>
        <w:t xml:space="preserve">derivación de seguridad, generación de contenidos nocivos, evasión y uso indebido;</w:t>
      </w:r>
    </w:p>
    <w:p>
      <w:pPr>
        <w:numPr>
          <w:ilvl w:val="0"/>
          <w:numId w:val="1217"/>
        </w:numPr>
        <w:pStyle w:val="Compact"/>
      </w:pPr>
      <w:r>
        <w:t xml:space="preserve">registro, monitoreo, detección, contención, retroceso y recuperación;</w:t>
      </w:r>
    </w:p>
    <w:p>
      <w:pPr>
        <w:numPr>
          <w:ilvl w:val="0"/>
          <w:numId w:val="1217"/>
        </w:numPr>
        <w:pStyle w:val="Compact"/>
      </w:pPr>
      <w:r>
        <w:t xml:space="preserve">las consecuencias para las personas afectadas, operativas y reglamentarias;</w:t>
      </w:r>
    </w:p>
    <w:p>
      <w:pPr>
        <w:numPr>
          <w:ilvl w:val="0"/>
          <w:numId w:val="1217"/>
        </w:numPr>
        <w:pStyle w:val="Compact"/>
      </w:pPr>
      <w:r>
        <w:t xml:space="preserve">riesgos residuales, suposiciones y controles necesarios.</w:t>
      </w:r>
    </w:p>
    <w:bookmarkEnd w:id="793"/>
    <w:bookmarkStart w:id="794" w:name="ejemplo-de-globalway-78"/>
    <w:p>
      <w:pPr>
        <w:pStyle w:val="Heading2"/>
      </w:pPr>
      <w:r>
        <w:rPr>
          <w:rStyle w:val="SectionNumber"/>
        </w:rPr>
        <w:t xml:space="preserve">1.751</w:t>
      </w:r>
      <w:r>
        <w:tab/>
      </w:r>
      <w:r>
        <w:t xml:space="preserve">Ejemplo de GlobalWay</w:t>
      </w:r>
    </w:p>
    <w:p>
      <w:pPr>
        <w:pStyle w:val="FirstParagraph"/>
      </w:pPr>
      <w:r>
        <w:t xml:space="preserve">Antes de liberar un agente de asistencia para viajes de IA que puede acceder a los sistemas de reserva, GlobalWay mapea los permisos de la herramienta del agente, los canales rápidos, API externas, entradas de usuario, almacenes de datos y rutas de escalada.La revisión identifica la inyección rápida, los cambios de itinerario no autorizados, las fugas de datos y la sustitución de modelos de proveedores como escenarios prioritarios.</w:t>
      </w:r>
    </w:p>
    <w:bookmarkEnd w:id="794"/>
    <w:bookmarkStart w:id="795" w:name="actividad-de-control-79"/>
    <w:p>
      <w:pPr>
        <w:pStyle w:val="Heading2"/>
      </w:pPr>
      <w:r>
        <w:rPr>
          <w:rStyle w:val="SectionNumber"/>
        </w:rPr>
        <w:t xml:space="preserve">1.752</w:t>
      </w:r>
      <w:r>
        <w:tab/>
      </w:r>
      <w:r>
        <w:t xml:space="preserve">Actividad de control</w:t>
      </w:r>
    </w:p>
    <w:p>
      <w:pPr>
        <w:pStyle w:val="FirstParagraph"/>
      </w:pPr>
      <w:r>
        <w:t xml:space="preserve">Los propietarios de sistemas y de seguridad deben completar un modelo de amenaza vinculado a versiones antes de la liberación de la producción y después del cambio de material. Los resultados de alto riesgo deben asignarse controles, propietarios, plazos, pruebas de validación y criterios de bloqueo de liberaciones.</w:t>
      </w:r>
    </w:p>
    <w:bookmarkEnd w:id="795"/>
    <w:bookmarkStart w:id="796" w:name="pruebas-84"/>
    <w:p>
      <w:pPr>
        <w:pStyle w:val="Heading2"/>
      </w:pPr>
      <w:r>
        <w:rPr>
          <w:rStyle w:val="SectionNumber"/>
        </w:rPr>
        <w:t xml:space="preserve">1.753</w:t>
      </w:r>
      <w:r>
        <w:tab/>
      </w:r>
      <w:r>
        <w:t xml:space="preserve">Pruebas</w:t>
      </w:r>
    </w:p>
    <w:p>
      <w:pPr>
        <w:numPr>
          <w:ilvl w:val="0"/>
          <w:numId w:val="1218"/>
        </w:numPr>
        <w:pStyle w:val="Compact"/>
      </w:pPr>
      <w:r>
        <w:t xml:space="preserve">modelo de amenaza aprobado;</w:t>
      </w:r>
    </w:p>
    <w:p>
      <w:pPr>
        <w:numPr>
          <w:ilvl w:val="0"/>
          <w:numId w:val="1218"/>
        </w:numPr>
        <w:pStyle w:val="Compact"/>
      </w:pPr>
      <w:r>
        <w:t xml:space="preserve">arquitectura y diagramas de flujo de datos;</w:t>
      </w:r>
    </w:p>
    <w:p>
      <w:pPr>
        <w:numPr>
          <w:ilvl w:val="0"/>
          <w:numId w:val="1218"/>
        </w:numPr>
        <w:pStyle w:val="Compact"/>
      </w:pPr>
      <w:r>
        <w:t xml:space="preserve">inventario de activos y fideicomisos;</w:t>
      </w:r>
    </w:p>
    <w:p>
      <w:pPr>
        <w:numPr>
          <w:ilvl w:val="0"/>
          <w:numId w:val="1218"/>
        </w:numPr>
        <w:pStyle w:val="Compact"/>
      </w:pPr>
      <w:r>
        <w:t xml:space="preserve">los casos de abuso y los árboles de ataque;</w:t>
      </w:r>
    </w:p>
    <w:p>
      <w:pPr>
        <w:numPr>
          <w:ilvl w:val="0"/>
          <w:numId w:val="1218"/>
        </w:numPr>
        <w:pStyle w:val="Compact"/>
      </w:pPr>
      <w:r>
        <w:t xml:space="preserve">controlar la cartografía y las decisiones sobre riesgos residuales;</w:t>
      </w:r>
    </w:p>
    <w:p>
      <w:pPr>
        <w:numPr>
          <w:ilvl w:val="0"/>
          <w:numId w:val="1218"/>
        </w:numPr>
        <w:pStyle w:val="Compact"/>
      </w:pPr>
      <w:r>
        <w:t xml:space="preserve">validación y resultados del equipo rojo;</w:t>
      </w:r>
    </w:p>
    <w:p>
      <w:pPr>
        <w:numPr>
          <w:ilvl w:val="0"/>
          <w:numId w:val="1218"/>
        </w:numPr>
        <w:pStyle w:val="Compact"/>
      </w:pPr>
      <w:r>
        <w:t xml:space="preserve">registros de reevaluación activados por el cambio.</w:t>
      </w:r>
    </w:p>
    <w:bookmarkEnd w:id="796"/>
    <w:bookmarkStart w:id="797" w:name="prueba-de-auditoría-80"/>
    <w:p>
      <w:pPr>
        <w:pStyle w:val="Heading2"/>
      </w:pPr>
      <w:r>
        <w:rPr>
          <w:rStyle w:val="SectionNumber"/>
        </w:rPr>
        <w:t xml:space="preserve">1.754</w:t>
      </w:r>
      <w:r>
        <w:tab/>
      </w:r>
      <w:r>
        <w:t xml:space="preserve">Prueba de auditoría</w:t>
      </w:r>
    </w:p>
    <w:p>
      <w:pPr>
        <w:pStyle w:val="FirstParagraph"/>
      </w:pPr>
      <w:r>
        <w:t xml:space="preserve">Seleccione una muestra de sistemas de IA de material y verifique que los modelos de amenaza reflejen la arquitectura implementada, las dependencias actuales, los escenarios de uso indebido realistas, las medidas de mitigación asignadas, la eficacia de control probada y la aceptación documentada del riesgo residual.</w:t>
      </w:r>
    </w:p>
    <w:bookmarkEnd w:id="797"/>
    <w:bookmarkStart w:id="798" w:name="referencias-jurídicas-primarias-53"/>
    <w:p>
      <w:pPr>
        <w:pStyle w:val="Heading2"/>
      </w:pPr>
      <w:r>
        <w:rPr>
          <w:rStyle w:val="SectionNumber"/>
        </w:rPr>
        <w:t xml:space="preserve">1.755</w:t>
      </w:r>
      <w:r>
        <w:tab/>
      </w:r>
      <w:r>
        <w:t xml:space="preserve">Referencias jurídicas primarias</w:t>
      </w:r>
    </w:p>
    <w:p>
      <w:pPr>
        <w:numPr>
          <w:ilvl w:val="0"/>
          <w:numId w:val="1219"/>
        </w:numPr>
        <w:pStyle w:val="Compact"/>
      </w:pPr>
      <w:r>
        <w:t xml:space="preserve">Reglamento (UE) 2024/1689, modificado: disposiciones aplicables sobre gestión del riesgo, exactitud, solidez, seguridad cibernética, post-comercialización, incidencia y riesgo sistémico.</w:t>
      </w:r>
    </w:p>
    <w:p>
      <w:pPr>
        <w:numPr>
          <w:ilvl w:val="0"/>
          <w:numId w:val="1219"/>
        </w:numPr>
        <w:pStyle w:val="Compact"/>
      </w:pPr>
      <w:r>
        <w:t xml:space="preserve">Los actuales controles consolidados de texto EUR-Lex sobre los resúmenes antiguos.</w:t>
      </w:r>
    </w:p>
    <w:p>
      <w:pPr>
        <w:numPr>
          <w:ilvl w:val="0"/>
          <w:numId w:val="1219"/>
        </w:numPr>
        <w:pStyle w:val="Compact"/>
      </w:pPr>
      <w:r>
        <w:t xml:space="preserve">Los marcos y directrices de seguridad reconocidos no son vinculantes a menos que se incorporen mediante otro requisito vinculante.</w:t>
      </w:r>
    </w:p>
    <w:bookmarkEnd w:id="798"/>
    <w:bookmarkStart w:id="799" w:name="X09f9043a6954649f48710ea813207ecc0b5e0c6"/>
    <w:p>
      <w:pPr>
        <w:pStyle w:val="Heading2"/>
      </w:pPr>
      <w:r>
        <w:rPr>
          <w:rStyle w:val="SectionNumber"/>
        </w:rPr>
        <w:t xml:space="preserve">1.756</w:t>
      </w:r>
      <w:r>
        <w:tab/>
      </w:r>
      <w:r>
        <w:t xml:space="preserve">Capítulo 86 — Pronta inyección y manipulación de modelos</w:t>
      </w:r>
    </w:p>
    <w:p>
      <w:pPr>
        <w:pStyle w:val="BlockText"/>
      </w:pPr>
      <w:r>
        <w:rPr>
          <w:bCs/>
          <w:b/>
        </w:rPr>
        <w:t xml:space="preserve">Estatus legal:</w:t>
      </w:r>
      <w:r>
        <w:t xml:space="preserve"> </w:t>
      </w:r>
      <w:r>
        <w:t xml:space="preserve">Corregido Maestro Inglés para la consolidación. Este archivo controla el lenguaje de borrador del Capítulo 86 anterior.</w:t>
      </w:r>
    </w:p>
    <w:bookmarkEnd w:id="799"/>
    <w:bookmarkStart w:id="800" w:name="requisito-84"/>
    <w:p>
      <w:pPr>
        <w:pStyle w:val="Heading2"/>
      </w:pPr>
      <w:r>
        <w:rPr>
          <w:rStyle w:val="SectionNumber"/>
        </w:rPr>
        <w:t xml:space="preserve">1.757</w:t>
      </w:r>
      <w:r>
        <w:tab/>
      </w:r>
      <w:r>
        <w:t xml:space="preserve">Requisito</w:t>
      </w:r>
    </w:p>
    <w:p>
      <w:pPr>
        <w:pStyle w:val="FirstParagraph"/>
      </w:pPr>
      <w:r>
        <w:t xml:space="preserve">Los sistemas de IA que procesan instrucciones, contenido recuperado, salidas de herramientas, archivos, contenido web o datos suministrados por el usuario deben implementar controles proporcionados contra la inyección rápida, secuestro de instrucciones, fugas de jailbreaks, manipulación del contexto, ejecución de herramientas inseguras y ataques de manipulación de modelos relacionados.</w:t>
      </w:r>
    </w:p>
    <w:bookmarkEnd w:id="800"/>
    <w:bookmarkStart w:id="801" w:name="explicación-en-lenguaje-sencillo-81"/>
    <w:p>
      <w:pPr>
        <w:pStyle w:val="Heading2"/>
      </w:pPr>
      <w:r>
        <w:rPr>
          <w:rStyle w:val="SectionNumber"/>
        </w:rPr>
        <w:t xml:space="preserve">1.758</w:t>
      </w:r>
      <w:r>
        <w:tab/>
      </w:r>
      <w:r>
        <w:t xml:space="preserve">Explicación en lenguaje sencillo</w:t>
      </w:r>
    </w:p>
    <w:p>
      <w:pPr>
        <w:pStyle w:val="FirstParagraph"/>
      </w:pPr>
      <w:r>
        <w:t xml:space="preserve">Un sistema de IA puede tratar el contenido hostil como instrucciones de confianza. Los controles deben evitar que la entrada no confiable cambie el propósito previsto del sistema, las salvaguardias superiores, la exposición de información confidencial, o causar acciones no autorizadas.</w:t>
      </w:r>
    </w:p>
    <w:bookmarkEnd w:id="801"/>
    <w:bookmarkStart w:id="802" w:name="requisitos-de-control-3"/>
    <w:p>
      <w:pPr>
        <w:pStyle w:val="Heading2"/>
      </w:pPr>
      <w:r>
        <w:rPr>
          <w:rStyle w:val="SectionNumber"/>
        </w:rPr>
        <w:t xml:space="preserve">1.759</w:t>
      </w:r>
      <w:r>
        <w:tab/>
      </w:r>
      <w:r>
        <w:t xml:space="preserve">Requisitos de control</w:t>
      </w:r>
    </w:p>
    <w:p>
      <w:pPr>
        <w:pStyle w:val="FirstParagraph"/>
      </w:pPr>
      <w:r>
        <w:t xml:space="preserve">Aplicar, según proceda:</w:t>
      </w:r>
    </w:p>
    <w:p>
      <w:pPr>
        <w:numPr>
          <w:ilvl w:val="0"/>
          <w:numId w:val="1220"/>
        </w:numPr>
        <w:pStyle w:val="Compact"/>
      </w:pPr>
      <w:r>
        <w:t xml:space="preserve">separación de los contenidos generados por el sistema, el desarrollador, el usuario y la herramienta;</w:t>
      </w:r>
    </w:p>
    <w:p>
      <w:pPr>
        <w:numPr>
          <w:ilvl w:val="0"/>
          <w:numId w:val="1220"/>
        </w:numPr>
        <w:pStyle w:val="Compact"/>
      </w:pPr>
      <w:r>
        <w:t xml:space="preserve">la herramienta y el acceso a los datos de los menos privilegiados;</w:t>
      </w:r>
    </w:p>
    <w:p>
      <w:pPr>
        <w:numPr>
          <w:ilvl w:val="0"/>
          <w:numId w:val="1220"/>
        </w:numPr>
        <w:pStyle w:val="Compact"/>
      </w:pPr>
      <w:r>
        <w:t xml:space="preserve">listas de permisos, aplicación de políticas y confirmación de acciones;</w:t>
      </w:r>
    </w:p>
    <w:p>
      <w:pPr>
        <w:numPr>
          <w:ilvl w:val="0"/>
          <w:numId w:val="1220"/>
        </w:numPr>
        <w:pStyle w:val="Compact"/>
      </w:pPr>
      <w:r>
        <w:t xml:space="preserve">procedencia del contenido y etiquetado de confianza;</w:t>
      </w:r>
    </w:p>
    <w:p>
      <w:pPr>
        <w:numPr>
          <w:ilvl w:val="0"/>
          <w:numId w:val="1220"/>
        </w:numPr>
        <w:pStyle w:val="Compact"/>
      </w:pPr>
      <w:r>
        <w:t xml:space="preserve">filtrado de entrada y salida con limitaciones conocidas documentadas;</w:t>
      </w:r>
    </w:p>
    <w:p>
      <w:pPr>
        <w:numPr>
          <w:ilvl w:val="0"/>
          <w:numId w:val="1220"/>
        </w:numPr>
        <w:pStyle w:val="Compact"/>
      </w:pPr>
      <w:r>
        <w:t xml:space="preserve">aislamiento o sandboxing del contenido no de confianza;</w:t>
      </w:r>
    </w:p>
    <w:p>
      <w:pPr>
        <w:numPr>
          <w:ilvl w:val="0"/>
          <w:numId w:val="1220"/>
        </w:numPr>
        <w:pStyle w:val="Compact"/>
      </w:pPr>
      <w:r>
        <w:t xml:space="preserve">aprobación humana de acciones consecuentes o irreversibles;</w:t>
      </w:r>
    </w:p>
    <w:p>
      <w:pPr>
        <w:numPr>
          <w:ilvl w:val="0"/>
          <w:numId w:val="1220"/>
        </w:numPr>
        <w:pStyle w:val="Compact"/>
      </w:pPr>
      <w:r>
        <w:t xml:space="preserve">detección de anomalías, registro, límites de velocidad y controles de sesión;</w:t>
      </w:r>
    </w:p>
    <w:p>
      <w:pPr>
        <w:numPr>
          <w:ilvl w:val="0"/>
          <w:numId w:val="1220"/>
        </w:numPr>
        <w:pStyle w:val="Compact"/>
      </w:pPr>
      <w:r>
        <w:t xml:space="preserve">pruebas contradictorias de inyección directa e indirecta;</w:t>
      </w:r>
    </w:p>
    <w:p>
      <w:pPr>
        <w:numPr>
          <w:ilvl w:val="0"/>
          <w:numId w:val="1220"/>
        </w:numPr>
        <w:pStyle w:val="Compact"/>
      </w:pPr>
      <w:r>
        <w:t xml:space="preserve">Fallo seguro, retroceso, respuesta a incidentes y escalada de proveedores.</w:t>
      </w:r>
    </w:p>
    <w:bookmarkEnd w:id="802"/>
    <w:bookmarkStart w:id="803" w:name="ejemplo-de-globalway-79"/>
    <w:p>
      <w:pPr>
        <w:pStyle w:val="Heading2"/>
      </w:pPr>
      <w:r>
        <w:rPr>
          <w:rStyle w:val="SectionNumber"/>
        </w:rPr>
        <w:t xml:space="preserve">1.760</w:t>
      </w:r>
      <w:r>
        <w:tab/>
      </w:r>
      <w:r>
        <w:t xml:space="preserve">Ejemplo de GlobalWay</w:t>
      </w:r>
    </w:p>
    <w:p>
      <w:pPr>
        <w:pStyle w:val="FirstParagraph"/>
      </w:pPr>
      <w:r>
        <w:t xml:space="preserve">El asistente de viajes de GlobalWay lee descripciones de hoteles y correos electrónicos externos. Una página maliciosa contiene instrucciones ocultas pidiendo al agente que revele los datos del viajero y cambie una reserva. El sistema trata el contenido externo como no confiable, bloquea el acceso a datos no relacionados, requiere confirmación del usuario para los cambios de reserva, y registra el intento de manipulación.</w:t>
      </w:r>
    </w:p>
    <w:bookmarkEnd w:id="803"/>
    <w:bookmarkStart w:id="804" w:name="actividad-de-control-80"/>
    <w:p>
      <w:pPr>
        <w:pStyle w:val="Heading2"/>
      </w:pPr>
      <w:r>
        <w:rPr>
          <w:rStyle w:val="SectionNumber"/>
        </w:rPr>
        <w:t xml:space="preserve">1.761</w:t>
      </w:r>
      <w:r>
        <w:tab/>
      </w:r>
      <w:r>
        <w:t xml:space="preserve">Actividad de control</w:t>
      </w:r>
    </w:p>
    <w:p>
      <w:pPr>
        <w:pStyle w:val="FirstParagraph"/>
      </w:pPr>
      <w:r>
        <w:t xml:space="preserve">Los sistemas habilitados para ello deben pasar pruebas documentadas de inyección y manipulación antes de la liberación y después del modelo de material, cambios rápidos, de herramienta, recuperación o integración.</w:t>
      </w:r>
    </w:p>
    <w:bookmarkEnd w:id="804"/>
    <w:bookmarkStart w:id="805" w:name="pruebas-85"/>
    <w:p>
      <w:pPr>
        <w:pStyle w:val="Heading2"/>
      </w:pPr>
      <w:r>
        <w:rPr>
          <w:rStyle w:val="SectionNumber"/>
        </w:rPr>
        <w:t xml:space="preserve">1.762</w:t>
      </w:r>
      <w:r>
        <w:tab/>
      </w:r>
      <w:r>
        <w:t xml:space="preserve">Pruebas</w:t>
      </w:r>
    </w:p>
    <w:p>
      <w:pPr>
        <w:numPr>
          <w:ilvl w:val="0"/>
          <w:numId w:val="1221"/>
        </w:numPr>
        <w:pStyle w:val="Compact"/>
      </w:pPr>
      <w:r>
        <w:t xml:space="preserve">arquitectura rápida y de herramientas;</w:t>
      </w:r>
    </w:p>
    <w:p>
      <w:pPr>
        <w:numPr>
          <w:ilvl w:val="0"/>
          <w:numId w:val="1221"/>
        </w:numPr>
        <w:pStyle w:val="Compact"/>
      </w:pPr>
      <w:r>
        <w:t xml:space="preserve">diseño de fideicomisos y privilegios;</w:t>
      </w:r>
    </w:p>
    <w:p>
      <w:pPr>
        <w:numPr>
          <w:ilvl w:val="0"/>
          <w:numId w:val="1221"/>
        </w:numPr>
        <w:pStyle w:val="Compact"/>
      </w:pPr>
      <w:r>
        <w:t xml:space="preserve">los casos de ensayo y los resultados contradictorios;</w:t>
      </w:r>
    </w:p>
    <w:p>
      <w:pPr>
        <w:numPr>
          <w:ilvl w:val="0"/>
          <w:numId w:val="1221"/>
        </w:numPr>
        <w:pStyle w:val="Compact"/>
      </w:pPr>
      <w:r>
        <w:t xml:space="preserve">configuración de política y filtrado;</w:t>
      </w:r>
    </w:p>
    <w:p>
      <w:pPr>
        <w:numPr>
          <w:ilvl w:val="0"/>
          <w:numId w:val="1221"/>
        </w:numPr>
        <w:pStyle w:val="Compact"/>
      </w:pPr>
      <w:r>
        <w:t xml:space="preserve">los registros de confirmación de la acción;</w:t>
      </w:r>
    </w:p>
    <w:p>
      <w:pPr>
        <w:numPr>
          <w:ilvl w:val="0"/>
          <w:numId w:val="1221"/>
        </w:numPr>
        <w:pStyle w:val="Compact"/>
      </w:pPr>
      <w:r>
        <w:t xml:space="preserve">registros de ataques y registros de incidentes;</w:t>
      </w:r>
    </w:p>
    <w:p>
      <w:pPr>
        <w:numPr>
          <w:ilvl w:val="0"/>
          <w:numId w:val="1221"/>
        </w:numPr>
        <w:pStyle w:val="Compact"/>
      </w:pPr>
      <w:r>
        <w:t xml:space="preserve">rehabilitación y reprueba las pruebas.</w:t>
      </w:r>
    </w:p>
    <w:bookmarkEnd w:id="805"/>
    <w:bookmarkStart w:id="806" w:name="prueba-de-auditoría-81"/>
    <w:p>
      <w:pPr>
        <w:pStyle w:val="Heading2"/>
      </w:pPr>
      <w:r>
        <w:rPr>
          <w:rStyle w:val="SectionNumber"/>
        </w:rPr>
        <w:t xml:space="preserve">1.763</w:t>
      </w:r>
      <w:r>
        <w:tab/>
      </w:r>
      <w:r>
        <w:t xml:space="preserve">Prueba de auditoría</w:t>
      </w:r>
    </w:p>
    <w:p>
      <w:pPr>
        <w:pStyle w:val="FirstParagraph"/>
      </w:pPr>
      <w:r>
        <w:t xml:space="preserve">Seleccione sistemas habilitados rápidamente y verifique que los escenarios de inyección directa e indirecta fueron probados, los privilegios están limitados, las acciones consiguientes requieren la autorización apropiada, los intentos de ataque son detectables y la rehabilitación fue validada.</w:t>
      </w:r>
    </w:p>
    <w:bookmarkEnd w:id="806"/>
    <w:bookmarkStart w:id="807" w:name="referencias-jurídicas-primarias-54"/>
    <w:p>
      <w:pPr>
        <w:pStyle w:val="Heading2"/>
      </w:pPr>
      <w:r>
        <w:rPr>
          <w:rStyle w:val="SectionNumber"/>
        </w:rPr>
        <w:t xml:space="preserve">1.764</w:t>
      </w:r>
      <w:r>
        <w:tab/>
      </w:r>
      <w:r>
        <w:t xml:space="preserve">Referencias jurídicas primarias</w:t>
      </w:r>
    </w:p>
    <w:p>
      <w:pPr>
        <w:numPr>
          <w:ilvl w:val="0"/>
          <w:numId w:val="1222"/>
        </w:numPr>
        <w:pStyle w:val="Compact"/>
      </w:pPr>
      <w:r>
        <w:t xml:space="preserve">Reglamento (UE) 2024/1689, modificado: disposiciones aplicables en materia de gestión de riesgos, supervisión humana, precisión, robustez, seguridad cibernética, tala, vigilancia e incidentes.</w:t>
      </w:r>
    </w:p>
    <w:p>
      <w:pPr>
        <w:numPr>
          <w:ilvl w:val="0"/>
          <w:numId w:val="1222"/>
        </w:numPr>
        <w:pStyle w:val="Compact"/>
      </w:pPr>
      <w:r>
        <w:t xml:space="preserve">Los actuales controles consolidados de texto EUR-Lex sobre los resúmenes antiguos.</w:t>
      </w:r>
    </w:p>
    <w:bookmarkEnd w:id="807"/>
    <w:bookmarkStart w:id="808" w:name="X9b9b95bb7db350a0ff1f58581c1a01e3e38ecf2"/>
    <w:p>
      <w:pPr>
        <w:pStyle w:val="Heading2"/>
      </w:pPr>
      <w:r>
        <w:rPr>
          <w:rStyle w:val="SectionNumber"/>
        </w:rPr>
        <w:t xml:space="preserve">1.765</w:t>
      </w:r>
      <w:r>
        <w:tab/>
      </w:r>
      <w:r>
        <w:t xml:space="preserve">Capítulo 87 — Riesgo de envenenamiento y formación de datos</w:t>
      </w:r>
    </w:p>
    <w:p>
      <w:pPr>
        <w:pStyle w:val="BlockText"/>
      </w:pPr>
      <w:r>
        <w:rPr>
          <w:bCs/>
          <w:b/>
        </w:rPr>
        <w:t xml:space="preserve">Estatus legal:</w:t>
      </w:r>
      <w:r>
        <w:t xml:space="preserve"> </w:t>
      </w:r>
      <w:r>
        <w:t xml:space="preserve">Corregido Maestro Inglés para la consolidación. Este archivo controla el lenguaje de borrador anterior del Capítulo 87.</w:t>
      </w:r>
    </w:p>
    <w:bookmarkEnd w:id="808"/>
    <w:bookmarkStart w:id="809" w:name="requisito-85"/>
    <w:p>
      <w:pPr>
        <w:pStyle w:val="Heading2"/>
      </w:pPr>
      <w:r>
        <w:rPr>
          <w:rStyle w:val="SectionNumber"/>
        </w:rPr>
        <w:t xml:space="preserve">1.766</w:t>
      </w:r>
      <w:r>
        <w:tab/>
      </w:r>
      <w:r>
        <w:t xml:space="preserve">Requisito</w:t>
      </w:r>
    </w:p>
    <w:p>
      <w:pPr>
        <w:pStyle w:val="FirstParagraph"/>
      </w:pPr>
      <w:r>
        <w:t xml:space="preserve">Las organizaciones deben proteger los datos de capacitación, validación, pruebas, ajuste, recuperación y retroalimentación contra alteraciones no autorizadas, contaminación maliciosa, fallos en la procedencia, degradación de la calidad y sesgos ocultos que puedan socavar el cumplimiento, la seguridad o el desempeño.</w:t>
      </w:r>
    </w:p>
    <w:bookmarkEnd w:id="809"/>
    <w:bookmarkStart w:id="810" w:name="explicación-en-lenguaje-sencillo-82"/>
    <w:p>
      <w:pPr>
        <w:pStyle w:val="Heading2"/>
      </w:pPr>
      <w:r>
        <w:rPr>
          <w:rStyle w:val="SectionNumber"/>
        </w:rPr>
        <w:t xml:space="preserve">1.767</w:t>
      </w:r>
      <w:r>
        <w:tab/>
      </w:r>
      <w:r>
        <w:t xml:space="preserve">Explicación en lenguaje sencillo</w:t>
      </w:r>
    </w:p>
    <w:p>
      <w:pPr>
        <w:pStyle w:val="FirstParagraph"/>
      </w:pPr>
      <w:r>
        <w:t xml:space="preserve">El envenenamiento de datos puede ser deliberado o accidental. Una pequeña cantidad de datos manipulados puede crear comportamientos ocultos, resultados sesgados, precisión degradada o debilidades de seguridad. Los controles deben cubrir fuentes de datos, transformaciones, etiquetas, acceso, linaje, aprobaciones y bucles de retroalimentación después del despliegue.</w:t>
      </w:r>
    </w:p>
    <w:bookmarkEnd w:id="810"/>
    <w:bookmarkStart w:id="811" w:name="requisitos-de-control-4"/>
    <w:p>
      <w:pPr>
        <w:pStyle w:val="Heading2"/>
      </w:pPr>
      <w:r>
        <w:rPr>
          <w:rStyle w:val="SectionNumber"/>
        </w:rPr>
        <w:t xml:space="preserve">1.768</w:t>
      </w:r>
      <w:r>
        <w:tab/>
      </w:r>
      <w:r>
        <w:t xml:space="preserve">Requisitos de control</w:t>
      </w:r>
    </w:p>
    <w:p>
      <w:pPr>
        <w:pStyle w:val="FirstParagraph"/>
      </w:pPr>
      <w:r>
        <w:t xml:space="preserve">Aplicar, según proceda:</w:t>
      </w:r>
    </w:p>
    <w:p>
      <w:pPr>
        <w:numPr>
          <w:ilvl w:val="0"/>
          <w:numId w:val="1223"/>
        </w:numPr>
        <w:pStyle w:val="Compact"/>
      </w:pPr>
      <w:r>
        <w:t xml:space="preserve">controles de origen y origen aprobados;</w:t>
      </w:r>
    </w:p>
    <w:p>
      <w:pPr>
        <w:numPr>
          <w:ilvl w:val="0"/>
          <w:numId w:val="1223"/>
        </w:numPr>
        <w:pStyle w:val="Compact"/>
      </w:pPr>
      <w:r>
        <w:t xml:space="preserve">el control de acceso, la separación de funciones y el cambio de la tala;</w:t>
      </w:r>
    </w:p>
    <w:p>
      <w:pPr>
        <w:numPr>
          <w:ilvl w:val="0"/>
          <w:numId w:val="1223"/>
        </w:numPr>
        <w:pStyle w:val="Compact"/>
      </w:pPr>
      <w:r>
        <w:t xml:space="preserve">controles de integridad, hashes, versiones y tuberías reproducibles;</w:t>
      </w:r>
    </w:p>
    <w:p>
      <w:pPr>
        <w:numPr>
          <w:ilvl w:val="0"/>
          <w:numId w:val="1223"/>
        </w:numPr>
        <w:pStyle w:val="Compact"/>
      </w:pPr>
      <w:r>
        <w:t xml:space="preserve">anomalía, duplicación, atípico y pruebas de calidad de etiqueta;</w:t>
      </w:r>
    </w:p>
    <w:p>
      <w:pPr>
        <w:numPr>
          <w:ilvl w:val="0"/>
          <w:numId w:val="1223"/>
        </w:numPr>
        <w:pStyle w:val="Compact"/>
      </w:pPr>
      <w:r>
        <w:t xml:space="preserve">análisis de subgrupos y representatividad;</w:t>
      </w:r>
    </w:p>
    <w:p>
      <w:pPr>
        <w:numPr>
          <w:ilvl w:val="0"/>
          <w:numId w:val="1223"/>
        </w:numPr>
        <w:pStyle w:val="Compact"/>
      </w:pPr>
      <w:r>
        <w:t xml:space="preserve">la diligencia debida en el conjunto de datos del proveedor y del código abierto;</w:t>
      </w:r>
    </w:p>
    <w:p>
      <w:pPr>
        <w:numPr>
          <w:ilvl w:val="0"/>
          <w:numId w:val="1223"/>
        </w:numPr>
        <w:pStyle w:val="Compact"/>
      </w:pPr>
      <w:r>
        <w:t xml:space="preserve">cuarentena y revisión de la información de los usuarios o de los datos de producción antes de su reutilización;</w:t>
      </w:r>
    </w:p>
    <w:p>
      <w:pPr>
        <w:numPr>
          <w:ilvl w:val="0"/>
          <w:numId w:val="1223"/>
        </w:numPr>
        <w:pStyle w:val="Compact"/>
      </w:pPr>
      <w:r>
        <w:t xml:space="preserve">pruebas de contrapuerta, de activación y de envenenamiento selectivo;</w:t>
      </w:r>
    </w:p>
    <w:p>
      <w:pPr>
        <w:numPr>
          <w:ilvl w:val="0"/>
          <w:numId w:val="1223"/>
        </w:numPr>
        <w:pStyle w:val="Compact"/>
      </w:pPr>
      <w:r>
        <w:t xml:space="preserve">retroceso, readiestramiento e identificación de la versión afectada;</w:t>
      </w:r>
    </w:p>
    <w:p>
      <w:pPr>
        <w:numPr>
          <w:ilvl w:val="0"/>
          <w:numId w:val="1223"/>
        </w:numPr>
        <w:pStyle w:val="Compact"/>
      </w:pPr>
      <w:r>
        <w:t xml:space="preserve">retención de conjuntos de datos, decisiones, transformaciones y pruebas de validación.</w:t>
      </w:r>
    </w:p>
    <w:bookmarkEnd w:id="811"/>
    <w:bookmarkStart w:id="812" w:name="ejemplo-de-globalway-80"/>
    <w:p>
      <w:pPr>
        <w:pStyle w:val="Heading2"/>
      </w:pPr>
      <w:r>
        <w:rPr>
          <w:rStyle w:val="SectionNumber"/>
        </w:rPr>
        <w:t xml:space="preserve">1.769</w:t>
      </w:r>
      <w:r>
        <w:tab/>
      </w:r>
      <w:r>
        <w:t xml:space="preserve">Ejemplo de GlobalWay</w:t>
      </w:r>
    </w:p>
    <w:p>
      <w:pPr>
        <w:pStyle w:val="FirstParagraph"/>
      </w:pPr>
      <w:r>
        <w:t xml:space="preserve">GlobalWay afina un modelo de reclutamiento utilizando datos históricos de aplicaciones. Antes de su uso, el equipo valida la procedencia, detecta registros duplicados y manipulados, revisa la representación de grupos protegidos, separa la retroalimentación de la producción de los datos de readiestramiento aprobados y bloquea la entrada de datos no revisados en la tubería.</w:t>
      </w:r>
    </w:p>
    <w:bookmarkEnd w:id="812"/>
    <w:bookmarkStart w:id="813" w:name="actividad-de-control-81"/>
    <w:p>
      <w:pPr>
        <w:pStyle w:val="Heading2"/>
      </w:pPr>
      <w:r>
        <w:rPr>
          <w:rStyle w:val="SectionNumber"/>
        </w:rPr>
        <w:t xml:space="preserve">1.770</w:t>
      </w:r>
      <w:r>
        <w:tab/>
      </w:r>
      <w:r>
        <w:t xml:space="preserve">Actividad de control</w:t>
      </w:r>
    </w:p>
    <w:p>
      <w:pPr>
        <w:pStyle w:val="FirstParagraph"/>
      </w:pPr>
      <w:r>
        <w:t xml:space="preserve">Ningún conjunto de datos puede entrar en un material de entrenamiento de IA o tuberías de ajuste sin propiedad documentada, procedencia, integridad, calidad, uso legal y aprobación de riesgos.</w:t>
      </w:r>
    </w:p>
    <w:bookmarkEnd w:id="813"/>
    <w:bookmarkStart w:id="814" w:name="pruebas-86"/>
    <w:p>
      <w:pPr>
        <w:pStyle w:val="Heading2"/>
      </w:pPr>
      <w:r>
        <w:rPr>
          <w:rStyle w:val="SectionNumber"/>
        </w:rPr>
        <w:t xml:space="preserve">1.771</w:t>
      </w:r>
      <w:r>
        <w:tab/>
      </w:r>
      <w:r>
        <w:t xml:space="preserve">Pruebas</w:t>
      </w:r>
    </w:p>
    <w:p>
      <w:pPr>
        <w:numPr>
          <w:ilvl w:val="0"/>
          <w:numId w:val="1224"/>
        </w:numPr>
        <w:pStyle w:val="Compact"/>
      </w:pPr>
      <w:r>
        <w:t xml:space="preserve">el inventario de datos y los registros de procedencia;</w:t>
      </w:r>
    </w:p>
    <w:p>
      <w:pPr>
        <w:numPr>
          <w:ilvl w:val="0"/>
          <w:numId w:val="1224"/>
        </w:numPr>
        <w:pStyle w:val="Compact"/>
      </w:pPr>
      <w:r>
        <w:t xml:space="preserve">acceso y cambio de registros;</w:t>
      </w:r>
    </w:p>
    <w:p>
      <w:pPr>
        <w:numPr>
          <w:ilvl w:val="0"/>
          <w:numId w:val="1224"/>
        </w:numPr>
        <w:pStyle w:val="Compact"/>
      </w:pPr>
      <w:r>
        <w:t xml:space="preserve">los resultados de los ensayos de integridad y calidad;</w:t>
      </w:r>
    </w:p>
    <w:p>
      <w:pPr>
        <w:numPr>
          <w:ilvl w:val="0"/>
          <w:numId w:val="1224"/>
        </w:numPr>
        <w:pStyle w:val="Compact"/>
      </w:pPr>
      <w:r>
        <w:t xml:space="preserve">análisis de subgrupos y representatividad;</w:t>
      </w:r>
    </w:p>
    <w:p>
      <w:pPr>
        <w:numPr>
          <w:ilvl w:val="0"/>
          <w:numId w:val="1224"/>
        </w:numPr>
        <w:pStyle w:val="Compact"/>
      </w:pPr>
      <w:r>
        <w:t xml:space="preserve">garantía del conjunto de datos del proveedor;</w:t>
      </w:r>
    </w:p>
    <w:p>
      <w:pPr>
        <w:numPr>
          <w:ilvl w:val="0"/>
          <w:numId w:val="1224"/>
        </w:numPr>
        <w:pStyle w:val="Compact"/>
      </w:pPr>
      <w:r>
        <w:t xml:space="preserve">los resultados de las pruebas de envenenamiento y backdoor;</w:t>
      </w:r>
    </w:p>
    <w:p>
      <w:pPr>
        <w:numPr>
          <w:ilvl w:val="0"/>
          <w:numId w:val="1224"/>
        </w:numPr>
        <w:pStyle w:val="Compact"/>
      </w:pPr>
      <w:r>
        <w:t xml:space="preserve">los registros de readiestramiento y reversión;</w:t>
      </w:r>
    </w:p>
    <w:p>
      <w:pPr>
        <w:numPr>
          <w:ilvl w:val="0"/>
          <w:numId w:val="1224"/>
        </w:numPr>
        <w:pStyle w:val="Compact"/>
      </w:pPr>
      <w:r>
        <w:t xml:space="preserve">aprobación y liberación de pruebas.</w:t>
      </w:r>
    </w:p>
    <w:bookmarkEnd w:id="814"/>
    <w:bookmarkStart w:id="815" w:name="prueba-de-auditoría-82"/>
    <w:p>
      <w:pPr>
        <w:pStyle w:val="Heading2"/>
      </w:pPr>
      <w:r>
        <w:rPr>
          <w:rStyle w:val="SectionNumber"/>
        </w:rPr>
        <w:t xml:space="preserve">1.772</w:t>
      </w:r>
      <w:r>
        <w:tab/>
      </w:r>
      <w:r>
        <w:t xml:space="preserve">Prueba de auditoría</w:t>
      </w:r>
    </w:p>
    <w:p>
      <w:pPr>
        <w:pStyle w:val="FirstParagraph"/>
      </w:pPr>
      <w:r>
        <w:t xml:space="preserve">Seleccione una muestra de conjuntos de datos utilizados en los modelos de producción. Verifique la procedencia aprobada, el acceso controlado, las transformaciones reproducibles, las pruebas de integridad y envenenamiento, las limitaciones de calidad documentadas y la vinculación entre la versión del conjunto de datos, la versión del modelo y la decisión de liberación.</w:t>
      </w:r>
    </w:p>
    <w:bookmarkEnd w:id="815"/>
    <w:bookmarkStart w:id="816" w:name="referencias-jurídicas-primarias-55"/>
    <w:p>
      <w:pPr>
        <w:pStyle w:val="Heading2"/>
      </w:pPr>
      <w:r>
        <w:rPr>
          <w:rStyle w:val="SectionNumber"/>
        </w:rPr>
        <w:t xml:space="preserve">1.773</w:t>
      </w:r>
      <w:r>
        <w:tab/>
      </w:r>
      <w:r>
        <w:t xml:space="preserve">Referencias jurídicas primarias</w:t>
      </w:r>
    </w:p>
    <w:p>
      <w:pPr>
        <w:numPr>
          <w:ilvl w:val="0"/>
          <w:numId w:val="1225"/>
        </w:numPr>
        <w:pStyle w:val="Compact"/>
      </w:pPr>
      <w:r>
        <w:t xml:space="preserve">Reglamento (UE) 2024/1689, en su versión modificada: normas aplicables en materia de gobernanza de datos, gestión de riesgos, exactitud, robustez, ciberseguridad, documentación técnica y posteriores a la comercialización.</w:t>
      </w:r>
    </w:p>
    <w:p>
      <w:pPr>
        <w:numPr>
          <w:ilvl w:val="0"/>
          <w:numId w:val="1225"/>
        </w:numPr>
        <w:pStyle w:val="Compact"/>
      </w:pPr>
      <w:r>
        <w:t xml:space="preserve">Los actuales controles consolidados de texto EUR-Lex sobre los resúmenes antiguos.</w:t>
      </w:r>
    </w:p>
    <w:bookmarkEnd w:id="816"/>
    <w:bookmarkStart w:id="817" w:name="X520029cd6ac02fe2ee3a2b8f6440132e347b0fa"/>
    <w:p>
      <w:pPr>
        <w:pStyle w:val="Heading2"/>
      </w:pPr>
      <w:r>
        <w:rPr>
          <w:rStyle w:val="SectionNumber"/>
        </w:rPr>
        <w:t xml:space="preserve">1.774</w:t>
      </w:r>
      <w:r>
        <w:tab/>
      </w:r>
      <w:r>
        <w:t xml:space="preserve">Capítulo 88 — Extracción y hurto de modelos</w:t>
      </w:r>
    </w:p>
    <w:p>
      <w:pPr>
        <w:pStyle w:val="BlockText"/>
      </w:pPr>
      <w:r>
        <w:rPr>
          <w:bCs/>
          <w:b/>
        </w:rPr>
        <w:t xml:space="preserve">Estatus legal:</w:t>
      </w:r>
      <w:r>
        <w:t xml:space="preserve"> </w:t>
      </w:r>
      <w:r>
        <w:t xml:space="preserve">Corregido Maestro Inglés para la consolidación. Este archivo controla el lenguaje de borrador anterior del Capítulo 88 en conflicto.</w:t>
      </w:r>
    </w:p>
    <w:bookmarkEnd w:id="817"/>
    <w:bookmarkStart w:id="818" w:name="requisito-86"/>
    <w:p>
      <w:pPr>
        <w:pStyle w:val="Heading2"/>
      </w:pPr>
      <w:r>
        <w:rPr>
          <w:rStyle w:val="SectionNumber"/>
        </w:rPr>
        <w:t xml:space="preserve">1.775</w:t>
      </w:r>
      <w:r>
        <w:tab/>
      </w:r>
      <w:r>
        <w:t xml:space="preserve">Requisito</w:t>
      </w:r>
    </w:p>
    <w:p>
      <w:pPr>
        <w:pStyle w:val="FirstParagraph"/>
      </w:pPr>
      <w:r>
        <w:t xml:space="preserve">Las organizaciones deben implementar salvaguardias proporcionadas contra la copia no autorizada de modelos, extracción, inversión, robo de peso, divulgación de sistemas confidenciales y consultas abusivas que puedan comprometer la propiedad intelectual, la seguridad, la privacidad, la seguridad o el cumplimiento normativo.</w:t>
      </w:r>
    </w:p>
    <w:bookmarkEnd w:id="818"/>
    <w:bookmarkStart w:id="819" w:name="explicación-en-lenguaje-sencillo-83"/>
    <w:p>
      <w:pPr>
        <w:pStyle w:val="Heading2"/>
      </w:pPr>
      <w:r>
        <w:rPr>
          <w:rStyle w:val="SectionNumber"/>
        </w:rPr>
        <w:t xml:space="preserve">1.776</w:t>
      </w:r>
      <w:r>
        <w:tab/>
      </w:r>
      <w:r>
        <w:t xml:space="preserve">Explicación en lenguaje sencillo</w:t>
      </w:r>
    </w:p>
    <w:p>
      <w:pPr>
        <w:pStyle w:val="FirstParagraph"/>
      </w:pPr>
      <w:r>
        <w:t xml:space="preserve">Los atacantes pueden recrear el comportamiento del modelo a través de consultas repetidas, robar pesas o artefactos, inferir información de entrenamiento sensible o aprovechar el acceso privilegiado.La protección requiere controles técnicos, contractuales, de monitoreo y de incidentes adaptados al valor y riesgo del modelo.</w:t>
      </w:r>
    </w:p>
    <w:bookmarkEnd w:id="819"/>
    <w:bookmarkStart w:id="820" w:name="requisitos-de-control-5"/>
    <w:p>
      <w:pPr>
        <w:pStyle w:val="Heading2"/>
      </w:pPr>
      <w:r>
        <w:rPr>
          <w:rStyle w:val="SectionNumber"/>
        </w:rPr>
        <w:t xml:space="preserve">1.777</w:t>
      </w:r>
      <w:r>
        <w:tab/>
      </w:r>
      <w:r>
        <w:t xml:space="preserve">Requisitos de control</w:t>
      </w:r>
    </w:p>
    <w:p>
      <w:pPr>
        <w:pStyle w:val="FirstParagraph"/>
      </w:pPr>
      <w:r>
        <w:t xml:space="preserve">Aplicar, según proceda:</w:t>
      </w:r>
    </w:p>
    <w:p>
      <w:pPr>
        <w:numPr>
          <w:ilvl w:val="0"/>
          <w:numId w:val="1226"/>
        </w:numPr>
        <w:pStyle w:val="Compact"/>
      </w:pPr>
      <w:r>
        <w:t xml:space="preserve">acceso de los menos privilegiados a pesas, puestos de control, código, avisos y configuración;</w:t>
      </w:r>
    </w:p>
    <w:p>
      <w:pPr>
        <w:numPr>
          <w:ilvl w:val="0"/>
          <w:numId w:val="1226"/>
        </w:numPr>
        <w:pStyle w:val="Compact"/>
      </w:pPr>
      <w:r>
        <w:t xml:space="preserve">autenticación fuerte, gestión de secretos, encriptación y aislamiento ambiental;</w:t>
      </w:r>
    </w:p>
    <w:p>
      <w:pPr>
        <w:numPr>
          <w:ilvl w:val="0"/>
          <w:numId w:val="1226"/>
        </w:numPr>
        <w:pStyle w:val="Compact"/>
      </w:pPr>
      <w:r>
        <w:t xml:space="preserve">controles de tasa de consulta, volumen, patrón y abuso de cuentas;</w:t>
      </w:r>
    </w:p>
    <w:p>
      <w:pPr>
        <w:numPr>
          <w:ilvl w:val="0"/>
          <w:numId w:val="1226"/>
        </w:numPr>
        <w:pStyle w:val="Compact"/>
      </w:pPr>
      <w:r>
        <w:t xml:space="preserve">detección de anomalías para el comportamiento de extracción e inversión;</w:t>
      </w:r>
    </w:p>
    <w:p>
      <w:pPr>
        <w:numPr>
          <w:ilvl w:val="0"/>
          <w:numId w:val="1226"/>
        </w:numPr>
        <w:pStyle w:val="Compact"/>
      </w:pPr>
      <w:r>
        <w:t xml:space="preserve">la minimización de la producción y los controles de confianza e información cuando estén justificados;</w:t>
      </w:r>
    </w:p>
    <w:p>
      <w:pPr>
        <w:numPr>
          <w:ilvl w:val="0"/>
          <w:numId w:val="1226"/>
        </w:numPr>
        <w:pStyle w:val="Compact"/>
      </w:pPr>
      <w:r>
        <w:t xml:space="preserve">marcas de agua, huellas dactilares, canarios o técnicas de procedencia cuando sean eficaces;</w:t>
      </w:r>
    </w:p>
    <w:p>
      <w:pPr>
        <w:numPr>
          <w:ilvl w:val="0"/>
          <w:numId w:val="1226"/>
        </w:numPr>
        <w:pStyle w:val="Compact"/>
      </w:pPr>
      <w:r>
        <w:t xml:space="preserve">controles seguros de la distribución y el acceso de los proveedores;</w:t>
      </w:r>
    </w:p>
    <w:p>
      <w:pPr>
        <w:numPr>
          <w:ilvl w:val="0"/>
          <w:numId w:val="1226"/>
        </w:numPr>
        <w:pStyle w:val="Compact"/>
      </w:pPr>
      <w:r>
        <w:t xml:space="preserve">el control de los empleados y contratistas de conformidad con la legislación aplicable;</w:t>
      </w:r>
    </w:p>
    <w:p>
      <w:pPr>
        <w:numPr>
          <w:ilvl w:val="0"/>
          <w:numId w:val="1226"/>
        </w:numPr>
        <w:pStyle w:val="Compact"/>
      </w:pPr>
      <w:r>
        <w:t xml:space="preserve">la preservación de pruebas, la contención, la rotación de credenciales y la respuesta a las infracciones;</w:t>
      </w:r>
    </w:p>
    <w:p>
      <w:pPr>
        <w:numPr>
          <w:ilvl w:val="0"/>
          <w:numId w:val="1226"/>
        </w:numPr>
        <w:pStyle w:val="Compact"/>
      </w:pPr>
      <w:r>
        <w:t xml:space="preserve">escalada legal, contractual y regulatoria.</w:t>
      </w:r>
    </w:p>
    <w:bookmarkEnd w:id="820"/>
    <w:bookmarkStart w:id="821" w:name="ejemplo-de-globalway-81"/>
    <w:p>
      <w:pPr>
        <w:pStyle w:val="Heading2"/>
      </w:pPr>
      <w:r>
        <w:rPr>
          <w:rStyle w:val="SectionNumber"/>
        </w:rPr>
        <w:t xml:space="preserve">1.778</w:t>
      </w:r>
      <w:r>
        <w:tab/>
      </w:r>
      <w:r>
        <w:t xml:space="preserve">Ejemplo de GlobalWay</w:t>
      </w:r>
    </w:p>
    <w:p>
      <w:pPr>
        <w:pStyle w:val="FirstParagraph"/>
      </w:pPr>
      <w:r>
        <w:t xml:space="preserve">GlobalWay opera un modelo propietario de precios de viaje a través de una API. Monitoring identifica una cuenta de nueva creación que hace consultas sistemáticas de límites a un alto volumen. La cuenta está limitada y suspendida, se conservan registros, se revisan credenciales y rutas de acceso, y el incidente se evalúa para el robo de modelos, la exposición a la privacidad y la notificación del proveedor.</w:t>
      </w:r>
    </w:p>
    <w:bookmarkEnd w:id="821"/>
    <w:bookmarkStart w:id="822" w:name="actividad-de-control-82"/>
    <w:p>
      <w:pPr>
        <w:pStyle w:val="Heading2"/>
      </w:pPr>
      <w:r>
        <w:rPr>
          <w:rStyle w:val="SectionNumber"/>
        </w:rPr>
        <w:t xml:space="preserve">1.779</w:t>
      </w:r>
      <w:r>
        <w:tab/>
      </w:r>
      <w:r>
        <w:t xml:space="preserve">Actividad de control</w:t>
      </w:r>
    </w:p>
    <w:p>
      <w:pPr>
        <w:pStyle w:val="FirstParagraph"/>
      </w:pPr>
      <w:r>
        <w:t xml:space="preserve">Los propietarios de seguridad deben monitorear los indicadores de extracción, probar los controles de acceso privilegiado y mantener un libro de jugadas sobre incidentes que cubra artefactos robados, puntos finales expuestos y consultas sospechosas.</w:t>
      </w:r>
    </w:p>
    <w:bookmarkEnd w:id="822"/>
    <w:bookmarkStart w:id="823" w:name="pruebas-87"/>
    <w:p>
      <w:pPr>
        <w:pStyle w:val="Heading2"/>
      </w:pPr>
      <w:r>
        <w:rPr>
          <w:rStyle w:val="SectionNumber"/>
        </w:rPr>
        <w:t xml:space="preserve">1.780</w:t>
      </w:r>
      <w:r>
        <w:tab/>
      </w:r>
      <w:r>
        <w:t xml:space="preserve">Pruebas</w:t>
      </w:r>
    </w:p>
    <w:p>
      <w:pPr>
        <w:numPr>
          <w:ilvl w:val="0"/>
          <w:numId w:val="1227"/>
        </w:numPr>
        <w:pStyle w:val="Compact"/>
      </w:pPr>
      <w:r>
        <w:t xml:space="preserve">modelo de clasificación de activos;</w:t>
      </w:r>
    </w:p>
    <w:p>
      <w:pPr>
        <w:numPr>
          <w:ilvl w:val="0"/>
          <w:numId w:val="1227"/>
        </w:numPr>
        <w:pStyle w:val="Compact"/>
      </w:pPr>
      <w:r>
        <w:t xml:space="preserve">registros de acceso-control y privilegios;</w:t>
      </w:r>
    </w:p>
    <w:p>
      <w:pPr>
        <w:numPr>
          <w:ilvl w:val="0"/>
          <w:numId w:val="1227"/>
        </w:numPr>
        <w:pStyle w:val="Compact"/>
      </w:pPr>
      <w:r>
        <w:t xml:space="preserve">API y configuración del límite de velocidad;</w:t>
      </w:r>
    </w:p>
    <w:p>
      <w:pPr>
        <w:numPr>
          <w:ilvl w:val="0"/>
          <w:numId w:val="1227"/>
        </w:numPr>
        <w:pStyle w:val="Compact"/>
      </w:pPr>
      <w:r>
        <w:t xml:space="preserve">normas y alertas de detección de anomalías;</w:t>
      </w:r>
    </w:p>
    <w:p>
      <w:pPr>
        <w:numPr>
          <w:ilvl w:val="0"/>
          <w:numId w:val="1227"/>
        </w:numPr>
        <w:pStyle w:val="Compact"/>
      </w:pPr>
      <w:r>
        <w:t xml:space="preserve">los resultados de los ensayos de extracción;</w:t>
      </w:r>
    </w:p>
    <w:p>
      <w:pPr>
        <w:numPr>
          <w:ilvl w:val="0"/>
          <w:numId w:val="1227"/>
        </w:numPr>
        <w:pStyle w:val="Compact"/>
      </w:pPr>
      <w:r>
        <w:t xml:space="preserve">los registros forenses y de incidentes;</w:t>
      </w:r>
    </w:p>
    <w:p>
      <w:pPr>
        <w:numPr>
          <w:ilvl w:val="0"/>
          <w:numId w:val="1227"/>
        </w:numPr>
        <w:pStyle w:val="Compact"/>
      </w:pPr>
      <w:r>
        <w:t xml:space="preserve">pruebas de rotación y contención de credenciales;</w:t>
      </w:r>
    </w:p>
    <w:p>
      <w:pPr>
        <w:numPr>
          <w:ilvl w:val="0"/>
          <w:numId w:val="1227"/>
        </w:numPr>
        <w:pStyle w:val="Compact"/>
      </w:pPr>
      <w:r>
        <w:t xml:space="preserve">registros de respuesta contractual y jurídica.</w:t>
      </w:r>
    </w:p>
    <w:bookmarkEnd w:id="823"/>
    <w:bookmarkStart w:id="824" w:name="prueba-de-auditoría-83"/>
    <w:p>
      <w:pPr>
        <w:pStyle w:val="Heading2"/>
      </w:pPr>
      <w:r>
        <w:rPr>
          <w:rStyle w:val="SectionNumber"/>
        </w:rPr>
        <w:t xml:space="preserve">1.781</w:t>
      </w:r>
      <w:r>
        <w:tab/>
      </w:r>
      <w:r>
        <w:t xml:space="preserve">Prueba de auditoría</w:t>
      </w:r>
    </w:p>
    <w:p>
      <w:pPr>
        <w:pStyle w:val="FirstParagraph"/>
      </w:pPr>
      <w:r>
        <w:t xml:space="preserve">Seleccione modelos de alto valor y verifique que los pesos y artefactos están controlados por acceso, los puntos finales se monitorean para el comportamiento de extracción, se investiga la actividad anormal, se prueban los procedimientos de incidentes y se documenta el riesgo residual.</w:t>
      </w:r>
    </w:p>
    <w:bookmarkEnd w:id="824"/>
    <w:bookmarkStart w:id="825" w:name="referencias-jurídicas-primarias-56"/>
    <w:p>
      <w:pPr>
        <w:pStyle w:val="Heading2"/>
      </w:pPr>
      <w:r>
        <w:rPr>
          <w:rStyle w:val="SectionNumber"/>
        </w:rPr>
        <w:t xml:space="preserve">1.782</w:t>
      </w:r>
      <w:r>
        <w:tab/>
      </w:r>
      <w:r>
        <w:t xml:space="preserve">Referencias jurídicas primarias</w:t>
      </w:r>
    </w:p>
    <w:p>
      <w:pPr>
        <w:numPr>
          <w:ilvl w:val="0"/>
          <w:numId w:val="1228"/>
        </w:numPr>
        <w:pStyle w:val="Compact"/>
      </w:pPr>
      <w:r>
        <w:t xml:space="preserve">Reglamento (UE) 2024/1689, modificado: disposiciones aplicables en materia de seguridad cibernética, robustez, confidencialidad, gestión de riesgos, seguimiento, incidentes y riesgo sistémico.</w:t>
      </w:r>
    </w:p>
    <w:p>
      <w:pPr>
        <w:numPr>
          <w:ilvl w:val="0"/>
          <w:numId w:val="1228"/>
        </w:numPr>
        <w:pStyle w:val="Compact"/>
      </w:pPr>
      <w:r>
        <w:t xml:space="preserve">Los actuales controles consolidados de texto EUR-Lex sobre los resúmenes antiguos.</w:t>
      </w:r>
    </w:p>
    <w:bookmarkEnd w:id="825"/>
    <w:bookmarkStart w:id="826" w:name="Xf2b78bd20560566809d73b447e700ed84052cc2"/>
    <w:p>
      <w:pPr>
        <w:pStyle w:val="Heading2"/>
      </w:pPr>
      <w:r>
        <w:rPr>
          <w:rStyle w:val="SectionNumber"/>
        </w:rPr>
        <w:t xml:space="preserve">1.783</w:t>
      </w:r>
      <w:r>
        <w:tab/>
      </w:r>
      <w:r>
        <w:t xml:space="preserve">Capítulo 89 — Registro, seguimiento y gestión de la vulnerabilidad</w:t>
      </w:r>
    </w:p>
    <w:p>
      <w:pPr>
        <w:pStyle w:val="BlockText"/>
      </w:pPr>
      <w:r>
        <w:rPr>
          <w:bCs/>
          <w:b/>
        </w:rPr>
        <w:t xml:space="preserve">Estatus legal:</w:t>
      </w:r>
      <w:r>
        <w:t xml:space="preserve"> </w:t>
      </w:r>
      <w:r>
        <w:t xml:space="preserve">Corregido Maestro Inglés para la consolidación. Este archivo controla el lenguaje de borrador anterior del Capítulo 89.</w:t>
      </w:r>
    </w:p>
    <w:bookmarkEnd w:id="826"/>
    <w:bookmarkStart w:id="827" w:name="requisito-87"/>
    <w:p>
      <w:pPr>
        <w:pStyle w:val="Heading2"/>
      </w:pPr>
      <w:r>
        <w:rPr>
          <w:rStyle w:val="SectionNumber"/>
        </w:rPr>
        <w:t xml:space="preserve">1.784</w:t>
      </w:r>
      <w:r>
        <w:tab/>
      </w:r>
      <w:r>
        <w:t xml:space="preserve">Requisito</w:t>
      </w:r>
    </w:p>
    <w:p>
      <w:pPr>
        <w:pStyle w:val="FirstParagraph"/>
      </w:pPr>
      <w:r>
        <w:t xml:space="preserve">Las organizaciones deben mantener procesos proporcionados de tala, vigilancia, identificación de la vulnerabilidad, triaje, rehabilitación, divulgación y verificación de los sistemas de IA y su infraestructura de apoyo durante todo el ciclo de vida.</w:t>
      </w:r>
    </w:p>
    <w:bookmarkEnd w:id="827"/>
    <w:bookmarkStart w:id="828" w:name="explicación-en-lenguaje-sencillo-84"/>
    <w:p>
      <w:pPr>
        <w:pStyle w:val="Heading2"/>
      </w:pPr>
      <w:r>
        <w:rPr>
          <w:rStyle w:val="SectionNumber"/>
        </w:rPr>
        <w:t xml:space="preserve">1.785</w:t>
      </w:r>
      <w:r>
        <w:tab/>
      </w:r>
      <w:r>
        <w:t xml:space="preserve">Explicación en lenguaje sencillo</w:t>
      </w:r>
    </w:p>
    <w:p>
      <w:pPr>
        <w:pStyle w:val="FirstParagraph"/>
      </w:pPr>
      <w:r>
        <w:t xml:space="preserve">La seguridad de la IA depende de ver lo que pasó, detectar comportamientos anormales, entender las versiones y dependencias afectadas y corregir las debilidades rápidamente.</w:t>
      </w:r>
    </w:p>
    <w:bookmarkEnd w:id="828"/>
    <w:bookmarkStart w:id="829" w:name="requisitos-de-control-6"/>
    <w:p>
      <w:pPr>
        <w:pStyle w:val="Heading2"/>
      </w:pPr>
      <w:r>
        <w:rPr>
          <w:rStyle w:val="SectionNumber"/>
        </w:rPr>
        <w:t xml:space="preserve">1.786</w:t>
      </w:r>
      <w:r>
        <w:tab/>
      </w:r>
      <w:r>
        <w:t xml:space="preserve">Requisitos de control</w:t>
      </w:r>
    </w:p>
    <w:p>
      <w:pPr>
        <w:pStyle w:val="FirstParagraph"/>
      </w:pPr>
      <w:r>
        <w:t xml:space="preserve">Aplicar, según proceda:</w:t>
      </w:r>
    </w:p>
    <w:p>
      <w:pPr>
        <w:numPr>
          <w:ilvl w:val="0"/>
          <w:numId w:val="1229"/>
        </w:numPr>
        <w:pStyle w:val="Compact"/>
      </w:pPr>
      <w:r>
        <w:t xml:space="preserve">evento vinculado a la versión, decisión, acceso, cambio, error, anulación y registros de seguridad;</w:t>
      </w:r>
    </w:p>
    <w:p>
      <w:pPr>
        <w:numPr>
          <w:ilvl w:val="0"/>
          <w:numId w:val="1229"/>
        </w:numPr>
        <w:pStyle w:val="Compact"/>
      </w:pPr>
      <w:r>
        <w:t xml:space="preserve">sincronización del tiempo, protección de la integridad, retención y control de acceso;</w:t>
      </w:r>
    </w:p>
    <w:p>
      <w:pPr>
        <w:numPr>
          <w:ilvl w:val="0"/>
          <w:numId w:val="1229"/>
        </w:numPr>
        <w:pStyle w:val="Compact"/>
      </w:pPr>
      <w:r>
        <w:t xml:space="preserve">la vigilancia del uso indebido, la deriva, las salidas anómalas, los patrones de ataque y el fallo del control;</w:t>
      </w:r>
    </w:p>
    <w:p>
      <w:pPr>
        <w:numPr>
          <w:ilvl w:val="0"/>
          <w:numId w:val="1229"/>
        </w:numPr>
        <w:pStyle w:val="Compact"/>
      </w:pPr>
      <w:r>
        <w:t xml:space="preserve">modelo, dependencia, API, contenedor, biblioteca, respuesta rápida y configuración de la ingesta de vulnerabilidad;</w:t>
      </w:r>
    </w:p>
    <w:p>
      <w:pPr>
        <w:numPr>
          <w:ilvl w:val="0"/>
          <w:numId w:val="1229"/>
        </w:numPr>
        <w:pStyle w:val="Compact"/>
      </w:pPr>
      <w:r>
        <w:t xml:space="preserve">gravedad, explotabilidad, exposición, persona afectada y triaje de impacto reglamentario;</w:t>
      </w:r>
    </w:p>
    <w:p>
      <w:pPr>
        <w:numPr>
          <w:ilvl w:val="0"/>
          <w:numId w:val="1229"/>
        </w:numPr>
        <w:pStyle w:val="Compact"/>
      </w:pPr>
      <w:r>
        <w:t xml:space="preserve">los plazos de rehabilitación, los controles compensatorios y la aprobación de excepciones;</w:t>
      </w:r>
    </w:p>
    <w:p>
      <w:pPr>
        <w:numPr>
          <w:ilvl w:val="0"/>
          <w:numId w:val="1229"/>
        </w:numPr>
        <w:pStyle w:val="Compact"/>
      </w:pPr>
      <w:r>
        <w:t xml:space="preserve">procedimientos coordinados de divulgación y notificación de proveedores;</w:t>
      </w:r>
    </w:p>
    <w:p>
      <w:pPr>
        <w:numPr>
          <w:ilvl w:val="0"/>
          <w:numId w:val="1229"/>
        </w:numPr>
        <w:pStyle w:val="Compact"/>
      </w:pPr>
      <w:r>
        <w:t xml:space="preserve">validación, pruebas de regresión y pruebas de cierre;</w:t>
      </w:r>
    </w:p>
    <w:p>
      <w:pPr>
        <w:numPr>
          <w:ilvl w:val="0"/>
          <w:numId w:val="1229"/>
        </w:numPr>
        <w:pStyle w:val="Compact"/>
      </w:pPr>
      <w:r>
        <w:t xml:space="preserve">vinculación con incidentes, seguimiento posterior a la comercialización, medidas correctoras y control del cambio;</w:t>
      </w:r>
    </w:p>
    <w:p>
      <w:pPr>
        <w:numPr>
          <w:ilvl w:val="0"/>
          <w:numId w:val="1229"/>
        </w:numPr>
        <w:pStyle w:val="Compact"/>
      </w:pPr>
      <w:r>
        <w:t xml:space="preserve">métricas y escalada de las deficiencias sistémicas o atrasadas.</w:t>
      </w:r>
    </w:p>
    <w:bookmarkEnd w:id="829"/>
    <w:bookmarkStart w:id="830" w:name="ejemplo-de-globalway-82"/>
    <w:p>
      <w:pPr>
        <w:pStyle w:val="Heading2"/>
      </w:pPr>
      <w:r>
        <w:rPr>
          <w:rStyle w:val="SectionNumber"/>
        </w:rPr>
        <w:t xml:space="preserve">1.787</w:t>
      </w:r>
      <w:r>
        <w:tab/>
      </w:r>
      <w:r>
        <w:t xml:space="preserve">Ejemplo de GlobalWay</w:t>
      </w:r>
    </w:p>
    <w:p>
      <w:pPr>
        <w:pStyle w:val="FirstParagraph"/>
      </w:pPr>
      <w:r>
        <w:t xml:space="preserve">GlobalWay monitorea una plataforma de asistencia a los viajes para llamadas anormales de herramientas, intentos repetidos de evitar la protección, cambios de versión de modelos, anomalías de acceso y componentes vulnerables de terceros. Una vulnerabilidad crítica de la API desencadena aislamiento, escalada de proveedores, controles compensadores, validación de parches y revisión posterior al incidente.</w:t>
      </w:r>
    </w:p>
    <w:bookmarkEnd w:id="830"/>
    <w:bookmarkStart w:id="831" w:name="actividad-de-control-83"/>
    <w:p>
      <w:pPr>
        <w:pStyle w:val="Heading2"/>
      </w:pPr>
      <w:r>
        <w:rPr>
          <w:rStyle w:val="SectionNumber"/>
        </w:rPr>
        <w:t xml:space="preserve">1.788</w:t>
      </w:r>
      <w:r>
        <w:tab/>
      </w:r>
      <w:r>
        <w:t xml:space="preserve">Actividad de control</w:t>
      </w:r>
    </w:p>
    <w:p>
      <w:pPr>
        <w:pStyle w:val="FirstParagraph"/>
      </w:pPr>
      <w:r>
        <w:t xml:space="preserve">Los propietarios de seguridad, ingeniería y sistemas deben operar un proceso documentado de gestión de vulnerabilidad que cubra la pila completa de servicios de IA. La exposición crítica no resuelta debe bloquear la liberación o suspensión de activación a menos que se apruebe formalmente bajo una decisión de riesgo excepcional y con plazos definidos.</w:t>
      </w:r>
    </w:p>
    <w:bookmarkEnd w:id="831"/>
    <w:bookmarkStart w:id="832" w:name="pruebas-88"/>
    <w:p>
      <w:pPr>
        <w:pStyle w:val="Heading2"/>
      </w:pPr>
      <w:r>
        <w:rPr>
          <w:rStyle w:val="SectionNumber"/>
        </w:rPr>
        <w:t xml:space="preserve">1.789</w:t>
      </w:r>
      <w:r>
        <w:tab/>
      </w:r>
      <w:r>
        <w:t xml:space="preserve">Pruebas</w:t>
      </w:r>
    </w:p>
    <w:p>
      <w:pPr>
        <w:numPr>
          <w:ilvl w:val="0"/>
          <w:numId w:val="1230"/>
        </w:numPr>
        <w:pStyle w:val="Compact"/>
      </w:pPr>
      <w:r>
        <w:t xml:space="preserve">normas de tala y calendario de retención;</w:t>
      </w:r>
    </w:p>
    <w:p>
      <w:pPr>
        <w:numPr>
          <w:ilvl w:val="0"/>
          <w:numId w:val="1230"/>
        </w:numPr>
        <w:pStyle w:val="Compact"/>
      </w:pPr>
      <w:r>
        <w:t xml:space="preserve">el catálogo de actividades supervisadas;</w:t>
      </w:r>
    </w:p>
    <w:p>
      <w:pPr>
        <w:numPr>
          <w:ilvl w:val="0"/>
          <w:numId w:val="1230"/>
        </w:numPr>
        <w:pStyle w:val="Compact"/>
      </w:pPr>
      <w:r>
        <w:t xml:space="preserve">los registros de alerta e investigación;</w:t>
      </w:r>
    </w:p>
    <w:p>
      <w:pPr>
        <w:numPr>
          <w:ilvl w:val="0"/>
          <w:numId w:val="1230"/>
        </w:numPr>
        <w:pStyle w:val="Compact"/>
      </w:pPr>
      <w:r>
        <w:t xml:space="preserve">inventario de vulnerabilidad y justificación de la gravedad;</w:t>
      </w:r>
    </w:p>
    <w:p>
      <w:pPr>
        <w:numPr>
          <w:ilvl w:val="0"/>
          <w:numId w:val="1230"/>
        </w:numPr>
        <w:pStyle w:val="Compact"/>
      </w:pPr>
      <w:r>
        <w:t xml:space="preserve">los registros de rehabilitación y excepción;</w:t>
      </w:r>
    </w:p>
    <w:p>
      <w:pPr>
        <w:numPr>
          <w:ilvl w:val="0"/>
          <w:numId w:val="1230"/>
        </w:numPr>
        <w:pStyle w:val="Compact"/>
      </w:pPr>
      <w:r>
        <w:t xml:space="preserve">las notificaciones de proveedores;</w:t>
      </w:r>
    </w:p>
    <w:p>
      <w:pPr>
        <w:numPr>
          <w:ilvl w:val="0"/>
          <w:numId w:val="1230"/>
        </w:numPr>
        <w:pStyle w:val="Compact"/>
      </w:pPr>
      <w:r>
        <w:t xml:space="preserve">resultados de los ensayos de parche y regresión;</w:t>
      </w:r>
    </w:p>
    <w:p>
      <w:pPr>
        <w:numPr>
          <w:ilvl w:val="0"/>
          <w:numId w:val="1230"/>
        </w:numPr>
        <w:pStyle w:val="Compact"/>
      </w:pPr>
      <w:r>
        <w:t xml:space="preserve">validación de cierre y métricas.</w:t>
      </w:r>
    </w:p>
    <w:bookmarkEnd w:id="832"/>
    <w:bookmarkStart w:id="833" w:name="prueba-de-auditoría-84"/>
    <w:p>
      <w:pPr>
        <w:pStyle w:val="Heading2"/>
      </w:pPr>
      <w:r>
        <w:rPr>
          <w:rStyle w:val="SectionNumber"/>
        </w:rPr>
        <w:t xml:space="preserve">1.790</w:t>
      </w:r>
      <w:r>
        <w:tab/>
      </w:r>
      <w:r>
        <w:t xml:space="preserve">Prueba de auditoría</w:t>
      </w:r>
    </w:p>
    <w:p>
      <w:pPr>
        <w:pStyle w:val="FirstParagraph"/>
      </w:pPr>
      <w:r>
        <w:t xml:space="preserve">Seleccione sistemas, alertas y vulnerabilidades. Confirme que los registros están completos y protegidos, el monitoreo cubre el comportamiento específico de IA relevante, las vulnerabilidades fueron clasificadas como de riesgo y remediadas dentro de los plazos aprobados, y el cierre fue apoyado independientemente por evidencia.</w:t>
      </w:r>
    </w:p>
    <w:bookmarkEnd w:id="833"/>
    <w:bookmarkStart w:id="834" w:name="referencias-jurídicas-primarias-57"/>
    <w:p>
      <w:pPr>
        <w:pStyle w:val="Heading2"/>
      </w:pPr>
      <w:r>
        <w:rPr>
          <w:rStyle w:val="SectionNumber"/>
        </w:rPr>
        <w:t xml:space="preserve">1.791</w:t>
      </w:r>
      <w:r>
        <w:tab/>
      </w:r>
      <w:r>
        <w:t xml:space="preserve">Referencias jurídicas primarias</w:t>
      </w:r>
    </w:p>
    <w:p>
      <w:pPr>
        <w:numPr>
          <w:ilvl w:val="0"/>
          <w:numId w:val="1231"/>
        </w:numPr>
        <w:pStyle w:val="Compact"/>
      </w:pPr>
      <w:r>
        <w:t xml:space="preserve">Reglamento (UE) 2024/1689, modificado: disposiciones aplicables en materia de tala, gestión de riesgos, exactitud, robustez, seguridad cibernética, vigilancia, incidentes, medidas correctivas y riesgos sistémicos.</w:t>
      </w:r>
    </w:p>
    <w:p>
      <w:pPr>
        <w:numPr>
          <w:ilvl w:val="0"/>
          <w:numId w:val="1231"/>
        </w:numPr>
        <w:pStyle w:val="Compact"/>
      </w:pPr>
      <w:r>
        <w:t xml:space="preserve">Los actuales controles consolidados de texto EUR-Lex sobre los resúmenes antiguos.</w:t>
      </w:r>
    </w:p>
    <w:bookmarkEnd w:id="834"/>
    <w:bookmarkStart w:id="835" w:name="X68412ec78ef25da06020cff326e4771b64c8e21"/>
    <w:p>
      <w:pPr>
        <w:pStyle w:val="Heading2"/>
      </w:pPr>
      <w:r>
        <w:rPr>
          <w:rStyle w:val="SectionNumber"/>
        </w:rPr>
        <w:t xml:space="preserve">1.792</w:t>
      </w:r>
      <w:r>
        <w:tab/>
      </w:r>
      <w:r>
        <w:t xml:space="preserve">Capítulo 90 — Continuidad de las empresas y recuperación en caso de desastre</w:t>
      </w:r>
    </w:p>
    <w:p>
      <w:pPr>
        <w:pStyle w:val="BlockText"/>
      </w:pPr>
      <w:r>
        <w:rPr>
          <w:bCs/>
          <w:b/>
        </w:rPr>
        <w:t xml:space="preserve">Estatus legal:</w:t>
      </w:r>
      <w:r>
        <w:t xml:space="preserve"> </w:t>
      </w:r>
      <w:r>
        <w:t xml:space="preserve">Corregido Maestro Inglés para la consolidación. Este archivo controla el lenguaje de borrador anterior del Capítulo 90.</w:t>
      </w:r>
    </w:p>
    <w:bookmarkEnd w:id="835"/>
    <w:bookmarkStart w:id="836" w:name="requisito-88"/>
    <w:p>
      <w:pPr>
        <w:pStyle w:val="Heading2"/>
      </w:pPr>
      <w:r>
        <w:rPr>
          <w:rStyle w:val="SectionNumber"/>
        </w:rPr>
        <w:t xml:space="preserve">1.793</w:t>
      </w:r>
      <w:r>
        <w:tab/>
      </w:r>
      <w:r>
        <w:t xml:space="preserve">Requisito</w:t>
      </w:r>
    </w:p>
    <w:p>
      <w:pPr>
        <w:pStyle w:val="FirstParagraph"/>
      </w:pPr>
      <w:r>
        <w:t xml:space="preserve">Las organizaciones deben mantener arreglos de continuidad y recuperación proporcionados para los sistemas de IA de materiales para que los cortes, la corrupción, el fracaso de los proveedores, los incidentes cibernéticos, el comportamiento inseguro o la pérdida de servicios de apoyo no generen daños no gestionados ni impidan el cumplimiento.</w:t>
      </w:r>
    </w:p>
    <w:bookmarkEnd w:id="836"/>
    <w:bookmarkStart w:id="837" w:name="explicación-en-lenguaje-sencillo-85"/>
    <w:p>
      <w:pPr>
        <w:pStyle w:val="Heading2"/>
      </w:pPr>
      <w:r>
        <w:rPr>
          <w:rStyle w:val="SectionNumber"/>
        </w:rPr>
        <w:t xml:space="preserve">1.794</w:t>
      </w:r>
      <w:r>
        <w:tab/>
      </w:r>
      <w:r>
        <w:t xml:space="preserve">Explicación en lenguaje sencillo</w:t>
      </w:r>
    </w:p>
    <w:p>
      <w:pPr>
        <w:pStyle w:val="FirstParagraph"/>
      </w:pPr>
      <w:r>
        <w:t xml:space="preserve">La continuidad no se limita a restaurar servidores. La organización debe preservar la toma de decisiones segura, la supervisión humana, los registros, el modelo y la integridad de los datos, las configuraciones aprobadas y las protecciones de las personas afectadas mientras el servicio de IA esté degradado o no esté disponible.</w:t>
      </w:r>
    </w:p>
    <w:bookmarkEnd w:id="837"/>
    <w:bookmarkStart w:id="838" w:name="requisitos-de-continuidad"/>
    <w:p>
      <w:pPr>
        <w:pStyle w:val="Heading2"/>
      </w:pPr>
      <w:r>
        <w:rPr>
          <w:rStyle w:val="SectionNumber"/>
        </w:rPr>
        <w:t xml:space="preserve">1.795</w:t>
      </w:r>
      <w:r>
        <w:tab/>
      </w:r>
      <w:r>
        <w:t xml:space="preserve">Requisitos de continuidad</w:t>
      </w:r>
    </w:p>
    <w:p>
      <w:pPr>
        <w:pStyle w:val="FirstParagraph"/>
      </w:pPr>
      <w:r>
        <w:t xml:space="preserve">El plan debería abordar:</w:t>
      </w:r>
    </w:p>
    <w:p>
      <w:pPr>
        <w:numPr>
          <w:ilvl w:val="0"/>
          <w:numId w:val="1232"/>
        </w:numPr>
        <w:pStyle w:val="Compact"/>
      </w:pPr>
      <w:r>
        <w:t xml:space="preserve">procesos críticos, dependencias, prioridades de recuperación y tolerancias de impacto;</w:t>
      </w:r>
    </w:p>
    <w:p>
      <w:pPr>
        <w:numPr>
          <w:ilvl w:val="0"/>
          <w:numId w:val="1232"/>
        </w:numPr>
        <w:pStyle w:val="Compact"/>
      </w:pPr>
      <w:r>
        <w:t xml:space="preserve">degradación segura, retroceso manual, suspensión y cierre de emergencia;</w:t>
      </w:r>
    </w:p>
    <w:p>
      <w:pPr>
        <w:numPr>
          <w:ilvl w:val="0"/>
          <w:numId w:val="1232"/>
        </w:numPr>
        <w:pStyle w:val="Compact"/>
      </w:pPr>
      <w:r>
        <w:t xml:space="preserve">los objetivos relativos al tiempo de recuperación y al punto de recuperación;</w:t>
      </w:r>
    </w:p>
    <w:p>
      <w:pPr>
        <w:numPr>
          <w:ilvl w:val="0"/>
          <w:numId w:val="1232"/>
        </w:numPr>
        <w:pStyle w:val="Compact"/>
      </w:pPr>
      <w:r>
        <w:t xml:space="preserve">copia de seguridad de modelos, notificaciones, configuración, datos, registro y documentación;</w:t>
      </w:r>
    </w:p>
    <w:p>
      <w:pPr>
        <w:numPr>
          <w:ilvl w:val="0"/>
          <w:numId w:val="1232"/>
        </w:numPr>
        <w:pStyle w:val="Compact"/>
      </w:pPr>
      <w:r>
        <w:t xml:space="preserve">validación de la integridad antes de la restauración;</w:t>
      </w:r>
    </w:p>
    <w:p>
      <w:pPr>
        <w:numPr>
          <w:ilvl w:val="0"/>
          <w:numId w:val="1232"/>
        </w:numPr>
        <w:pStyle w:val="Compact"/>
      </w:pPr>
      <w:r>
        <w:t xml:space="preserve">cloud, API, proveedor de modelos, identidad, red y dependencia de fuentes de datos;</w:t>
      </w:r>
    </w:p>
    <w:p>
      <w:pPr>
        <w:numPr>
          <w:ilvl w:val="0"/>
          <w:numId w:val="1232"/>
        </w:numPr>
        <w:pStyle w:val="Compact"/>
      </w:pPr>
      <w:r>
        <w:t xml:space="preserve">proveedores alternativos, regiones, puntos finales o procesos humanos;</w:t>
      </w:r>
    </w:p>
    <w:p>
      <w:pPr>
        <w:numPr>
          <w:ilvl w:val="0"/>
          <w:numId w:val="1232"/>
        </w:numPr>
        <w:pStyle w:val="Compact"/>
      </w:pPr>
      <w:r>
        <w:t xml:space="preserve">mando de incidentes, comunicaciones, autoridad y notificaciones a las personas afectadas cuando sea necesario;</w:t>
      </w:r>
    </w:p>
    <w:p>
      <w:pPr>
        <w:numPr>
          <w:ilvl w:val="0"/>
          <w:numId w:val="1232"/>
        </w:numPr>
        <w:pStyle w:val="Compact"/>
      </w:pPr>
      <w:r>
        <w:t xml:space="preserve">pruebas de recuperación, retroceso, conciliación y seguimiento posterior a la restauración;</w:t>
      </w:r>
    </w:p>
    <w:p>
      <w:pPr>
        <w:numPr>
          <w:ilvl w:val="0"/>
          <w:numId w:val="1232"/>
        </w:numPr>
        <w:pStyle w:val="Compact"/>
      </w:pPr>
      <w:r>
        <w:t xml:space="preserve">lecciones aprendidas y medidas correctivas.</w:t>
      </w:r>
    </w:p>
    <w:bookmarkEnd w:id="838"/>
    <w:bookmarkStart w:id="839" w:name="ejemplo-de-globalway-83"/>
    <w:p>
      <w:pPr>
        <w:pStyle w:val="Heading2"/>
      </w:pPr>
      <w:r>
        <w:rPr>
          <w:rStyle w:val="SectionNumber"/>
        </w:rPr>
        <w:t xml:space="preserve">1.796</w:t>
      </w:r>
      <w:r>
        <w:tab/>
      </w:r>
      <w:r>
        <w:t xml:space="preserve">Ejemplo de GlobalWay</w:t>
      </w:r>
    </w:p>
    <w:p>
      <w:pPr>
        <w:pStyle w:val="FirstParagraph"/>
      </w:pPr>
      <w:r>
        <w:t xml:space="preserve">El servicio de selección de reclutamiento de GlobalWay no está disponible después de un corte de proveedor. Se suspende la clasificación automatizada, los revisores capacitados utilizan un proceso manual aprobado, se rastrean las decisiones pendientes, se preserva la evidencia requerida y el flujo de trabajo de IA se restaura sólo después de la versión, los datos, la configuración y la validación de control.</w:t>
      </w:r>
    </w:p>
    <w:bookmarkEnd w:id="839"/>
    <w:bookmarkStart w:id="840" w:name="actividad-de-control-84"/>
    <w:p>
      <w:pPr>
        <w:pStyle w:val="Heading2"/>
      </w:pPr>
      <w:r>
        <w:rPr>
          <w:rStyle w:val="SectionNumber"/>
        </w:rPr>
        <w:t xml:space="preserve">1.797</w:t>
      </w:r>
      <w:r>
        <w:tab/>
      </w:r>
      <w:r>
        <w:t xml:space="preserve">Actividad de control</w:t>
      </w:r>
    </w:p>
    <w:p>
      <w:pPr>
        <w:pStyle w:val="FirstParagraph"/>
      </w:pPr>
      <w:r>
        <w:t xml:space="preserve">Cada sistema de IA de material debe tener un plan de continuidad y recuperación vinculado a versiones antes de la aprobación de la producción. Los sistemas de alto riesgo requieren alternativas manuales probadas, autoridad de suspensión definida, procedimientos de preservación de pruebas y ejercicios de recuperación que cubran escenarios de proveedores y ciberfracasos.</w:t>
      </w:r>
    </w:p>
    <w:bookmarkEnd w:id="840"/>
    <w:bookmarkStart w:id="841" w:name="pruebas-89"/>
    <w:p>
      <w:pPr>
        <w:pStyle w:val="Heading2"/>
      </w:pPr>
      <w:r>
        <w:rPr>
          <w:rStyle w:val="SectionNumber"/>
        </w:rPr>
        <w:t xml:space="preserve">1.798</w:t>
      </w:r>
      <w:r>
        <w:tab/>
      </w:r>
      <w:r>
        <w:t xml:space="preserve">Pruebas</w:t>
      </w:r>
    </w:p>
    <w:p>
      <w:pPr>
        <w:numPr>
          <w:ilvl w:val="0"/>
          <w:numId w:val="1233"/>
        </w:numPr>
        <w:pStyle w:val="Compact"/>
      </w:pPr>
      <w:r>
        <w:t xml:space="preserve">análisis de impacto empresarial y dependencia;</w:t>
      </w:r>
    </w:p>
    <w:p>
      <w:pPr>
        <w:numPr>
          <w:ilvl w:val="0"/>
          <w:numId w:val="1233"/>
        </w:numPr>
        <w:pStyle w:val="Compact"/>
      </w:pPr>
      <w:r>
        <w:t xml:space="preserve">el plan de continuidad y recuperación;</w:t>
      </w:r>
    </w:p>
    <w:p>
      <w:pPr>
        <w:numPr>
          <w:ilvl w:val="0"/>
          <w:numId w:val="1233"/>
        </w:numPr>
        <w:pStyle w:val="Compact"/>
      </w:pPr>
      <w:r>
        <w:t xml:space="preserve">registros de copias de seguridad y restauración;</w:t>
      </w:r>
    </w:p>
    <w:p>
      <w:pPr>
        <w:numPr>
          <w:ilvl w:val="0"/>
          <w:numId w:val="1233"/>
        </w:numPr>
        <w:pStyle w:val="Compact"/>
      </w:pPr>
      <w:r>
        <w:t xml:space="preserve">procedimiento manual de recuperación;</w:t>
      </w:r>
    </w:p>
    <w:p>
      <w:pPr>
        <w:numPr>
          <w:ilvl w:val="0"/>
          <w:numId w:val="1233"/>
        </w:numPr>
        <w:pStyle w:val="Compact"/>
      </w:pPr>
      <w:r>
        <w:t xml:space="preserve">los escenarios de ejercicio y los resultados;</w:t>
      </w:r>
    </w:p>
    <w:p>
      <w:pPr>
        <w:numPr>
          <w:ilvl w:val="0"/>
          <w:numId w:val="1233"/>
        </w:numPr>
        <w:pStyle w:val="Compact"/>
      </w:pPr>
      <w:r>
        <w:t xml:space="preserve">pruebas de integridad y reconciliación;</w:t>
      </w:r>
    </w:p>
    <w:p>
      <w:pPr>
        <w:numPr>
          <w:ilvl w:val="0"/>
          <w:numId w:val="1233"/>
        </w:numPr>
        <w:pStyle w:val="Compact"/>
      </w:pPr>
      <w:r>
        <w:t xml:space="preserve">comunicaciones y registros de escalada;</w:t>
      </w:r>
    </w:p>
    <w:p>
      <w:pPr>
        <w:numPr>
          <w:ilvl w:val="0"/>
          <w:numId w:val="1233"/>
        </w:numPr>
        <w:pStyle w:val="Compact"/>
      </w:pPr>
      <w:r>
        <w:t xml:space="preserve">medidas de rehabilitación y lecciones aprendidas.</w:t>
      </w:r>
    </w:p>
    <w:bookmarkEnd w:id="841"/>
    <w:bookmarkStart w:id="842" w:name="prueba-de-auditoría-85"/>
    <w:p>
      <w:pPr>
        <w:pStyle w:val="Heading2"/>
      </w:pPr>
      <w:r>
        <w:rPr>
          <w:rStyle w:val="SectionNumber"/>
        </w:rPr>
        <w:t xml:space="preserve">1.799</w:t>
      </w:r>
      <w:r>
        <w:tab/>
      </w:r>
      <w:r>
        <w:t xml:space="preserve">Prueba de auditoría</w:t>
      </w:r>
    </w:p>
    <w:p>
      <w:pPr>
        <w:pStyle w:val="FirstParagraph"/>
      </w:pPr>
      <w:r>
        <w:t xml:space="preserve">Comprobar que los planes cubren activos y dependencias específicos de IA, protección manual de las personas afectadas, los objetivos de recuperación fueron probados, los sistemas restaurados fueron validados antes de su uso, y las brechas identificadas fueron reparadas.</w:t>
      </w:r>
    </w:p>
    <w:bookmarkEnd w:id="842"/>
    <w:bookmarkStart w:id="843" w:name="referencias-jurídicas-primarias-58"/>
    <w:p>
      <w:pPr>
        <w:pStyle w:val="Heading2"/>
      </w:pPr>
      <w:r>
        <w:rPr>
          <w:rStyle w:val="SectionNumber"/>
        </w:rPr>
        <w:t xml:space="preserve">1.800</w:t>
      </w:r>
      <w:r>
        <w:tab/>
      </w:r>
      <w:r>
        <w:t xml:space="preserve">Referencias jurídicas primarias</w:t>
      </w:r>
    </w:p>
    <w:p>
      <w:pPr>
        <w:numPr>
          <w:ilvl w:val="0"/>
          <w:numId w:val="1234"/>
        </w:numPr>
        <w:pStyle w:val="Compact"/>
      </w:pPr>
      <w:r>
        <w:t xml:space="preserve">Reglamento (UE) 2024/1689, modificado: disposiciones aplicables sobre gestión de riesgos, supervisión humana, precisión, robustez, seguridad cibernética, tala, seguimiento, incidentes, medidas correctivas y riesgos sistémicos.</w:t>
      </w:r>
    </w:p>
    <w:p>
      <w:pPr>
        <w:numPr>
          <w:ilvl w:val="0"/>
          <w:numId w:val="1234"/>
        </w:numPr>
        <w:pStyle w:val="Compact"/>
      </w:pPr>
      <w:r>
        <w:t xml:space="preserve">Ley de resiliencia y continuidad del sector aplicable.</w:t>
      </w:r>
    </w:p>
    <w:p>
      <w:pPr>
        <w:numPr>
          <w:ilvl w:val="0"/>
          <w:numId w:val="1234"/>
        </w:numPr>
        <w:pStyle w:val="Compact"/>
      </w:pPr>
      <w:r>
        <w:t xml:space="preserve">Los actuales controles consolidados de texto EUR-Lex sobre los resúmenes antiguos.</w:t>
      </w:r>
    </w:p>
    <w:bookmarkEnd w:id="843"/>
    <w:bookmarkStart w:id="844" w:name="X13f4ec63da5cdfed667a3903cd8c74fb82553f9"/>
    <w:p>
      <w:pPr>
        <w:pStyle w:val="Heading2"/>
      </w:pPr>
      <w:r>
        <w:rPr>
          <w:rStyle w:val="SectionNumber"/>
        </w:rPr>
        <w:t xml:space="preserve">1.801</w:t>
      </w:r>
      <w:r>
        <w:tab/>
      </w:r>
      <w:r>
        <w:t xml:space="preserve">Capítulo 91 — Gobernanza de los equipos rojos y de los ensayos de penetración</w:t>
      </w:r>
    </w:p>
    <w:p>
      <w:pPr>
        <w:pStyle w:val="BlockText"/>
      </w:pPr>
      <w:r>
        <w:rPr>
          <w:bCs/>
          <w:b/>
        </w:rPr>
        <w:t xml:space="preserve">Estatus legal:</w:t>
      </w:r>
      <w:r>
        <w:t xml:space="preserve"> </w:t>
      </w:r>
      <w:r>
        <w:t xml:space="preserve">Corregido Maestro Inglés para la consolidación. Este archivo controla el lenguaje de borrador anterior del Capítulo 91.</w:t>
      </w:r>
    </w:p>
    <w:bookmarkEnd w:id="844"/>
    <w:bookmarkStart w:id="845" w:name="requisito-89"/>
    <w:p>
      <w:pPr>
        <w:pStyle w:val="Heading2"/>
      </w:pPr>
      <w:r>
        <w:rPr>
          <w:rStyle w:val="SectionNumber"/>
        </w:rPr>
        <w:t xml:space="preserve">1.802</w:t>
      </w:r>
      <w:r>
        <w:tab/>
      </w:r>
      <w:r>
        <w:t xml:space="preserve">Requisito</w:t>
      </w:r>
    </w:p>
    <w:p>
      <w:pPr>
        <w:pStyle w:val="FirstParagraph"/>
      </w:pPr>
      <w:r>
        <w:t xml:space="preserve">Las organizaciones deben regir las actividades de equipos rojos, contradictorios y de pruebas de penetración de la IA para que las pruebas estén autorizadas, proporcionadas, competentes, basadas en pruebas, conformes con la ley y relacionadas con las decisiones de rehabilitación y liberación.</w:t>
      </w:r>
    </w:p>
    <w:bookmarkEnd w:id="845"/>
    <w:bookmarkStart w:id="846" w:name="explicación-en-lenguaje-sencillo-86"/>
    <w:p>
      <w:pPr>
        <w:pStyle w:val="Heading2"/>
      </w:pPr>
      <w:r>
        <w:rPr>
          <w:rStyle w:val="SectionNumber"/>
        </w:rPr>
        <w:t xml:space="preserve">1.803</w:t>
      </w:r>
      <w:r>
        <w:tab/>
      </w:r>
      <w:r>
        <w:t xml:space="preserve">Explicación en lenguaje sencillo</w:t>
      </w:r>
    </w:p>
    <w:p>
      <w:pPr>
        <w:pStyle w:val="FirstParagraph"/>
      </w:pPr>
      <w:r>
        <w:t xml:space="preserve">Pruebas Los sistemas de IA pueden revelar seguridad, seguridad, sesgo, privacidad, manipulación, mal uso y fallas de supervisión. Pruebas mal gobernadas pueden por sí mismas exponer datos, interrumpir servicios, crear contenido dañino o violar leyes y contratos. Alcance, autoridad, salvaguardias, pruebas y seguimiento deben ser explícitos.</w:t>
      </w:r>
    </w:p>
    <w:bookmarkEnd w:id="846"/>
    <w:bookmarkStart w:id="847" w:name="necesidades-en-materia-de-gobernanza-1"/>
    <w:p>
      <w:pPr>
        <w:pStyle w:val="Heading2"/>
      </w:pPr>
      <w:r>
        <w:rPr>
          <w:rStyle w:val="SectionNumber"/>
        </w:rPr>
        <w:t xml:space="preserve">1.804</w:t>
      </w:r>
      <w:r>
        <w:tab/>
      </w:r>
      <w:r>
        <w:t xml:space="preserve">Necesidades en materia de gobernanza</w:t>
      </w:r>
    </w:p>
    <w:p>
      <w:pPr>
        <w:pStyle w:val="FirstParagraph"/>
      </w:pPr>
      <w:r>
        <w:t xml:space="preserve">Definir como mínimo:</w:t>
      </w:r>
    </w:p>
    <w:p>
      <w:pPr>
        <w:numPr>
          <w:ilvl w:val="0"/>
          <w:numId w:val="1235"/>
        </w:numPr>
        <w:pStyle w:val="Compact"/>
      </w:pPr>
      <w:r>
        <w:t xml:space="preserve">objetivos, alcance, sistemas, versiones, entornos y acciones prohibidas;</w:t>
      </w:r>
    </w:p>
    <w:p>
      <w:pPr>
        <w:numPr>
          <w:ilvl w:val="0"/>
          <w:numId w:val="1235"/>
        </w:numPr>
        <w:pStyle w:val="Compact"/>
      </w:pPr>
      <w:r>
        <w:t xml:space="preserve">la autorización escrita, las normas para entablar combate y las condiciones de detención;</w:t>
      </w:r>
    </w:p>
    <w:p>
      <w:pPr>
        <w:numPr>
          <w:ilvl w:val="0"/>
          <w:numId w:val="1235"/>
        </w:numPr>
        <w:pStyle w:val="Compact"/>
      </w:pPr>
      <w:r>
        <w:t xml:space="preserve">independencia, competencia, conflictos y confidencialidad de los evaluadores;</w:t>
      </w:r>
    </w:p>
    <w:p>
      <w:pPr>
        <w:numPr>
          <w:ilvl w:val="0"/>
          <w:numId w:val="1235"/>
        </w:numPr>
        <w:pStyle w:val="Compact"/>
      </w:pPr>
      <w:r>
        <w:t xml:space="preserve">protección de la intimidad, la seguridad, el empleo, la propiedad intelectual y la manipulación de datos;</w:t>
      </w:r>
    </w:p>
    <w:p>
      <w:pPr>
        <w:numPr>
          <w:ilvl w:val="0"/>
          <w:numId w:val="1235"/>
        </w:numPr>
        <w:pStyle w:val="Compact"/>
      </w:pPr>
      <w:r>
        <w:t xml:space="preserve">escenarios que abarquen la inyección rápida, el envenenamiento, la evasión, la extracción, el uso inseguro de herramientas, los productos nocivos, los sesgos y el bypass de control;</w:t>
      </w:r>
    </w:p>
    <w:p>
      <w:pPr>
        <w:numPr>
          <w:ilvl w:val="0"/>
          <w:numId w:val="1235"/>
        </w:numPr>
        <w:pStyle w:val="Compact"/>
      </w:pPr>
      <w:r>
        <w:t xml:space="preserve">las restricciones y el seguimiento de los ensayos de producción;</w:t>
      </w:r>
    </w:p>
    <w:p>
      <w:pPr>
        <w:numPr>
          <w:ilvl w:val="0"/>
          <w:numId w:val="1235"/>
        </w:numPr>
        <w:pStyle w:val="Compact"/>
      </w:pPr>
      <w:r>
        <w:t xml:space="preserve">captura de pruebas, criterios de severidad, reproducibilidad e identificación de la versión afectada;</w:t>
      </w:r>
    </w:p>
    <w:p>
      <w:pPr>
        <w:numPr>
          <w:ilvl w:val="0"/>
          <w:numId w:val="1235"/>
        </w:numPr>
        <w:pStyle w:val="Compact"/>
      </w:pPr>
      <w:r>
        <w:t xml:space="preserve">la remediación de la propiedad, los plazos, los controles compensatorios y las nuevas pruebas;</w:t>
      </w:r>
    </w:p>
    <w:p>
      <w:pPr>
        <w:numPr>
          <w:ilvl w:val="0"/>
          <w:numId w:val="1235"/>
        </w:numPr>
        <w:pStyle w:val="Compact"/>
      </w:pPr>
      <w:r>
        <w:t xml:space="preserve">la intensificación de los hallazgos críticos, los incidentes o los acontecimientos notificables;</w:t>
      </w:r>
    </w:p>
    <w:p>
      <w:pPr>
        <w:numPr>
          <w:ilvl w:val="0"/>
          <w:numId w:val="1235"/>
        </w:numPr>
        <w:pStyle w:val="Compact"/>
      </w:pPr>
      <w:r>
        <w:t xml:space="preserve">aprobación del cierre y experiencia adquirida.</w:t>
      </w:r>
    </w:p>
    <w:bookmarkEnd w:id="847"/>
    <w:bookmarkStart w:id="848" w:name="ejemplo-de-globalway-84"/>
    <w:p>
      <w:pPr>
        <w:pStyle w:val="Heading2"/>
      </w:pPr>
      <w:r>
        <w:rPr>
          <w:rStyle w:val="SectionNumber"/>
        </w:rPr>
        <w:t xml:space="preserve">1.805</w:t>
      </w:r>
      <w:r>
        <w:tab/>
      </w:r>
      <w:r>
        <w:t xml:space="preserve">Ejemplo de GlobalWay</w:t>
      </w:r>
    </w:p>
    <w:p>
      <w:pPr>
        <w:pStyle w:val="FirstParagraph"/>
      </w:pPr>
      <w:r>
        <w:t xml:space="preserve">GlobalWay autoriza a un equipo rojo independiente a probar un agente de asistencia para viajes en un entorno aislado. El equipo evalúa la inyección inmediata indirecta, cambios de reserva no autorizados, fugas de datos, escalada de privilegios y derivación de salvaguardias.</w:t>
      </w:r>
    </w:p>
    <w:bookmarkEnd w:id="848"/>
    <w:bookmarkStart w:id="849" w:name="actividad-de-control-85"/>
    <w:p>
      <w:pPr>
        <w:pStyle w:val="Heading2"/>
      </w:pPr>
      <w:r>
        <w:rPr>
          <w:rStyle w:val="SectionNumber"/>
        </w:rPr>
        <w:t xml:space="preserve">1.806</w:t>
      </w:r>
      <w:r>
        <w:tab/>
      </w:r>
      <w:r>
        <w:t xml:space="preserve">Actividad de control</w:t>
      </w:r>
    </w:p>
    <w:p>
      <w:pPr>
        <w:pStyle w:val="FirstParagraph"/>
      </w:pPr>
      <w:r>
        <w:t xml:space="preserve">Los sistemas de IA de materiales deben someterse a pruebas contradictorias basadas en el riesgo antes de su liberación y después de cambios significativos. Los ensayos deben regirse por normas de intervención aprobadas y estar vinculados a la gestión de la vulnerabilidad, la respuesta a incidentes, la gestión de riesgos, la documentación técnica y las puertas de liberación.</w:t>
      </w:r>
    </w:p>
    <w:bookmarkEnd w:id="849"/>
    <w:bookmarkStart w:id="850" w:name="pruebas-90"/>
    <w:p>
      <w:pPr>
        <w:pStyle w:val="Heading2"/>
      </w:pPr>
      <w:r>
        <w:rPr>
          <w:rStyle w:val="SectionNumber"/>
        </w:rPr>
        <w:t xml:space="preserve">1.807</w:t>
      </w:r>
      <w:r>
        <w:tab/>
      </w:r>
      <w:r>
        <w:t xml:space="preserve">Pruebas</w:t>
      </w:r>
    </w:p>
    <w:p>
      <w:pPr>
        <w:numPr>
          <w:ilvl w:val="0"/>
          <w:numId w:val="1236"/>
        </w:numPr>
        <w:pStyle w:val="Compact"/>
      </w:pPr>
      <w:r>
        <w:t xml:space="preserve">el plan de ensayo aprobado y la autorización;</w:t>
      </w:r>
    </w:p>
    <w:p>
      <w:pPr>
        <w:numPr>
          <w:ilvl w:val="0"/>
          <w:numId w:val="1236"/>
        </w:numPr>
        <w:pStyle w:val="Compact"/>
      </w:pPr>
      <w:r>
        <w:t xml:space="preserve">las cualificaciones de los evaluadores y la evaluación de la independencia;</w:t>
      </w:r>
    </w:p>
    <w:p>
      <w:pPr>
        <w:numPr>
          <w:ilvl w:val="0"/>
          <w:numId w:val="1236"/>
        </w:numPr>
        <w:pStyle w:val="Compact"/>
      </w:pPr>
      <w:r>
        <w:t xml:space="preserve">las normas de intervención y las condiciones de parada;</w:t>
      </w:r>
    </w:p>
    <w:p>
      <w:pPr>
        <w:numPr>
          <w:ilvl w:val="0"/>
          <w:numId w:val="1236"/>
        </w:numPr>
        <w:pStyle w:val="Compact"/>
      </w:pPr>
      <w:r>
        <w:t xml:space="preserve">escenarios, métodos y datos de ensayo;</w:t>
      </w:r>
    </w:p>
    <w:p>
      <w:pPr>
        <w:numPr>
          <w:ilvl w:val="0"/>
          <w:numId w:val="1236"/>
        </w:numPr>
        <w:pStyle w:val="Compact"/>
      </w:pPr>
      <w:r>
        <w:t xml:space="preserve">los resultados y la justificación de la gravedad;</w:t>
      </w:r>
    </w:p>
    <w:p>
      <w:pPr>
        <w:numPr>
          <w:ilvl w:val="0"/>
          <w:numId w:val="1236"/>
        </w:numPr>
        <w:pStyle w:val="Compact"/>
      </w:pPr>
      <w:r>
        <w:t xml:space="preserve">la rehabilitación y la compensación de los controles;</w:t>
      </w:r>
    </w:p>
    <w:p>
      <w:pPr>
        <w:numPr>
          <w:ilvl w:val="0"/>
          <w:numId w:val="1236"/>
        </w:numPr>
        <w:pStyle w:val="Compact"/>
      </w:pPr>
      <w:r>
        <w:t xml:space="preserve">pruebas de reexamen y cierre;</w:t>
      </w:r>
    </w:p>
    <w:p>
      <w:pPr>
        <w:numPr>
          <w:ilvl w:val="0"/>
          <w:numId w:val="1236"/>
        </w:numPr>
        <w:pStyle w:val="Compact"/>
      </w:pPr>
      <w:r>
        <w:t xml:space="preserve">Registros de escalada de ejecutivos.</w:t>
      </w:r>
    </w:p>
    <w:bookmarkEnd w:id="850"/>
    <w:bookmarkStart w:id="851" w:name="prueba-de-auditoría-86"/>
    <w:p>
      <w:pPr>
        <w:pStyle w:val="Heading2"/>
      </w:pPr>
      <w:r>
        <w:rPr>
          <w:rStyle w:val="SectionNumber"/>
        </w:rPr>
        <w:t xml:space="preserve">1.808</w:t>
      </w:r>
      <w:r>
        <w:tab/>
      </w:r>
      <w:r>
        <w:t xml:space="preserve">Prueba de auditoría</w:t>
      </w:r>
    </w:p>
    <w:p>
      <w:pPr>
        <w:pStyle w:val="FirstParagraph"/>
      </w:pPr>
      <w:r>
        <w:t xml:space="preserve">Seleccione una muestra de pruebas de equipo rojo y penetración. Confirme la autorización, el alcance, la competencia, las salvaguardias, escenarios realistas específicos de la IA, la calidad de la evidencia, la rehabilitación oportuna, la reprueba independiente y las decisiones de liberación consistentes con el riesgo no resuelto.</w:t>
      </w:r>
    </w:p>
    <w:bookmarkEnd w:id="851"/>
    <w:bookmarkStart w:id="852" w:name="referencias-jurídicas-primarias-59"/>
    <w:p>
      <w:pPr>
        <w:pStyle w:val="Heading2"/>
      </w:pPr>
      <w:r>
        <w:rPr>
          <w:rStyle w:val="SectionNumber"/>
        </w:rPr>
        <w:t xml:space="preserve">1.809</w:t>
      </w:r>
      <w:r>
        <w:tab/>
      </w:r>
      <w:r>
        <w:t xml:space="preserve">Referencias jurídicas primarias</w:t>
      </w:r>
    </w:p>
    <w:p>
      <w:pPr>
        <w:numPr>
          <w:ilvl w:val="0"/>
          <w:numId w:val="1237"/>
        </w:numPr>
        <w:pStyle w:val="Compact"/>
      </w:pPr>
      <w:r>
        <w:t xml:space="preserve">Reglamento (UE) 2024/1689, modificado: disposiciones aplicables en materia de gestión de riesgos, gobernanza de los datos, supervisión humana, precisión, robustez, seguridad cibernética, evaluación de modelos, ensayos contradictorios, seguimiento e incidentes.</w:t>
      </w:r>
    </w:p>
    <w:p>
      <w:pPr>
        <w:numPr>
          <w:ilvl w:val="0"/>
          <w:numId w:val="1237"/>
        </w:numPr>
        <w:pStyle w:val="Compact"/>
      </w:pPr>
      <w:r>
        <w:t xml:space="preserve">Los actuales controles consolidados de texto EUR-Lex sobre los resúmenes antiguos.</w:t>
      </w:r>
    </w:p>
    <w:p>
      <w:pPr>
        <w:numPr>
          <w:ilvl w:val="0"/>
          <w:numId w:val="1237"/>
        </w:numPr>
        <w:pStyle w:val="Compact"/>
      </w:pPr>
      <w:r>
        <w:t xml:space="preserve">Las normas y orientaciones de los ensayos de seguridad no son vinculantes a menos que se incorporen a través de otro requisito vinculante.</w:t>
      </w:r>
    </w:p>
    <w:bookmarkEnd w:id="852"/>
    <w:bookmarkStart w:id="853" w:name="X028e0263e93b9888263c816b9bce80dbabc598b"/>
    <w:p>
      <w:pPr>
        <w:pStyle w:val="Heading2"/>
      </w:pPr>
      <w:r>
        <w:rPr>
          <w:rStyle w:val="SectionNumber"/>
        </w:rPr>
        <w:t xml:space="preserve">1.810</w:t>
      </w:r>
      <w:r>
        <w:tab/>
      </w:r>
      <w:r>
        <w:t xml:space="preserve">Capítulo 92 — Evaluación del riesgo inherente</w:t>
      </w:r>
    </w:p>
    <w:p>
      <w:pPr>
        <w:pStyle w:val="BlockText"/>
      </w:pPr>
      <w:r>
        <w:rPr>
          <w:bCs/>
          <w:b/>
        </w:rPr>
        <w:t xml:space="preserve">Estatus legal:</w:t>
      </w:r>
      <w:r>
        <w:t xml:space="preserve"> </w:t>
      </w:r>
      <w:r>
        <w:t xml:space="preserve">Corregido Maestro Inglés para la consolidación. Este archivo controla el lenguaje de borrador anterior del Capítulo 92.</w:t>
      </w:r>
    </w:p>
    <w:bookmarkEnd w:id="853"/>
    <w:bookmarkStart w:id="854" w:name="requisito-90"/>
    <w:p>
      <w:pPr>
        <w:pStyle w:val="Heading2"/>
      </w:pPr>
      <w:r>
        <w:rPr>
          <w:rStyle w:val="SectionNumber"/>
        </w:rPr>
        <w:t xml:space="preserve">1.811</w:t>
      </w:r>
      <w:r>
        <w:tab/>
      </w:r>
      <w:r>
        <w:t xml:space="preserve">Requisito</w:t>
      </w:r>
    </w:p>
    <w:p>
      <w:pPr>
        <w:pStyle w:val="FirstParagraph"/>
      </w:pPr>
      <w:r>
        <w:t xml:space="preserve">Las organizaciones deben evaluar el riesgo inherente de cada sistema o modelo de IA antes de depender de controles atenuantes. La evaluación debe ser específica para el propósito previsto, rol legal, versión de producción, población afectada, jurisdicción, consecuencia de la decisión, contexto de despliegue y etapa del ciclo de vida.</w:t>
      </w:r>
    </w:p>
    <w:bookmarkEnd w:id="854"/>
    <w:bookmarkStart w:id="855" w:name="explicación-en-lenguaje-sencillo-87"/>
    <w:p>
      <w:pPr>
        <w:pStyle w:val="Heading2"/>
      </w:pPr>
      <w:r>
        <w:rPr>
          <w:rStyle w:val="SectionNumber"/>
        </w:rPr>
        <w:t xml:space="preserve">1.812</w:t>
      </w:r>
      <w:r>
        <w:tab/>
      </w:r>
      <w:r>
        <w:t xml:space="preserve">Explicación en lenguaje sencillo</w:t>
      </w:r>
    </w:p>
    <w:p>
      <w:pPr>
        <w:pStyle w:val="FirstParagraph"/>
      </w:pPr>
      <w:r>
        <w:t xml:space="preserve">El riesgo inherente es la exposición que existe antes de considerar los controles. Es un concepto de gestión del riesgo empresarial, no una clasificación legal de la Ley de IA. Un sistema puede estar legalmente fuera de la categoría de alto riesgo y todavía presentar un riesgo significativo de privacidad, discriminación, seguridad, funcionamiento o reputación.</w:t>
      </w:r>
    </w:p>
    <w:bookmarkEnd w:id="855"/>
    <w:bookmarkStart w:id="856" w:name="dimensiones-de-la-evaluación"/>
    <w:p>
      <w:pPr>
        <w:pStyle w:val="Heading2"/>
      </w:pPr>
      <w:r>
        <w:rPr>
          <w:rStyle w:val="SectionNumber"/>
        </w:rPr>
        <w:t xml:space="preserve">1.813</w:t>
      </w:r>
      <w:r>
        <w:tab/>
      </w:r>
      <w:r>
        <w:t xml:space="preserve">Dimensiones de la evaluación</w:t>
      </w:r>
    </w:p>
    <w:p>
      <w:pPr>
        <w:pStyle w:val="FirstParagraph"/>
      </w:pPr>
      <w:r>
        <w:t xml:space="preserve">Evaluar como mínimo:</w:t>
      </w:r>
    </w:p>
    <w:p>
      <w:pPr>
        <w:numPr>
          <w:ilvl w:val="0"/>
          <w:numId w:val="1238"/>
        </w:numPr>
        <w:pStyle w:val="Compact"/>
      </w:pPr>
      <w:r>
        <w:t xml:space="preserve">gravedad y probabilidad de daño;</w:t>
      </w:r>
    </w:p>
    <w:p>
      <w:pPr>
        <w:numPr>
          <w:ilvl w:val="0"/>
          <w:numId w:val="1238"/>
        </w:numPr>
        <w:pStyle w:val="Compact"/>
      </w:pPr>
      <w:r>
        <w:t xml:space="preserve">la escala y el número de personas afectadas;</w:t>
      </w:r>
    </w:p>
    <w:p>
      <w:pPr>
        <w:numPr>
          <w:ilvl w:val="0"/>
          <w:numId w:val="1238"/>
        </w:numPr>
        <w:pStyle w:val="Compact"/>
      </w:pPr>
      <w:r>
        <w:t xml:space="preserve">reversibilidad y detectabilidad;</w:t>
      </w:r>
    </w:p>
    <w:p>
      <w:pPr>
        <w:numPr>
          <w:ilvl w:val="0"/>
          <w:numId w:val="1238"/>
        </w:numPr>
        <w:pStyle w:val="Compact"/>
      </w:pPr>
      <w:r>
        <w:t xml:space="preserve">vulnerabilidad de los grupos afectados;</w:t>
      </w:r>
    </w:p>
    <w:p>
      <w:pPr>
        <w:numPr>
          <w:ilvl w:val="0"/>
          <w:numId w:val="1238"/>
        </w:numPr>
        <w:pStyle w:val="Compact"/>
      </w:pPr>
      <w:r>
        <w:t xml:space="preserve">impacto en los derechos fundamentales, la seguridad, la intimidad, la seguridad, la igualdad, la autonomía y el acceso a los servicios;</w:t>
      </w:r>
    </w:p>
    <w:p>
      <w:pPr>
        <w:numPr>
          <w:ilvl w:val="0"/>
          <w:numId w:val="1238"/>
        </w:numPr>
        <w:pStyle w:val="Compact"/>
      </w:pPr>
      <w:r>
        <w:t xml:space="preserve">las consecuencias de la decisión y el grado de automatización;</w:t>
      </w:r>
    </w:p>
    <w:p>
      <w:pPr>
        <w:numPr>
          <w:ilvl w:val="0"/>
          <w:numId w:val="1238"/>
        </w:numPr>
        <w:pStyle w:val="Compact"/>
      </w:pPr>
      <w:r>
        <w:t xml:space="preserve">complejidad del modelo, opacidad, incertidumbre y dependencia;</w:t>
      </w:r>
    </w:p>
    <w:p>
      <w:pPr>
        <w:numPr>
          <w:ilvl w:val="0"/>
          <w:numId w:val="1238"/>
        </w:numPr>
        <w:pStyle w:val="Compact"/>
      </w:pPr>
      <w:r>
        <w:t xml:space="preserve">sensibilidad, procedencia, calidad y representatividad de los datos;</w:t>
      </w:r>
    </w:p>
    <w:p>
      <w:pPr>
        <w:numPr>
          <w:ilvl w:val="0"/>
          <w:numId w:val="1238"/>
        </w:numPr>
        <w:pStyle w:val="Compact"/>
      </w:pPr>
      <w:r>
        <w:t xml:space="preserve">uso indebido previsible, condiciones anormales y efectos de interacción;</w:t>
      </w:r>
    </w:p>
    <w:p>
      <w:pPr>
        <w:numPr>
          <w:ilvl w:val="0"/>
          <w:numId w:val="1238"/>
        </w:numPr>
        <w:pStyle w:val="Compact"/>
      </w:pPr>
      <w:r>
        <w:t xml:space="preserve">las dependencias geográficas, sectoriales, legales y de proveedores;</w:t>
      </w:r>
    </w:p>
    <w:p>
      <w:pPr>
        <w:numPr>
          <w:ilvl w:val="0"/>
          <w:numId w:val="1238"/>
        </w:numPr>
        <w:pStyle w:val="Compact"/>
      </w:pPr>
      <w:r>
        <w:t xml:space="preserve">incertidumbre, lagunas en la evidencia y suposiciones.</w:t>
      </w:r>
    </w:p>
    <w:bookmarkEnd w:id="856"/>
    <w:bookmarkStart w:id="857" w:name="ejemplo-de-globalway-85"/>
    <w:p>
      <w:pPr>
        <w:pStyle w:val="Heading2"/>
      </w:pPr>
      <w:r>
        <w:rPr>
          <w:rStyle w:val="SectionNumber"/>
        </w:rPr>
        <w:t xml:space="preserve">1.814</w:t>
      </w:r>
      <w:r>
        <w:tab/>
      </w:r>
      <w:r>
        <w:t xml:space="preserve">Ejemplo de GlobalWay</w:t>
      </w:r>
    </w:p>
    <w:p>
      <w:pPr>
        <w:pStyle w:val="FirstParagraph"/>
      </w:pPr>
      <w:r>
        <w:t xml:space="preserve">GlobalWay evalúa un sistema de selección de la contratación de IA antes de revisar los controles existentes. La evaluación inherente considera las consecuencias para el empleo, la vulnerabilidad de los solicitantes, la posible discriminación indirecta, la sensibilidad a los datos, el sesgo de automatización, la dependencia de los proveedores, los límites de explicabilidad y el número de Estados miembros en los que el sistema funcionará.</w:t>
      </w:r>
    </w:p>
    <w:bookmarkEnd w:id="857"/>
    <w:bookmarkStart w:id="858" w:name="actividad-de-control-86"/>
    <w:p>
      <w:pPr>
        <w:pStyle w:val="Heading2"/>
      </w:pPr>
      <w:r>
        <w:rPr>
          <w:rStyle w:val="SectionNumber"/>
        </w:rPr>
        <w:t xml:space="preserve">1.815</w:t>
      </w:r>
      <w:r>
        <w:tab/>
      </w:r>
      <w:r>
        <w:t xml:space="preserve">Actividad de control</w:t>
      </w:r>
    </w:p>
    <w:p>
      <w:pPr>
        <w:pStyle w:val="FirstParagraph"/>
      </w:pPr>
      <w:r>
        <w:t xml:space="preserve">La función de riesgo de IA debe mantener una metodología de riesgo inherente aprobada y requerir una evaluación completa antes de la adquisición, aprobación del desarrollo, piloto o ampliación de material. La calificación inherente no debe reducirse porque los controles están planificados pero aún no se han aplicado o probado.</w:t>
      </w:r>
    </w:p>
    <w:bookmarkEnd w:id="858"/>
    <w:bookmarkStart w:id="859" w:name="pruebas-91"/>
    <w:p>
      <w:pPr>
        <w:pStyle w:val="Heading2"/>
      </w:pPr>
      <w:r>
        <w:rPr>
          <w:rStyle w:val="SectionNumber"/>
        </w:rPr>
        <w:t xml:space="preserve">1.816</w:t>
      </w:r>
      <w:r>
        <w:tab/>
      </w:r>
      <w:r>
        <w:t xml:space="preserve">Pruebas</w:t>
      </w:r>
    </w:p>
    <w:p>
      <w:pPr>
        <w:numPr>
          <w:ilvl w:val="0"/>
          <w:numId w:val="1239"/>
        </w:numPr>
        <w:pStyle w:val="Compact"/>
      </w:pPr>
      <w:r>
        <w:t xml:space="preserve">metodología y criterios de calificación aprobados;</w:t>
      </w:r>
    </w:p>
    <w:p>
      <w:pPr>
        <w:numPr>
          <w:ilvl w:val="0"/>
          <w:numId w:val="1239"/>
        </w:numPr>
        <w:pStyle w:val="Compact"/>
      </w:pPr>
      <w:r>
        <w:t xml:space="preserve">identificador del sistema y de la versión;</w:t>
      </w:r>
    </w:p>
    <w:p>
      <w:pPr>
        <w:numPr>
          <w:ilvl w:val="0"/>
          <w:numId w:val="1239"/>
        </w:numPr>
        <w:pStyle w:val="Compact"/>
      </w:pPr>
      <w:r>
        <w:t xml:space="preserve">la finalidad prevista y el historial jurídico;</w:t>
      </w:r>
    </w:p>
    <w:p>
      <w:pPr>
        <w:numPr>
          <w:ilvl w:val="0"/>
          <w:numId w:val="1239"/>
        </w:numPr>
        <w:pStyle w:val="Compact"/>
      </w:pPr>
      <w:r>
        <w:t xml:space="preserve">el impacto, la probabilidad, la escala, la reversibilidad y el análisis de incertidumbre;</w:t>
      </w:r>
    </w:p>
    <w:p>
      <w:pPr>
        <w:numPr>
          <w:ilvl w:val="0"/>
          <w:numId w:val="1239"/>
        </w:numPr>
        <w:pStyle w:val="Compact"/>
      </w:pPr>
      <w:r>
        <w:t xml:space="preserve">análisis de personas afectadas y grupos vulnerables;</w:t>
      </w:r>
    </w:p>
    <w:p>
      <w:pPr>
        <w:numPr>
          <w:ilvl w:val="0"/>
          <w:numId w:val="1239"/>
        </w:numPr>
        <w:pStyle w:val="Compact"/>
      </w:pPr>
      <w:r>
        <w:t xml:space="preserve">revisor, fecha de aprobación y supuestos;</w:t>
      </w:r>
    </w:p>
    <w:p>
      <w:pPr>
        <w:numPr>
          <w:ilvl w:val="0"/>
          <w:numId w:val="1239"/>
        </w:numPr>
        <w:pStyle w:val="Compact"/>
      </w:pPr>
      <w:r>
        <w:t xml:space="preserve">reevaluación de desencadenantes y la historia.</w:t>
      </w:r>
    </w:p>
    <w:bookmarkEnd w:id="859"/>
    <w:bookmarkStart w:id="860" w:name="prueba-de-auditoría-87"/>
    <w:p>
      <w:pPr>
        <w:pStyle w:val="Heading2"/>
      </w:pPr>
      <w:r>
        <w:rPr>
          <w:rStyle w:val="SectionNumber"/>
        </w:rPr>
        <w:t xml:space="preserve">1.817</w:t>
      </w:r>
      <w:r>
        <w:tab/>
      </w:r>
      <w:r>
        <w:t xml:space="preserve">Prueba de auditoría</w:t>
      </w:r>
    </w:p>
    <w:p>
      <w:pPr>
        <w:pStyle w:val="FirstParagraph"/>
      </w:pPr>
      <w:r>
        <w:t xml:space="preserve">Seleccione una muestra de sistemas de IA. Confirme que el riesgo inherente fue evaluado antes de los controles, coincide con la versión real y el contexto de uso, cubre todas las dimensiones de riesgo material, la incertidumbre de documentos, y fue reevaluado después de un cambio relevante.</w:t>
      </w:r>
    </w:p>
    <w:bookmarkEnd w:id="860"/>
    <w:bookmarkStart w:id="861" w:name="referencias-jurídicas-primarias-60"/>
    <w:p>
      <w:pPr>
        <w:pStyle w:val="Heading2"/>
      </w:pPr>
      <w:r>
        <w:rPr>
          <w:rStyle w:val="SectionNumber"/>
        </w:rPr>
        <w:t xml:space="preserve">1.818</w:t>
      </w:r>
      <w:r>
        <w:tab/>
      </w:r>
      <w:r>
        <w:t xml:space="preserve">Referencias jurídicas primarias</w:t>
      </w:r>
    </w:p>
    <w:p>
      <w:pPr>
        <w:numPr>
          <w:ilvl w:val="0"/>
          <w:numId w:val="1240"/>
        </w:numPr>
        <w:pStyle w:val="Compact"/>
      </w:pPr>
      <w:r>
        <w:t xml:space="preserve">Reglamento (UE) 2024/1689, modificado: disposiciones aplicables sobre gestión de riesgos, derechos fundamentales, gobernanza de los datos, supervisión humana, robustez, supervisión y obligación de los actores.</w:t>
      </w:r>
    </w:p>
    <w:p>
      <w:pPr>
        <w:numPr>
          <w:ilvl w:val="0"/>
          <w:numId w:val="1240"/>
        </w:numPr>
        <w:pStyle w:val="Compact"/>
      </w:pPr>
      <w:r>
        <w:t xml:space="preserve">Igualdad aplicable, empleo, privacidad, ciberseguridad, seguridad de los productos, protección de los consumidores y legislación sectorial.</w:t>
      </w:r>
    </w:p>
    <w:p>
      <w:pPr>
        <w:numPr>
          <w:ilvl w:val="0"/>
          <w:numId w:val="1240"/>
        </w:numPr>
        <w:pStyle w:val="Compact"/>
      </w:pPr>
      <w:r>
        <w:t xml:space="preserve">La terminología de riesgo inherente a la empresa es una práctica de gestión y no debe presentarse como una clasificación legal de la Ley de IA.</w:t>
      </w:r>
    </w:p>
    <w:bookmarkEnd w:id="861"/>
    <w:bookmarkStart w:id="862" w:name="X25f0b6c33115f070e49b77a1be186a32383ef2a"/>
    <w:p>
      <w:pPr>
        <w:pStyle w:val="Heading2"/>
      </w:pPr>
      <w:r>
        <w:rPr>
          <w:rStyle w:val="SectionNumber"/>
        </w:rPr>
        <w:t xml:space="preserve">1.819</w:t>
      </w:r>
      <w:r>
        <w:tab/>
      </w:r>
      <w:r>
        <w:t xml:space="preserve">Capítulo 93 — Riesgo en materia de derechos fundamentales</w:t>
      </w:r>
    </w:p>
    <w:p>
      <w:pPr>
        <w:pStyle w:val="BlockText"/>
      </w:pPr>
      <w:r>
        <w:rPr>
          <w:bCs/>
          <w:b/>
        </w:rPr>
        <w:t xml:space="preserve">Estatus legal:</w:t>
      </w:r>
      <w:r>
        <w:t xml:space="preserve"> </w:t>
      </w:r>
      <w:r>
        <w:t xml:space="preserve">Corregido Maestro Inglés para la consolidación. Este archivo controla el lenguaje de borrador anterior del Capítulo 93.</w:t>
      </w:r>
    </w:p>
    <w:bookmarkEnd w:id="862"/>
    <w:bookmarkStart w:id="863" w:name="requisito-91"/>
    <w:p>
      <w:pPr>
        <w:pStyle w:val="Heading2"/>
      </w:pPr>
      <w:r>
        <w:rPr>
          <w:rStyle w:val="SectionNumber"/>
        </w:rPr>
        <w:t xml:space="preserve">1.820</w:t>
      </w:r>
      <w:r>
        <w:tab/>
      </w:r>
      <w:r>
        <w:t xml:space="preserve">Requisito</w:t>
      </w:r>
    </w:p>
    <w:p>
      <w:pPr>
        <w:pStyle w:val="FirstParagraph"/>
      </w:pPr>
      <w:r>
        <w:t xml:space="preserve">Las organizaciones deben identificar, evaluar, mitigar, supervisar y documentar los riesgos que un sistema de IA puede crear para los derechos fundamentales.Cuando se aplique el artículo 27, el implementador debe completar la evaluación de impacto de derechos fundamentales requerida antes del primer uso y actualizarla cuando las condiciones pertinentes cambien significativamente.</w:t>
      </w:r>
    </w:p>
    <w:bookmarkEnd w:id="863"/>
    <w:bookmarkStart w:id="864" w:name="explicación-en-lenguaje-sencillo-88"/>
    <w:p>
      <w:pPr>
        <w:pStyle w:val="Heading2"/>
      </w:pPr>
      <w:r>
        <w:rPr>
          <w:rStyle w:val="SectionNumber"/>
        </w:rPr>
        <w:t xml:space="preserve">1.821</w:t>
      </w:r>
      <w:r>
        <w:tab/>
      </w:r>
      <w:r>
        <w:t xml:space="preserve">Explicación en lenguaje sencillo</w:t>
      </w:r>
    </w:p>
    <w:p>
      <w:pPr>
        <w:pStyle w:val="FirstParagraph"/>
      </w:pPr>
      <w:r>
        <w:t xml:space="preserve">En el análisis de los derechos fundamentales se pregunta cómo puede afectar el sistema a las personas, no sólo si el modelo es técnicamente exacto, sino también si debe tenerse en cuenta la dignidad, la intimidad, la protección de los datos, la igualdad, la no discriminación, la libertad de expresión e información, los derechos de los trabajadores, la protección del consumidor, el acceso a los servicios, el recurso efectivo y los derechos de los niños y las personas con discapacidad, cuando proceda.</w:t>
      </w:r>
    </w:p>
    <w:bookmarkEnd w:id="864"/>
    <w:bookmarkStart w:id="865" w:name="necesidades-de-evaluación"/>
    <w:p>
      <w:pPr>
        <w:pStyle w:val="Heading2"/>
      </w:pPr>
      <w:r>
        <w:rPr>
          <w:rStyle w:val="SectionNumber"/>
        </w:rPr>
        <w:t xml:space="preserve">1.822</w:t>
      </w:r>
      <w:r>
        <w:tab/>
      </w:r>
      <w:r>
        <w:t xml:space="preserve">Necesidades de evaluación</w:t>
      </w:r>
    </w:p>
    <w:p>
      <w:pPr>
        <w:pStyle w:val="FirstParagraph"/>
      </w:pPr>
      <w:r>
        <w:t xml:space="preserve">Evaluar como mínimo:</w:t>
      </w:r>
    </w:p>
    <w:p>
      <w:pPr>
        <w:numPr>
          <w:ilvl w:val="0"/>
          <w:numId w:val="1241"/>
        </w:numPr>
        <w:pStyle w:val="Compact"/>
      </w:pPr>
      <w:r>
        <w:t xml:space="preserve">las personas afectadas y los grupos vulnerables;</w:t>
      </w:r>
    </w:p>
    <w:p>
      <w:pPr>
        <w:numPr>
          <w:ilvl w:val="0"/>
          <w:numId w:val="1241"/>
        </w:numPr>
        <w:pStyle w:val="Compact"/>
      </w:pPr>
      <w:r>
        <w:t xml:space="preserve">derechos pertinentes e interferencias potenciales;</w:t>
      </w:r>
    </w:p>
    <w:p>
      <w:pPr>
        <w:numPr>
          <w:ilvl w:val="0"/>
          <w:numId w:val="1241"/>
        </w:numPr>
        <w:pStyle w:val="Compact"/>
      </w:pPr>
      <w:r>
        <w:t xml:space="preserve">gravedad, escala, duración, reversibilidad y probabilidad;</w:t>
      </w:r>
    </w:p>
    <w:p>
      <w:pPr>
        <w:numPr>
          <w:ilvl w:val="0"/>
          <w:numId w:val="1241"/>
        </w:numPr>
        <w:pStyle w:val="Compact"/>
      </w:pPr>
      <w:r>
        <w:t xml:space="preserve">grado de automatización y dependencia humana;</w:t>
      </w:r>
    </w:p>
    <w:p>
      <w:pPr>
        <w:numPr>
          <w:ilvl w:val="0"/>
          <w:numId w:val="1241"/>
        </w:numPr>
        <w:pStyle w:val="Compact"/>
      </w:pPr>
      <w:r>
        <w:t xml:space="preserve">los riesgos de datos, proxy, accesibilidad y representatividad;</w:t>
      </w:r>
    </w:p>
    <w:p>
      <w:pPr>
        <w:numPr>
          <w:ilvl w:val="0"/>
          <w:numId w:val="1241"/>
        </w:numPr>
        <w:pStyle w:val="Compact"/>
      </w:pPr>
      <w:r>
        <w:t xml:space="preserve">notificación, impugnabilidad, explicación, denuncia y mecanismos de reparación;</w:t>
      </w:r>
    </w:p>
    <w:p>
      <w:pPr>
        <w:numPr>
          <w:ilvl w:val="0"/>
          <w:numId w:val="1241"/>
        </w:numPr>
        <w:pStyle w:val="Compact"/>
      </w:pPr>
      <w:r>
        <w:t xml:space="preserve">la mitigación, el riesgo residual y el seguimiento;</w:t>
      </w:r>
    </w:p>
    <w:p>
      <w:pPr>
        <w:numPr>
          <w:ilvl w:val="0"/>
          <w:numId w:val="1241"/>
        </w:numPr>
        <w:pStyle w:val="Compact"/>
      </w:pPr>
      <w:r>
        <w:t xml:space="preserve">la consulta y las aportaciones de las partes interesadas, cuando proceda;</w:t>
      </w:r>
    </w:p>
    <w:p>
      <w:pPr>
        <w:numPr>
          <w:ilvl w:val="0"/>
          <w:numId w:val="1241"/>
        </w:numPr>
        <w:pStyle w:val="Compact"/>
      </w:pPr>
      <w:r>
        <w:t xml:space="preserve">vínculos con el DPIA, la igualdad, el trabajo, los consumidores, la seguridad y las evaluaciones sectoriales;</w:t>
      </w:r>
    </w:p>
    <w:p>
      <w:pPr>
        <w:numPr>
          <w:ilvl w:val="0"/>
          <w:numId w:val="1241"/>
        </w:numPr>
        <w:pStyle w:val="Compact"/>
      </w:pPr>
      <w:r>
        <w:t xml:space="preserve">cambios desencadenantes y reevaluación.</w:t>
      </w:r>
    </w:p>
    <w:bookmarkEnd w:id="865"/>
    <w:bookmarkStart w:id="866" w:name="ejemplo-de-globalway-86"/>
    <w:p>
      <w:pPr>
        <w:pStyle w:val="Heading2"/>
      </w:pPr>
      <w:r>
        <w:rPr>
          <w:rStyle w:val="SectionNumber"/>
        </w:rPr>
        <w:t xml:space="preserve">1.823</w:t>
      </w:r>
      <w:r>
        <w:tab/>
      </w:r>
      <w:r>
        <w:t xml:space="preserve">Ejemplo de GlobalWay</w:t>
      </w:r>
    </w:p>
    <w:p>
      <w:pPr>
        <w:pStyle w:val="FirstParagraph"/>
      </w:pPr>
      <w:r>
        <w:t xml:space="preserve">Antes de desplegar exámenes de contratación en varios Estados miembros, GlobalWay evalúa los riesgos para la igualdad, la privacidad, los derechos de los trabajadores, el acceso al empleo, el alojamiento para discapacitados y la impugnabilidad efectiva.</w:t>
      </w:r>
    </w:p>
    <w:bookmarkEnd w:id="866"/>
    <w:bookmarkStart w:id="867" w:name="actividad-de-control-87"/>
    <w:p>
      <w:pPr>
        <w:pStyle w:val="Heading2"/>
      </w:pPr>
      <w:r>
        <w:rPr>
          <w:rStyle w:val="SectionNumber"/>
        </w:rPr>
        <w:t xml:space="preserve">1.824</w:t>
      </w:r>
      <w:r>
        <w:tab/>
      </w:r>
      <w:r>
        <w:t xml:space="preserve">Actividad de control</w:t>
      </w:r>
    </w:p>
    <w:p>
      <w:pPr>
        <w:pStyle w:val="FirstParagraph"/>
      </w:pPr>
      <w:r>
        <w:t xml:space="preserve">El implementador debe completar una revisión de impacto de derechos antes del uso de la producción, utilizando el proceso legal del Artículo 27 cuando sea aplicable y un proceso proporcional equivalente para otros sistemas de materiales. Los riesgos graves de derechos no resueltos deben bloquear la liberación o desencadenar una escalada ejecutiva y legal.</w:t>
      </w:r>
    </w:p>
    <w:bookmarkEnd w:id="867"/>
    <w:bookmarkStart w:id="868" w:name="pruebas-92"/>
    <w:p>
      <w:pPr>
        <w:pStyle w:val="Heading2"/>
      </w:pPr>
      <w:r>
        <w:rPr>
          <w:rStyle w:val="SectionNumber"/>
        </w:rPr>
        <w:t xml:space="preserve">1.825</w:t>
      </w:r>
      <w:r>
        <w:tab/>
      </w:r>
      <w:r>
        <w:t xml:space="preserve">Pruebas</w:t>
      </w:r>
    </w:p>
    <w:p>
      <w:pPr>
        <w:numPr>
          <w:ilvl w:val="0"/>
          <w:numId w:val="1242"/>
        </w:numPr>
        <w:pStyle w:val="Compact"/>
      </w:pPr>
      <w:r>
        <w:t xml:space="preserve">evaluación del impacto sobre los derechos humanos;</w:t>
      </w:r>
    </w:p>
    <w:p>
      <w:pPr>
        <w:numPr>
          <w:ilvl w:val="0"/>
          <w:numId w:val="1242"/>
        </w:numPr>
        <w:pStyle w:val="Compact"/>
      </w:pPr>
      <w:r>
        <w:t xml:space="preserve">Decisión de aplicabilidad del artículo 27;</w:t>
      </w:r>
    </w:p>
    <w:p>
      <w:pPr>
        <w:numPr>
          <w:ilvl w:val="0"/>
          <w:numId w:val="1242"/>
        </w:numPr>
        <w:pStyle w:val="Compact"/>
      </w:pPr>
      <w:r>
        <w:t xml:space="preserve">análisis de personas afectadas y grupos vulnerables;</w:t>
      </w:r>
    </w:p>
    <w:p>
      <w:pPr>
        <w:numPr>
          <w:ilvl w:val="0"/>
          <w:numId w:val="1242"/>
        </w:numPr>
        <w:pStyle w:val="Compact"/>
      </w:pPr>
      <w:r>
        <w:t xml:space="preserve">los registros de consulta;</w:t>
      </w:r>
    </w:p>
    <w:p>
      <w:pPr>
        <w:numPr>
          <w:ilvl w:val="0"/>
          <w:numId w:val="1242"/>
        </w:numPr>
        <w:pStyle w:val="Compact"/>
      </w:pPr>
      <w:r>
        <w:t xml:space="preserve">la mitigación y el registro de riesgos residuales;</w:t>
      </w:r>
    </w:p>
    <w:p>
      <w:pPr>
        <w:numPr>
          <w:ilvl w:val="0"/>
          <w:numId w:val="1242"/>
        </w:numPr>
        <w:pStyle w:val="Compact"/>
      </w:pPr>
      <w:r>
        <w:t xml:space="preserve">notificaciones, explicaciones, quejas y procedimientos de recurso;</w:t>
      </w:r>
    </w:p>
    <w:p>
      <w:pPr>
        <w:numPr>
          <w:ilvl w:val="0"/>
          <w:numId w:val="1242"/>
        </w:numPr>
        <w:pStyle w:val="Compact"/>
      </w:pPr>
      <w:r>
        <w:t xml:space="preserve">aprobación y historial de reevaluación.</w:t>
      </w:r>
    </w:p>
    <w:bookmarkEnd w:id="868"/>
    <w:bookmarkStart w:id="869" w:name="prueba-de-auditoría-88"/>
    <w:p>
      <w:pPr>
        <w:pStyle w:val="Heading2"/>
      </w:pPr>
      <w:r>
        <w:rPr>
          <w:rStyle w:val="SectionNumber"/>
        </w:rPr>
        <w:t xml:space="preserve">1.826</w:t>
      </w:r>
      <w:r>
        <w:tab/>
      </w:r>
      <w:r>
        <w:t xml:space="preserve">Prueba de auditoría</w:t>
      </w:r>
    </w:p>
    <w:p>
      <w:pPr>
        <w:pStyle w:val="FirstParagraph"/>
      </w:pPr>
      <w:r>
        <w:t xml:space="preserve">Comprobar que se identificaron los derechos y grupos pertinentes, se evaluó correctamente la aplicabilidad del artículo 27, se implementaron medidas de mitigación antes de su uso, se aprobó el riesgo residual dentro de la autoridad y se realizó una reevaluación después de cambios materiales.</w:t>
      </w:r>
    </w:p>
    <w:bookmarkEnd w:id="869"/>
    <w:bookmarkStart w:id="870" w:name="referencias-jurídicas-primarias-61"/>
    <w:p>
      <w:pPr>
        <w:pStyle w:val="Heading2"/>
      </w:pPr>
      <w:r>
        <w:rPr>
          <w:rStyle w:val="SectionNumber"/>
        </w:rPr>
        <w:t xml:space="preserve">1.827</w:t>
      </w:r>
      <w:r>
        <w:tab/>
      </w:r>
      <w:r>
        <w:t xml:space="preserve">Referencias jurídicas primarias</w:t>
      </w:r>
    </w:p>
    <w:p>
      <w:pPr>
        <w:numPr>
          <w:ilvl w:val="0"/>
          <w:numId w:val="1243"/>
        </w:numPr>
        <w:pStyle w:val="Compact"/>
      </w:pPr>
      <w:r>
        <w:t xml:space="preserve">Reglamento (UE) 2024/1689, modificado: artículo 27 y disposiciones aplicables sobre gestión de riesgos, gobernanza de datos, supervisión humana, transparencia, despliegue, supervisión y explicación.</w:t>
      </w:r>
    </w:p>
    <w:p>
      <w:pPr>
        <w:numPr>
          <w:ilvl w:val="0"/>
          <w:numId w:val="1243"/>
        </w:numPr>
        <w:pStyle w:val="Compact"/>
      </w:pPr>
      <w:r>
        <w:t xml:space="preserve">Carta de los Derechos Fundamentales de la Unión Europea.</w:t>
      </w:r>
    </w:p>
    <w:p>
      <w:pPr>
        <w:numPr>
          <w:ilvl w:val="0"/>
          <w:numId w:val="1243"/>
        </w:numPr>
        <w:pStyle w:val="Compact"/>
      </w:pPr>
      <w:r>
        <w:t xml:space="preserve">Igualdad aplicable, empleo, discapacidad, protección del consumidor, privacidad y legislación sectorial.</w:t>
      </w:r>
    </w:p>
    <w:bookmarkEnd w:id="870"/>
    <w:bookmarkStart w:id="871" w:name="capítulo-94-riesgos-de-seguridad"/>
    <w:p>
      <w:pPr>
        <w:pStyle w:val="Heading2"/>
      </w:pPr>
      <w:r>
        <w:rPr>
          <w:rStyle w:val="SectionNumber"/>
        </w:rPr>
        <w:t xml:space="preserve">1.828</w:t>
      </w:r>
      <w:r>
        <w:tab/>
      </w:r>
      <w:r>
        <w:t xml:space="preserve">Capítulo 94 — Riesgos de seguridad</w:t>
      </w:r>
    </w:p>
    <w:p>
      <w:pPr>
        <w:pStyle w:val="BlockText"/>
      </w:pPr>
      <w:r>
        <w:rPr>
          <w:bCs/>
          <w:b/>
        </w:rPr>
        <w:t xml:space="preserve">Estatus legal:</w:t>
      </w:r>
      <w:r>
        <w:t xml:space="preserve"> </w:t>
      </w:r>
      <w:r>
        <w:t xml:space="preserve">Corregido Maestro Inglés para la consolidación. Este archivo controla el lenguaje de borrador anterior del Capítulo 94.</w:t>
      </w:r>
    </w:p>
    <w:bookmarkEnd w:id="871"/>
    <w:bookmarkStart w:id="872" w:name="requisito-92"/>
    <w:p>
      <w:pPr>
        <w:pStyle w:val="Heading2"/>
      </w:pPr>
      <w:r>
        <w:rPr>
          <w:rStyle w:val="SectionNumber"/>
        </w:rPr>
        <w:t xml:space="preserve">1.829</w:t>
      </w:r>
      <w:r>
        <w:tab/>
      </w:r>
      <w:r>
        <w:t xml:space="preserve">Requisito</w:t>
      </w:r>
    </w:p>
    <w:p>
      <w:pPr>
        <w:pStyle w:val="FirstParagraph"/>
      </w:pPr>
      <w:r>
        <w:t xml:space="preserve">Las organizaciones deben identificar, evaluar, controlar y supervisar los riesgos de seguridad derivados del uso previsto, el uso indebido razonablemente previsible, la interacción del sistema, el fallo de los componentes, la dependencia humana, las condiciones ambientales y el cambio del ciclo de vida.</w:t>
      </w:r>
    </w:p>
    <w:bookmarkEnd w:id="872"/>
    <w:bookmarkStart w:id="873" w:name="explicación-en-lenguaje-sencillo-89"/>
    <w:p>
      <w:pPr>
        <w:pStyle w:val="Heading2"/>
      </w:pPr>
      <w:r>
        <w:rPr>
          <w:rStyle w:val="SectionNumber"/>
        </w:rPr>
        <w:t xml:space="preserve">1.830</w:t>
      </w:r>
      <w:r>
        <w:tab/>
      </w:r>
      <w:r>
        <w:t xml:space="preserve">Explicación en lenguaje sencillo</w:t>
      </w:r>
    </w:p>
    <w:p>
      <w:pPr>
        <w:pStyle w:val="FirstParagraph"/>
      </w:pPr>
      <w:r>
        <w:t xml:space="preserve">El riesgo de seguridad es más amplio que el daño físico. Dependiendo del contexto, la IA puede contribuir al daño físico, psicológico, operativo, social o de acceso al servicio. El análisis debe examinar el sistema sociotécnico completo en lugar del modelo en aislamiento.</w:t>
      </w:r>
    </w:p>
    <w:bookmarkEnd w:id="873"/>
    <w:bookmarkStart w:id="874" w:name="necesidades-de-evaluación-1"/>
    <w:p>
      <w:pPr>
        <w:pStyle w:val="Heading2"/>
      </w:pPr>
      <w:r>
        <w:rPr>
          <w:rStyle w:val="SectionNumber"/>
        </w:rPr>
        <w:t xml:space="preserve">1.831</w:t>
      </w:r>
      <w:r>
        <w:tab/>
      </w:r>
      <w:r>
        <w:t xml:space="preserve">Necesidades de evaluación</w:t>
      </w:r>
    </w:p>
    <w:p>
      <w:pPr>
        <w:pStyle w:val="FirstParagraph"/>
      </w:pPr>
      <w:r>
        <w:t xml:space="preserve">Evaluar como mínimo:</w:t>
      </w:r>
    </w:p>
    <w:p>
      <w:pPr>
        <w:numPr>
          <w:ilvl w:val="0"/>
          <w:numId w:val="1244"/>
        </w:numPr>
        <w:pStyle w:val="Compact"/>
      </w:pPr>
      <w:r>
        <w:t xml:space="preserve">peligros, situaciones peligrosas y uso indebido razonablemente previsible;</w:t>
      </w:r>
    </w:p>
    <w:p>
      <w:pPr>
        <w:numPr>
          <w:ilvl w:val="0"/>
          <w:numId w:val="1244"/>
        </w:numPr>
        <w:pStyle w:val="Compact"/>
      </w:pPr>
      <w:r>
        <w:t xml:space="preserve">gravedad, probabilidad, exposición, detectabilidad y reversibilidad;</w:t>
      </w:r>
    </w:p>
    <w:p>
      <w:pPr>
        <w:numPr>
          <w:ilvl w:val="0"/>
          <w:numId w:val="1244"/>
        </w:numPr>
        <w:pStyle w:val="Compact"/>
      </w:pPr>
      <w:r>
        <w:t xml:space="preserve">interacción entre el hombre y la máquina y sesgo de automatización;</w:t>
      </w:r>
    </w:p>
    <w:p>
      <w:pPr>
        <w:numPr>
          <w:ilvl w:val="0"/>
          <w:numId w:val="1244"/>
        </w:numPr>
        <w:pStyle w:val="Compact"/>
      </w:pPr>
      <w:r>
        <w:t xml:space="preserve">modos de fallo, modos degradados, casos de borde y fallos de dependencia;</w:t>
      </w:r>
    </w:p>
    <w:p>
      <w:pPr>
        <w:numPr>
          <w:ilvl w:val="0"/>
          <w:numId w:val="1244"/>
        </w:numPr>
        <w:pStyle w:val="Compact"/>
      </w:pPr>
      <w:r>
        <w:t xml:space="preserve">datos, modelo, software, hardware, red y riesgos de integración;</w:t>
      </w:r>
    </w:p>
    <w:p>
      <w:pPr>
        <w:numPr>
          <w:ilvl w:val="0"/>
          <w:numId w:val="1244"/>
        </w:numPr>
        <w:pStyle w:val="Compact"/>
      </w:pPr>
      <w:r>
        <w:t xml:space="preserve">parada de emergencia, retroceso, recuperación y comportamiento en un estado seguro;</w:t>
      </w:r>
    </w:p>
    <w:p>
      <w:pPr>
        <w:numPr>
          <w:ilvl w:val="0"/>
          <w:numId w:val="1244"/>
        </w:numPr>
        <w:pStyle w:val="Compact"/>
      </w:pPr>
      <w:r>
        <w:t xml:space="preserve">las poblaciones afectadas y las personas vulnerables;</w:t>
      </w:r>
    </w:p>
    <w:p>
      <w:pPr>
        <w:numPr>
          <w:ilvl w:val="0"/>
          <w:numId w:val="1244"/>
        </w:numPr>
        <w:pStyle w:val="Compact"/>
      </w:pPr>
      <w:r>
        <w:t xml:space="preserve">validación en condiciones representativas y adversas;</w:t>
      </w:r>
    </w:p>
    <w:p>
      <w:pPr>
        <w:numPr>
          <w:ilvl w:val="0"/>
          <w:numId w:val="1244"/>
        </w:numPr>
        <w:pStyle w:val="Compact"/>
      </w:pPr>
      <w:r>
        <w:t xml:space="preserve">incidentes, quejas y señales posteriores a la comercialización;</w:t>
      </w:r>
    </w:p>
    <w:p>
      <w:pPr>
        <w:numPr>
          <w:ilvl w:val="0"/>
          <w:numId w:val="1244"/>
        </w:numPr>
        <w:pStyle w:val="Compact"/>
      </w:pPr>
      <w:r>
        <w:t xml:space="preserve">los factores desencadenantes de cambio-control y reevaluación.</w:t>
      </w:r>
    </w:p>
    <w:bookmarkEnd w:id="874"/>
    <w:bookmarkStart w:id="875" w:name="ejemplo-de-globalway-87"/>
    <w:p>
      <w:pPr>
        <w:pStyle w:val="Heading2"/>
      </w:pPr>
      <w:r>
        <w:rPr>
          <w:rStyle w:val="SectionNumber"/>
        </w:rPr>
        <w:t xml:space="preserve">1.832</w:t>
      </w:r>
      <w:r>
        <w:tab/>
      </w:r>
      <w:r>
        <w:t xml:space="preserve">Ejemplo de GlobalWay</w:t>
      </w:r>
    </w:p>
    <w:p>
      <w:pPr>
        <w:pStyle w:val="FirstParagraph"/>
      </w:pPr>
      <w:r>
        <w:t xml:space="preserve">GlobalWay revisa una herramienta de interrupción de viajes de IA que recomienda desviar a los viajeros vulnerables durante un clima severo. La evaluación de seguridad incluye recomendaciones inexactas, alternativas inaccesibles, datos de transporte rancios, sesgo de automatización, interrupciones del sistema, escalada de emergencia y la capacidad del personal capacitado para anular las recomendaciones.</w:t>
      </w:r>
    </w:p>
    <w:bookmarkEnd w:id="875"/>
    <w:bookmarkStart w:id="876" w:name="actividad-de-control-88"/>
    <w:p>
      <w:pPr>
        <w:pStyle w:val="Heading2"/>
      </w:pPr>
      <w:r>
        <w:rPr>
          <w:rStyle w:val="SectionNumber"/>
        </w:rPr>
        <w:t xml:space="preserve">1.833</w:t>
      </w:r>
      <w:r>
        <w:tab/>
      </w:r>
      <w:r>
        <w:t xml:space="preserve">Actividad de control</w:t>
      </w:r>
    </w:p>
    <w:p>
      <w:pPr>
        <w:pStyle w:val="FirstParagraph"/>
      </w:pPr>
      <w:r>
        <w:t xml:space="preserve">Los sistemas de IA de alto impacto y de seguridad crítica deben tener un análisis documentado de riesgos, criterios de aceptación, verificación, validación, medidas de supervisión humana, procedimientos de retroactividad y seguimiento post-comercialización antes de la liberación de la producción.</w:t>
      </w:r>
    </w:p>
    <w:bookmarkEnd w:id="876"/>
    <w:bookmarkStart w:id="877" w:name="pruebas-93"/>
    <w:p>
      <w:pPr>
        <w:pStyle w:val="Heading2"/>
      </w:pPr>
      <w:r>
        <w:rPr>
          <w:rStyle w:val="SectionNumber"/>
        </w:rPr>
        <w:t xml:space="preserve">1.834</w:t>
      </w:r>
      <w:r>
        <w:tab/>
      </w:r>
      <w:r>
        <w:t xml:space="preserve">Pruebas</w:t>
      </w:r>
    </w:p>
    <w:p>
      <w:pPr>
        <w:numPr>
          <w:ilvl w:val="0"/>
          <w:numId w:val="1245"/>
        </w:numPr>
        <w:pStyle w:val="Compact"/>
      </w:pPr>
      <w:r>
        <w:t xml:space="preserve">análisis de riesgos y riesgos;</w:t>
      </w:r>
    </w:p>
    <w:p>
      <w:pPr>
        <w:numPr>
          <w:ilvl w:val="0"/>
          <w:numId w:val="1245"/>
        </w:numPr>
        <w:pStyle w:val="Compact"/>
      </w:pPr>
      <w:r>
        <w:t xml:space="preserve">evaluación del modo de fallo y uso indebido;</w:t>
      </w:r>
    </w:p>
    <w:p>
      <w:pPr>
        <w:numPr>
          <w:ilvl w:val="0"/>
          <w:numId w:val="1245"/>
        </w:numPr>
        <w:pStyle w:val="Compact"/>
      </w:pPr>
      <w:r>
        <w:t xml:space="preserve">la validación y los resultados de las pruebas de resistencia;</w:t>
      </w:r>
    </w:p>
    <w:p>
      <w:pPr>
        <w:numPr>
          <w:ilvl w:val="0"/>
          <w:numId w:val="1245"/>
        </w:numPr>
        <w:pStyle w:val="Compact"/>
      </w:pPr>
      <w:r>
        <w:t xml:space="preserve">revisión de los factores humanos;</w:t>
      </w:r>
    </w:p>
    <w:p>
      <w:pPr>
        <w:numPr>
          <w:ilvl w:val="0"/>
          <w:numId w:val="1245"/>
        </w:numPr>
        <w:pStyle w:val="Compact"/>
      </w:pPr>
      <w:r>
        <w:t xml:space="preserve">procedimientos de emergencia y de emergencia;</w:t>
      </w:r>
    </w:p>
    <w:p>
      <w:pPr>
        <w:numPr>
          <w:ilvl w:val="0"/>
          <w:numId w:val="1245"/>
        </w:numPr>
        <w:pStyle w:val="Compact"/>
      </w:pPr>
      <w:r>
        <w:t xml:space="preserve">registros de incidentes y posteriores a la comercialización;</w:t>
      </w:r>
    </w:p>
    <w:p>
      <w:pPr>
        <w:numPr>
          <w:ilvl w:val="0"/>
          <w:numId w:val="1245"/>
        </w:numPr>
        <w:pStyle w:val="Compact"/>
      </w:pPr>
      <w:r>
        <w:t xml:space="preserve">las decisiones de aceptación y reevaluación de la seguridad.</w:t>
      </w:r>
    </w:p>
    <w:bookmarkEnd w:id="877"/>
    <w:bookmarkStart w:id="878" w:name="prueba-de-auditoría-89"/>
    <w:p>
      <w:pPr>
        <w:pStyle w:val="Heading2"/>
      </w:pPr>
      <w:r>
        <w:rPr>
          <w:rStyle w:val="SectionNumber"/>
        </w:rPr>
        <w:t xml:space="preserve">1.835</w:t>
      </w:r>
      <w:r>
        <w:tab/>
      </w:r>
      <w:r>
        <w:t xml:space="preserve">Prueba de auditoría</w:t>
      </w:r>
    </w:p>
    <w:p>
      <w:pPr>
        <w:pStyle w:val="FirstParagraph"/>
      </w:pPr>
      <w:r>
        <w:t xml:space="preserve">Comprobar que se identificaron los peligros y el mal uso, los controles se probaron en condiciones realistas y degradadas, los mecanismos de recuperación y anulación funcionan, la vigilancia detecta riesgos emergentes y los cambios materiales provocan una reevaluación.</w:t>
      </w:r>
    </w:p>
    <w:bookmarkEnd w:id="878"/>
    <w:bookmarkStart w:id="879" w:name="referencias-jurídicas-primarias-62"/>
    <w:p>
      <w:pPr>
        <w:pStyle w:val="Heading2"/>
      </w:pPr>
      <w:r>
        <w:rPr>
          <w:rStyle w:val="SectionNumber"/>
        </w:rPr>
        <w:t xml:space="preserve">1.836</w:t>
      </w:r>
      <w:r>
        <w:tab/>
      </w:r>
      <w:r>
        <w:t xml:space="preserve">Referencias jurídicas primarias</w:t>
      </w:r>
    </w:p>
    <w:p>
      <w:pPr>
        <w:numPr>
          <w:ilvl w:val="0"/>
          <w:numId w:val="1246"/>
        </w:numPr>
        <w:pStyle w:val="Compact"/>
      </w:pPr>
      <w:r>
        <w:t xml:space="preserve">Reglamento (UE) 2024/1689, modificado: artículos 9, 14, 15, 72 y 73 aplicables y obligaciones pertinentes de los agentes.</w:t>
      </w:r>
    </w:p>
    <w:p>
      <w:pPr>
        <w:numPr>
          <w:ilvl w:val="0"/>
          <w:numId w:val="1246"/>
        </w:numPr>
        <w:pStyle w:val="Compact"/>
      </w:pPr>
      <w:r>
        <w:t xml:space="preserve">Armonización aplicable de la Unión, seguridad de los productos, seguridad en el trabajo, protección de los consumidores y legislación sectorial.</w:t>
      </w:r>
    </w:p>
    <w:p>
      <w:pPr>
        <w:numPr>
          <w:ilvl w:val="0"/>
          <w:numId w:val="1246"/>
        </w:numPr>
        <w:pStyle w:val="Compact"/>
      </w:pPr>
      <w:r>
        <w:t xml:space="preserve">Los actuales controles consolidados de texto EUR-Lex sobre los resúmenes antiguos.</w:t>
      </w:r>
    </w:p>
    <w:bookmarkEnd w:id="879"/>
    <w:bookmarkStart w:id="880" w:name="Xa83a08dfdfc859e43e7608d99f99e092ec93d64"/>
    <w:p>
      <w:pPr>
        <w:pStyle w:val="Heading2"/>
      </w:pPr>
      <w:r>
        <w:rPr>
          <w:rStyle w:val="SectionNumber"/>
        </w:rPr>
        <w:t xml:space="preserve">1.837</w:t>
      </w:r>
      <w:r>
        <w:tab/>
      </w:r>
      <w:r>
        <w:t xml:space="preserve">Capítulo 95 — Riesgos de sesgo y discriminación</w:t>
      </w:r>
    </w:p>
    <w:p>
      <w:pPr>
        <w:pStyle w:val="BlockText"/>
      </w:pPr>
      <w:r>
        <w:rPr>
          <w:bCs/>
          <w:b/>
        </w:rPr>
        <w:t xml:space="preserve">Estatus legal:</w:t>
      </w:r>
      <w:r>
        <w:t xml:space="preserve"> </w:t>
      </w:r>
      <w:r>
        <w:t xml:space="preserve">Corregido Maestro Inglés para la consolidación. Este archivo controla el lenguaje de borrador del Capítulo 95 anterior en conflicto.</w:t>
      </w:r>
    </w:p>
    <w:bookmarkEnd w:id="880"/>
    <w:bookmarkStart w:id="881" w:name="requisito-93"/>
    <w:p>
      <w:pPr>
        <w:pStyle w:val="Heading2"/>
      </w:pPr>
      <w:r>
        <w:rPr>
          <w:rStyle w:val="SectionNumber"/>
        </w:rPr>
        <w:t xml:space="preserve">1.838</w:t>
      </w:r>
      <w:r>
        <w:tab/>
      </w:r>
      <w:r>
        <w:t xml:space="preserve">Requisito</w:t>
      </w:r>
    </w:p>
    <w:p>
      <w:pPr>
        <w:pStyle w:val="FirstParagraph"/>
      </w:pPr>
      <w:r>
        <w:t xml:space="preserve">Las organizaciones deben identificar y mitigar los riesgos de que un sistema de IA pueda producir discriminación ilícita, desventajas injustificadas, exclusión, resultados inaccesibles o resultados sistemáticamente peores para los grupos protegidos o vulnerables. La evaluación debe reflejar el contexto jurídico y fáctico aplicable en lugar de basarse en una única métrica estadística.</w:t>
      </w:r>
    </w:p>
    <w:bookmarkEnd w:id="881"/>
    <w:bookmarkStart w:id="882" w:name="explicación-en-lenguaje-sencillo-90"/>
    <w:p>
      <w:pPr>
        <w:pStyle w:val="Heading2"/>
      </w:pPr>
      <w:r>
        <w:rPr>
          <w:rStyle w:val="SectionNumber"/>
        </w:rPr>
        <w:t xml:space="preserve">1.839</w:t>
      </w:r>
      <w:r>
        <w:tab/>
      </w:r>
      <w:r>
        <w:t xml:space="preserve">Explicación en lenguaje sencillo</w:t>
      </w:r>
    </w:p>
    <w:p>
      <w:pPr>
        <w:pStyle w:val="FirstParagraph"/>
      </w:pPr>
      <w:r>
        <w:t xml:space="preserve">La Bias puede surgir de datos, etiquetas, muestreo, proxies, objetivos, comportamiento del modelo, umbrales, prácticas de usuario, barreras de accesibilidad, bucles de retroalimentación, o el proceso de decisión circundante. La igual exactitud agregada no prueba la igualdad de trato, mientras que una disparidad numérica no determina por sí misma la ilegalidad legal.</w:t>
      </w:r>
    </w:p>
    <w:bookmarkEnd w:id="882"/>
    <w:bookmarkStart w:id="883" w:name="necesidades-de-evaluación-2"/>
    <w:p>
      <w:pPr>
        <w:pStyle w:val="Heading2"/>
      </w:pPr>
      <w:r>
        <w:rPr>
          <w:rStyle w:val="SectionNumber"/>
        </w:rPr>
        <w:t xml:space="preserve">1.840</w:t>
      </w:r>
      <w:r>
        <w:tab/>
      </w:r>
      <w:r>
        <w:t xml:space="preserve">Necesidades de evaluación</w:t>
      </w:r>
    </w:p>
    <w:p>
      <w:pPr>
        <w:pStyle w:val="FirstParagraph"/>
      </w:pPr>
      <w:r>
        <w:t xml:space="preserve">Evaluar como mínimo:</w:t>
      </w:r>
    </w:p>
    <w:p>
      <w:pPr>
        <w:numPr>
          <w:ilvl w:val="0"/>
          <w:numId w:val="1247"/>
        </w:numPr>
        <w:pStyle w:val="Compact"/>
      </w:pPr>
      <w:r>
        <w:t xml:space="preserve">grupos protegidos y vulnerables pertinentes para la jurisdicción y el caso de uso;</w:t>
      </w:r>
    </w:p>
    <w:p>
      <w:pPr>
        <w:numPr>
          <w:ilvl w:val="0"/>
          <w:numId w:val="1247"/>
        </w:numPr>
        <w:pStyle w:val="Compact"/>
      </w:pPr>
      <w:r>
        <w:t xml:space="preserve">representación, medición, etiquetado y riesgos de prejuicios históricos;</w:t>
      </w:r>
    </w:p>
    <w:p>
      <w:pPr>
        <w:numPr>
          <w:ilvl w:val="0"/>
          <w:numId w:val="1247"/>
        </w:numPr>
        <w:pStyle w:val="Compact"/>
      </w:pPr>
      <w:r>
        <w:t xml:space="preserve">variables proxy y características correlacionadas;</w:t>
      </w:r>
    </w:p>
    <w:p>
      <w:pPr>
        <w:numPr>
          <w:ilvl w:val="0"/>
          <w:numId w:val="1247"/>
        </w:numPr>
        <w:pStyle w:val="Compact"/>
      </w:pPr>
      <w:r>
        <w:t xml:space="preserve">rendimiento de subgrupos, tasas de error, calibración y efectos interseccionales;</w:t>
      </w:r>
    </w:p>
    <w:p>
      <w:pPr>
        <w:numPr>
          <w:ilvl w:val="0"/>
          <w:numId w:val="1247"/>
        </w:numPr>
        <w:pStyle w:val="Compact"/>
      </w:pPr>
      <w:r>
        <w:t xml:space="preserve">la accesibilidad y los requisitos de alojamiento razonable;</w:t>
      </w:r>
    </w:p>
    <w:p>
      <w:pPr>
        <w:numPr>
          <w:ilvl w:val="0"/>
          <w:numId w:val="1247"/>
        </w:numPr>
        <w:pStyle w:val="Compact"/>
      </w:pPr>
      <w:r>
        <w:t xml:space="preserve">las consecuencias sobre el umbral, la clasificación y el flujo de trabajo;</w:t>
      </w:r>
    </w:p>
    <w:p>
      <w:pPr>
        <w:numPr>
          <w:ilvl w:val="0"/>
          <w:numId w:val="1247"/>
        </w:numPr>
        <w:pStyle w:val="Compact"/>
      </w:pPr>
      <w:r>
        <w:t xml:space="preserve">sesgo de calidad y automatización de la revisión humana;</w:t>
      </w:r>
    </w:p>
    <w:p>
      <w:pPr>
        <w:numPr>
          <w:ilvl w:val="0"/>
          <w:numId w:val="1247"/>
        </w:numPr>
        <w:pStyle w:val="Compact"/>
      </w:pPr>
      <w:r>
        <w:t xml:space="preserve">mecanismos de denuncia, impugnación, explicación y reparación;</w:t>
      </w:r>
    </w:p>
    <w:p>
      <w:pPr>
        <w:numPr>
          <w:ilvl w:val="0"/>
          <w:numId w:val="1247"/>
        </w:numPr>
        <w:pStyle w:val="Compact"/>
      </w:pPr>
      <w:r>
        <w:t xml:space="preserve">bucles de retroalimentación y deriva después del despliegue;</w:t>
      </w:r>
    </w:p>
    <w:p>
      <w:pPr>
        <w:numPr>
          <w:ilvl w:val="0"/>
          <w:numId w:val="1247"/>
        </w:numPr>
        <w:pStyle w:val="Compact"/>
      </w:pPr>
      <w:r>
        <w:t xml:space="preserve">revisión legal de las métricas, mitigaciones y disparidades residuales propuestas.</w:t>
      </w:r>
    </w:p>
    <w:bookmarkEnd w:id="883"/>
    <w:bookmarkStart w:id="884" w:name="ejemplo-de-globalway-88"/>
    <w:p>
      <w:pPr>
        <w:pStyle w:val="Heading2"/>
      </w:pPr>
      <w:r>
        <w:rPr>
          <w:rStyle w:val="SectionNumber"/>
        </w:rPr>
        <w:t xml:space="preserve">1.841</w:t>
      </w:r>
      <w:r>
        <w:tab/>
      </w:r>
      <w:r>
        <w:t xml:space="preserve">Ejemplo de GlobalWay</w:t>
      </w:r>
    </w:p>
    <w:p>
      <w:pPr>
        <w:pStyle w:val="FirstParagraph"/>
      </w:pPr>
      <w:r>
        <w:t xml:space="preserve">GlobalWay prueba un sistema de clasificación de reclutamiento en grupos relevantes de solicitantes y familias de empleos. Revisa las tasas de falsos negativos, variables indirectas, barreras de acceso a la discapacidad, umbrales de clasificación, patrones de anulación humana y si hay alojamientos disponibles. Un resultado estadísticamente mejorado no es aceptado hasta que Legal y HR confirmen que el proceso sigue siendo legal y operacionalmente justo.</w:t>
      </w:r>
    </w:p>
    <w:bookmarkEnd w:id="884"/>
    <w:bookmarkStart w:id="885" w:name="actividad-de-control-89"/>
    <w:p>
      <w:pPr>
        <w:pStyle w:val="Heading2"/>
      </w:pPr>
      <w:r>
        <w:rPr>
          <w:rStyle w:val="SectionNumber"/>
        </w:rPr>
        <w:t xml:space="preserve">1.842</w:t>
      </w:r>
      <w:r>
        <w:tab/>
      </w:r>
      <w:r>
        <w:t xml:space="preserve">Actividad de control</w:t>
      </w:r>
    </w:p>
    <w:p>
      <w:pPr>
        <w:pStyle w:val="FirstParagraph"/>
      </w:pPr>
      <w:r>
        <w:t xml:space="preserve">Los sistemas de alto impacto deben someterse a pruebas de subgrupos documentadas antes del despliegue y recurrentes utilizando métodos apropiados desde el punto de vista jurídico y técnico. Las disparidades de materiales requieren análisis de causas profundas, mitigación, validación y aprobación.</w:t>
      </w:r>
    </w:p>
    <w:bookmarkEnd w:id="885"/>
    <w:bookmarkStart w:id="886" w:name="pruebas-94"/>
    <w:p>
      <w:pPr>
        <w:pStyle w:val="Heading2"/>
      </w:pPr>
      <w:r>
        <w:rPr>
          <w:rStyle w:val="SectionNumber"/>
        </w:rPr>
        <w:t xml:space="preserve">1.843</w:t>
      </w:r>
      <w:r>
        <w:tab/>
      </w:r>
      <w:r>
        <w:t xml:space="preserve">Pruebas</w:t>
      </w:r>
    </w:p>
    <w:p>
      <w:pPr>
        <w:numPr>
          <w:ilvl w:val="0"/>
          <w:numId w:val="1248"/>
        </w:numPr>
        <w:pStyle w:val="Compact"/>
      </w:pPr>
      <w:r>
        <w:t xml:space="preserve">análisis de grupos protegidos y de contexto jurídico;</w:t>
      </w:r>
    </w:p>
    <w:p>
      <w:pPr>
        <w:numPr>
          <w:ilvl w:val="0"/>
          <w:numId w:val="1248"/>
        </w:numPr>
        <w:pStyle w:val="Compact"/>
      </w:pPr>
      <w:r>
        <w:t xml:space="preserve">los datos y la revisión por variantes indirectas;</w:t>
      </w:r>
    </w:p>
    <w:p>
      <w:pPr>
        <w:numPr>
          <w:ilvl w:val="0"/>
          <w:numId w:val="1248"/>
        </w:numPr>
        <w:pStyle w:val="Compact"/>
      </w:pPr>
      <w:r>
        <w:t xml:space="preserve">pruebas de subgrupos e intersecciones;</w:t>
      </w:r>
    </w:p>
    <w:p>
      <w:pPr>
        <w:numPr>
          <w:ilvl w:val="0"/>
          <w:numId w:val="1248"/>
        </w:numPr>
        <w:pStyle w:val="Compact"/>
      </w:pPr>
      <w:r>
        <w:t xml:space="preserve">la accesibilidad y la evaluación del alojamiento;</w:t>
      </w:r>
    </w:p>
    <w:p>
      <w:pPr>
        <w:numPr>
          <w:ilvl w:val="0"/>
          <w:numId w:val="1248"/>
        </w:numPr>
        <w:pStyle w:val="Compact"/>
      </w:pPr>
      <w:r>
        <w:t xml:space="preserve">resultados de mitigación y validación;</w:t>
      </w:r>
    </w:p>
    <w:p>
      <w:pPr>
        <w:numPr>
          <w:ilvl w:val="0"/>
          <w:numId w:val="1248"/>
        </w:numPr>
        <w:pStyle w:val="Compact"/>
      </w:pPr>
      <w:r>
        <w:t xml:space="preserve">análisis de revisión y anulación humana;</w:t>
      </w:r>
    </w:p>
    <w:p>
      <w:pPr>
        <w:numPr>
          <w:ilvl w:val="0"/>
          <w:numId w:val="1248"/>
        </w:numPr>
        <w:pStyle w:val="Compact"/>
      </w:pPr>
      <w:r>
        <w:t xml:space="preserve">quejas y tendencias de seguimiento;</w:t>
      </w:r>
    </w:p>
    <w:p>
      <w:pPr>
        <w:numPr>
          <w:ilvl w:val="0"/>
          <w:numId w:val="1248"/>
        </w:numPr>
        <w:pStyle w:val="Compact"/>
      </w:pPr>
      <w:r>
        <w:t xml:space="preserve">aprobaciones legales y de gestión.</w:t>
      </w:r>
    </w:p>
    <w:bookmarkEnd w:id="886"/>
    <w:bookmarkStart w:id="887" w:name="prueba-de-auditoría-90"/>
    <w:p>
      <w:pPr>
        <w:pStyle w:val="Heading2"/>
      </w:pPr>
      <w:r>
        <w:rPr>
          <w:rStyle w:val="SectionNumber"/>
        </w:rPr>
        <w:t xml:space="preserve">1.844</w:t>
      </w:r>
      <w:r>
        <w:tab/>
      </w:r>
      <w:r>
        <w:t xml:space="preserve">Prueba de auditoría</w:t>
      </w:r>
    </w:p>
    <w:p>
      <w:pPr>
        <w:pStyle w:val="FirstParagraph"/>
      </w:pPr>
      <w:r>
        <w:t xml:space="preserve">Algunos sistemas que afectan al empleo, la educación, el crédito, los seguros, los servicios esenciales u otras decisiones consiguientes. Verificar que se identificaron los grupos pertinentes y los requisitos legales, las pruebas abarcaron subgrupos y resultados significativos, se validaron las medidas de mitigación, se abordó la accesibilidad y la vigilancia detectó nuevas disparidades.</w:t>
      </w:r>
    </w:p>
    <w:bookmarkEnd w:id="887"/>
    <w:bookmarkStart w:id="888" w:name="referencias-jurídicas-primarias-63"/>
    <w:p>
      <w:pPr>
        <w:pStyle w:val="Heading2"/>
      </w:pPr>
      <w:r>
        <w:rPr>
          <w:rStyle w:val="SectionNumber"/>
        </w:rPr>
        <w:t xml:space="preserve">1.845</w:t>
      </w:r>
      <w:r>
        <w:tab/>
      </w:r>
      <w:r>
        <w:t xml:space="preserve">Referencias jurídicas primarias</w:t>
      </w:r>
    </w:p>
    <w:p>
      <w:pPr>
        <w:numPr>
          <w:ilvl w:val="0"/>
          <w:numId w:val="1249"/>
        </w:numPr>
        <w:pStyle w:val="Compact"/>
      </w:pPr>
      <w:r>
        <w:t xml:space="preserve">Reglamento (UE) 2024/1689, en su versión modificada: disposiciones aplicables sobre prácticas prohibidas, alto riesgo, gobernanza de los datos, supervisión humana, precisión, supervisión y derechos fundamentales.</w:t>
      </w:r>
    </w:p>
    <w:p>
      <w:pPr>
        <w:numPr>
          <w:ilvl w:val="0"/>
          <w:numId w:val="1249"/>
        </w:numPr>
        <w:pStyle w:val="Compact"/>
      </w:pPr>
      <w:r>
        <w:t xml:space="preserve">Carta de los Derechos Fundamentales de la Unión Europea.</w:t>
      </w:r>
    </w:p>
    <w:p>
      <w:pPr>
        <w:numPr>
          <w:ilvl w:val="0"/>
          <w:numId w:val="1249"/>
        </w:numPr>
        <w:pStyle w:val="Compact"/>
      </w:pPr>
      <w:r>
        <w:t xml:space="preserve">Igualdad aplicable entre la Unión y los Estados miembros, empleo, discapacidad, protección de los consumidores y legislación sectorial.</w:t>
      </w:r>
    </w:p>
    <w:bookmarkEnd w:id="888"/>
    <w:bookmarkStart w:id="889" w:name="X5371288da1594cb0496ab18c0e0e3121b84736d"/>
    <w:p>
      <w:pPr>
        <w:pStyle w:val="Heading2"/>
      </w:pPr>
      <w:r>
        <w:rPr>
          <w:rStyle w:val="SectionNumber"/>
        </w:rPr>
        <w:t xml:space="preserve">1.846</w:t>
      </w:r>
      <w:r>
        <w:tab/>
      </w:r>
      <w:r>
        <w:t xml:space="preserve">Capítulo 96 — Riesgo en materia de privacidad y protección de datos</w:t>
      </w:r>
    </w:p>
    <w:p>
      <w:pPr>
        <w:pStyle w:val="BlockText"/>
      </w:pPr>
      <w:r>
        <w:rPr>
          <w:bCs/>
          <w:b/>
        </w:rPr>
        <w:t xml:space="preserve">Estatus legal:</w:t>
      </w:r>
      <w:r>
        <w:t xml:space="preserve"> </w:t>
      </w:r>
      <w:r>
        <w:t xml:space="preserve">Corregido Maestro Inglés para la consolidación. Este archivo controla el lenguaje de borrador del Capítulo 96 anterior.</w:t>
      </w:r>
    </w:p>
    <w:bookmarkEnd w:id="889"/>
    <w:bookmarkStart w:id="890" w:name="requisito-94"/>
    <w:p>
      <w:pPr>
        <w:pStyle w:val="Heading2"/>
      </w:pPr>
      <w:r>
        <w:rPr>
          <w:rStyle w:val="SectionNumber"/>
        </w:rPr>
        <w:t xml:space="preserve">1.847</w:t>
      </w:r>
      <w:r>
        <w:tab/>
      </w:r>
      <w:r>
        <w:t xml:space="preserve">Requisito</w:t>
      </w:r>
    </w:p>
    <w:p>
      <w:pPr>
        <w:pStyle w:val="FirstParagraph"/>
      </w:pPr>
      <w:r>
        <w:t xml:space="preserve">Las organizaciones deben identificar, evaluar, mitigar y supervisar los riesgos de privacidad y protección de datos derivados del desarrollo y uso de IA. El cumplimiento de la Ley de IA y el cumplimiento del RGPD deben coordinarse pero evaluarse por separado porque los dos regímenes imponen diferentes funciones, desencadenantes, deberes y requisitos de evidencia.</w:t>
      </w:r>
    </w:p>
    <w:bookmarkEnd w:id="890"/>
    <w:bookmarkStart w:id="891" w:name="explicación-en-lenguaje-sencillo-91"/>
    <w:p>
      <w:pPr>
        <w:pStyle w:val="Heading2"/>
      </w:pPr>
      <w:r>
        <w:rPr>
          <w:rStyle w:val="SectionNumber"/>
        </w:rPr>
        <w:t xml:space="preserve">1.848</w:t>
      </w:r>
      <w:r>
        <w:tab/>
      </w:r>
      <w:r>
        <w:t xml:space="preserve">Explicación en lenguaje sencillo</w:t>
      </w:r>
    </w:p>
    <w:p>
      <w:pPr>
        <w:pStyle w:val="FirstParagraph"/>
      </w:pPr>
      <w:r>
        <w:t xml:space="preserve">Un sistema de IA puede cumplir con sus obligaciones en virtud de la Ley de IA y aún así violar la ley de protección de datos. La revisión de la privacidad debe examinar por qué se procesan los datos personales, cuyos datos están involucrados, si los datos son necesarios, cuánto tiempo se retienen, quién los recibe, cómo las personas ejercen sus derechos y si se aplican restricciones o salvaguardias automatizadas para la adopción de decisiones.</w:t>
      </w:r>
    </w:p>
    <w:bookmarkEnd w:id="891"/>
    <w:bookmarkStart w:id="892" w:name="necesidades-de-evaluación-3"/>
    <w:p>
      <w:pPr>
        <w:pStyle w:val="Heading2"/>
      </w:pPr>
      <w:r>
        <w:rPr>
          <w:rStyle w:val="SectionNumber"/>
        </w:rPr>
        <w:t xml:space="preserve">1.849</w:t>
      </w:r>
      <w:r>
        <w:tab/>
      </w:r>
      <w:r>
        <w:t xml:space="preserve">Necesidades de evaluación</w:t>
      </w:r>
    </w:p>
    <w:p>
      <w:pPr>
        <w:pStyle w:val="FirstParagraph"/>
      </w:pPr>
      <w:r>
        <w:t xml:space="preserve">Evaluar como mínimo:</w:t>
      </w:r>
    </w:p>
    <w:p>
      <w:pPr>
        <w:numPr>
          <w:ilvl w:val="0"/>
          <w:numId w:val="1250"/>
        </w:numPr>
        <w:pStyle w:val="Compact"/>
      </w:pPr>
      <w:r>
        <w:t xml:space="preserve">funciones de controlador, controlador conjunto, procesador y receptor;</w:t>
      </w:r>
    </w:p>
    <w:p>
      <w:pPr>
        <w:numPr>
          <w:ilvl w:val="0"/>
          <w:numId w:val="1250"/>
        </w:numPr>
        <w:pStyle w:val="Compact"/>
      </w:pPr>
      <w:r>
        <w:t xml:space="preserve">finalidad, fundamento legítimo, compatibilidad, necesidad y proporcionalidad;</w:t>
      </w:r>
    </w:p>
    <w:p>
      <w:pPr>
        <w:numPr>
          <w:ilvl w:val="0"/>
          <w:numId w:val="1250"/>
        </w:numPr>
        <w:pStyle w:val="Compact"/>
      </w:pPr>
      <w:r>
        <w:t xml:space="preserve">datos de categorías especiales y delitos penales;</w:t>
      </w:r>
    </w:p>
    <w:p>
      <w:pPr>
        <w:numPr>
          <w:ilvl w:val="0"/>
          <w:numId w:val="1250"/>
        </w:numPr>
        <w:pStyle w:val="Compact"/>
      </w:pPr>
      <w:r>
        <w:t xml:space="preserve">la minimización, exactitud, procedencia y retención de los datos;</w:t>
      </w:r>
    </w:p>
    <w:p>
      <w:pPr>
        <w:numPr>
          <w:ilvl w:val="0"/>
          <w:numId w:val="1250"/>
        </w:numPr>
        <w:pStyle w:val="Compact"/>
      </w:pPr>
      <w:r>
        <w:t xml:space="preserve">transparencia y derechos de los sujetos de datos;</w:t>
      </w:r>
    </w:p>
    <w:p>
      <w:pPr>
        <w:numPr>
          <w:ilvl w:val="0"/>
          <w:numId w:val="1250"/>
        </w:numPr>
        <w:pStyle w:val="Compact"/>
      </w:pPr>
      <w:r>
        <w:t xml:space="preserve">elaboración de perfiles y decisiones exclusivamente automatizadas con efectos jurídicos o similares;</w:t>
      </w:r>
    </w:p>
    <w:p>
      <w:pPr>
        <w:numPr>
          <w:ilvl w:val="0"/>
          <w:numId w:val="1250"/>
        </w:numPr>
        <w:pStyle w:val="Compact"/>
      </w:pPr>
      <w:r>
        <w:t xml:space="preserve">Aplicabilidad, consulta y alto riesgo residual del DPIA;</w:t>
      </w:r>
    </w:p>
    <w:p>
      <w:pPr>
        <w:numPr>
          <w:ilvl w:val="0"/>
          <w:numId w:val="1250"/>
        </w:numPr>
        <w:pStyle w:val="Compact"/>
      </w:pPr>
      <w:r>
        <w:t xml:space="preserve">transferencias internacionales, subprocesadores y localización de datos;</w:t>
      </w:r>
    </w:p>
    <w:p>
      <w:pPr>
        <w:numPr>
          <w:ilvl w:val="0"/>
          <w:numId w:val="1250"/>
        </w:numPr>
        <w:pStyle w:val="Compact"/>
      </w:pPr>
      <w:r>
        <w:t xml:space="preserve">seguridad, confidencialidad, reidentificación, memorización de modelos y fugas;</w:t>
      </w:r>
    </w:p>
    <w:p>
      <w:pPr>
        <w:numPr>
          <w:ilvl w:val="0"/>
          <w:numId w:val="1250"/>
        </w:numPr>
        <w:pStyle w:val="Compact"/>
      </w:pPr>
      <w:r>
        <w:t xml:space="preserve">formación, ajuste, rapidez, registro, salida y datos del bucle de retroalimentación;</w:t>
      </w:r>
    </w:p>
    <w:p>
      <w:pPr>
        <w:numPr>
          <w:ilvl w:val="0"/>
          <w:numId w:val="1250"/>
        </w:numPr>
        <w:pStyle w:val="Compact"/>
      </w:pPr>
      <w:r>
        <w:t xml:space="preserve">los procesos de supresión, corrección, restricción, oposición y impugnabilidad;</w:t>
      </w:r>
    </w:p>
    <w:p>
      <w:pPr>
        <w:numPr>
          <w:ilvl w:val="0"/>
          <w:numId w:val="1250"/>
        </w:numPr>
        <w:pStyle w:val="Compact"/>
      </w:pPr>
      <w:r>
        <w:t xml:space="preserve">alineación con la documentación técnica de AI Act, gobernanza de datos, registro, monitoreo y controles de incidentes.</w:t>
      </w:r>
    </w:p>
    <w:bookmarkEnd w:id="892"/>
    <w:bookmarkStart w:id="893" w:name="ejemplo-de-globalway-89"/>
    <w:p>
      <w:pPr>
        <w:pStyle w:val="Heading2"/>
      </w:pPr>
      <w:r>
        <w:rPr>
          <w:rStyle w:val="SectionNumber"/>
        </w:rPr>
        <w:t xml:space="preserve">1.850</w:t>
      </w:r>
      <w:r>
        <w:tab/>
      </w:r>
      <w:r>
        <w:t xml:space="preserve">Ejemplo de GlobalWay</w:t>
      </w:r>
    </w:p>
    <w:p>
      <w:pPr>
        <w:pStyle w:val="FirstParagraph"/>
      </w:pPr>
      <w:r>
        <w:t xml:space="preserve">GlobalWay evalúa un servicio de selección de contrataciones que procesa perfiles de solicitantes y transcripciones de entrevistas. Se documenta funciones de controlador y procesador, base legal, minimización, retención, controles de datos de categorías especiales, conclusiones del DPIA, salvaguardias de decisiones automatizadas, transferencias internacionales, notificaciones de solicitantes y flujos de trabajo de eliminación.</w:t>
      </w:r>
    </w:p>
    <w:bookmarkEnd w:id="893"/>
    <w:bookmarkStart w:id="894" w:name="actividad-de-control-90"/>
    <w:p>
      <w:pPr>
        <w:pStyle w:val="Heading2"/>
      </w:pPr>
      <w:r>
        <w:rPr>
          <w:rStyle w:val="SectionNumber"/>
        </w:rPr>
        <w:t xml:space="preserve">1.851</w:t>
      </w:r>
      <w:r>
        <w:tab/>
      </w:r>
      <w:r>
        <w:t xml:space="preserve">Actividad de control</w:t>
      </w:r>
    </w:p>
    <w:p>
      <w:pPr>
        <w:pStyle w:val="FirstParagraph"/>
      </w:pPr>
      <w:r>
        <w:t xml:space="preserve">Ningún sistema de IA que procesa datos personales puede entrar en producción hasta que Privacidad confirme el análisis de rol, base legal, DPIA requerido, minimización de datos, retención, transparencia, manejo de derechos, seguridad y controles contractuales.</w:t>
      </w:r>
    </w:p>
    <w:bookmarkEnd w:id="894"/>
    <w:bookmarkStart w:id="895" w:name="pruebas-95"/>
    <w:p>
      <w:pPr>
        <w:pStyle w:val="Heading2"/>
      </w:pPr>
      <w:r>
        <w:rPr>
          <w:rStyle w:val="SectionNumber"/>
        </w:rPr>
        <w:t xml:space="preserve">1.852</w:t>
      </w:r>
      <w:r>
        <w:tab/>
      </w:r>
      <w:r>
        <w:t xml:space="preserve">Pruebas</w:t>
      </w:r>
    </w:p>
    <w:p>
      <w:pPr>
        <w:numPr>
          <w:ilvl w:val="0"/>
          <w:numId w:val="1251"/>
        </w:numPr>
        <w:pStyle w:val="Compact"/>
      </w:pPr>
      <w:r>
        <w:t xml:space="preserve">el flujo de datos y el mapa de funciones;</w:t>
      </w:r>
    </w:p>
    <w:p>
      <w:pPr>
        <w:numPr>
          <w:ilvl w:val="0"/>
          <w:numId w:val="1251"/>
        </w:numPr>
        <w:pStyle w:val="Compact"/>
      </w:pPr>
      <w:r>
        <w:t xml:space="preserve">la base legal y la evaluación de la finalidad;</w:t>
      </w:r>
    </w:p>
    <w:p>
      <w:pPr>
        <w:numPr>
          <w:ilvl w:val="0"/>
          <w:numId w:val="1251"/>
        </w:numPr>
        <w:pStyle w:val="Compact"/>
      </w:pPr>
      <w:r>
        <w:t xml:space="preserve">DIPA y registros de consultas;</w:t>
      </w:r>
    </w:p>
    <w:p>
      <w:pPr>
        <w:numPr>
          <w:ilvl w:val="0"/>
          <w:numId w:val="1251"/>
        </w:numPr>
        <w:pStyle w:val="Compact"/>
      </w:pPr>
      <w:r>
        <w:t xml:space="preserve">los registros de las actividades de transformación;</w:t>
      </w:r>
    </w:p>
    <w:p>
      <w:pPr>
        <w:numPr>
          <w:ilvl w:val="0"/>
          <w:numId w:val="1251"/>
        </w:numPr>
        <w:pStyle w:val="Compact"/>
      </w:pPr>
      <w:r>
        <w:t xml:space="preserve">los avisos de privacidad y los procedimientos relativos a los derechos;</w:t>
      </w:r>
    </w:p>
    <w:p>
      <w:pPr>
        <w:numPr>
          <w:ilvl w:val="0"/>
          <w:numId w:val="1251"/>
        </w:numPr>
        <w:pStyle w:val="Compact"/>
      </w:pPr>
      <w:r>
        <w:t xml:space="preserve">el calendario de retención y supresión;</w:t>
      </w:r>
    </w:p>
    <w:p>
      <w:pPr>
        <w:numPr>
          <w:ilvl w:val="0"/>
          <w:numId w:val="1251"/>
        </w:numPr>
        <w:pStyle w:val="Compact"/>
      </w:pPr>
      <w:r>
        <w:t xml:space="preserve">los acuerdos de transferencia y transformación;</w:t>
      </w:r>
    </w:p>
    <w:p>
      <w:pPr>
        <w:numPr>
          <w:ilvl w:val="0"/>
          <w:numId w:val="1251"/>
        </w:numPr>
        <w:pStyle w:val="Compact"/>
      </w:pPr>
      <w:r>
        <w:t xml:space="preserve">pruebas de seguridad y fugas;</w:t>
      </w:r>
    </w:p>
    <w:p>
      <w:pPr>
        <w:numPr>
          <w:ilvl w:val="0"/>
          <w:numId w:val="1251"/>
        </w:numPr>
        <w:pStyle w:val="Compact"/>
      </w:pPr>
      <w:r>
        <w:t xml:space="preserve">cambio y reevaluación de la historia.</w:t>
      </w:r>
    </w:p>
    <w:bookmarkEnd w:id="895"/>
    <w:bookmarkStart w:id="896" w:name="prueba-de-auditoría-91"/>
    <w:p>
      <w:pPr>
        <w:pStyle w:val="Heading2"/>
      </w:pPr>
      <w:r>
        <w:rPr>
          <w:rStyle w:val="SectionNumber"/>
        </w:rPr>
        <w:t xml:space="preserve">1.853</w:t>
      </w:r>
      <w:r>
        <w:tab/>
      </w:r>
      <w:r>
        <w:t xml:space="preserve">Prueba de auditoría</w:t>
      </w:r>
    </w:p>
    <w:p>
      <w:pPr>
        <w:pStyle w:val="FirstParagraph"/>
      </w:pPr>
      <w:r>
        <w:t xml:space="preserve">Comprobar que las funciones y la base legal coincidan con el procesamiento real, la decisión del DPIA es aceptable, se abordaron cuestiones de categoría especial y de decisión automatizada, se pueden ejercer derechos en la práctica, se hace cumplir la retención y se desencadenan cambios materiales en la evaluación.</w:t>
      </w:r>
    </w:p>
    <w:bookmarkEnd w:id="896"/>
    <w:bookmarkStart w:id="897" w:name="referencias-jurídicas-primarias-64"/>
    <w:p>
      <w:pPr>
        <w:pStyle w:val="Heading2"/>
      </w:pPr>
      <w:r>
        <w:rPr>
          <w:rStyle w:val="SectionNumber"/>
        </w:rPr>
        <w:t xml:space="preserve">1.854</w:t>
      </w:r>
      <w:r>
        <w:tab/>
      </w:r>
      <w:r>
        <w:t xml:space="preserve">Referencias jurídicas primarias</w:t>
      </w:r>
    </w:p>
    <w:p>
      <w:pPr>
        <w:numPr>
          <w:ilvl w:val="0"/>
          <w:numId w:val="1252"/>
        </w:numPr>
        <w:pStyle w:val="Compact"/>
      </w:pPr>
      <w:r>
        <w:t xml:space="preserve">Reglamento (UE) 2016/679, incluidos los artículos 5, 6, 9, 12 a 22, 25, 28, 30, 32, 35 a 36, y el capítulo V, según proceda.</w:t>
      </w:r>
    </w:p>
    <w:p>
      <w:pPr>
        <w:numPr>
          <w:ilvl w:val="0"/>
          <w:numId w:val="1252"/>
        </w:numPr>
        <w:pStyle w:val="Compact"/>
      </w:pPr>
      <w:r>
        <w:t xml:space="preserve">Reglamento (UE) 2024/1689, modificado: disposiciones aplicables en materia de gobernanza de los datos, transparencia, registro, despliegue, supervisión y derechos fundamentales.</w:t>
      </w:r>
    </w:p>
    <w:p>
      <w:pPr>
        <w:numPr>
          <w:ilvl w:val="0"/>
          <w:numId w:val="1252"/>
        </w:numPr>
        <w:pStyle w:val="Compact"/>
      </w:pPr>
      <w:r>
        <w:t xml:space="preserve">Los textos oficiales consolidados actuales controlan los resúmenes antiguos.</w:t>
      </w:r>
    </w:p>
    <w:bookmarkEnd w:id="897"/>
    <w:bookmarkStart w:id="898" w:name="capítulo-97-riesgo-de-ciberseguridad"/>
    <w:p>
      <w:pPr>
        <w:pStyle w:val="Heading2"/>
      </w:pPr>
      <w:r>
        <w:rPr>
          <w:rStyle w:val="SectionNumber"/>
        </w:rPr>
        <w:t xml:space="preserve">1.855</w:t>
      </w:r>
      <w:r>
        <w:tab/>
      </w:r>
      <w:r>
        <w:t xml:space="preserve">Capítulo 97 — Riesgo de ciberseguridad</w:t>
      </w:r>
    </w:p>
    <w:p>
      <w:pPr>
        <w:pStyle w:val="BlockText"/>
      </w:pPr>
      <w:r>
        <w:rPr>
          <w:bCs/>
          <w:b/>
        </w:rPr>
        <w:t xml:space="preserve">Estatus legal:</w:t>
      </w:r>
      <w:r>
        <w:t xml:space="preserve"> </w:t>
      </w:r>
      <w:r>
        <w:t xml:space="preserve">Corregido Maestro Inglés para la consolidación. Este archivo controla el lenguaje de borrador anterior del Capítulo 97.</w:t>
      </w:r>
    </w:p>
    <w:bookmarkEnd w:id="898"/>
    <w:bookmarkStart w:id="899" w:name="requisito-95"/>
    <w:p>
      <w:pPr>
        <w:pStyle w:val="Heading2"/>
      </w:pPr>
      <w:r>
        <w:rPr>
          <w:rStyle w:val="SectionNumber"/>
        </w:rPr>
        <w:t xml:space="preserve">1.856</w:t>
      </w:r>
      <w:r>
        <w:tab/>
      </w:r>
      <w:r>
        <w:t xml:space="preserve">Requisito</w:t>
      </w:r>
    </w:p>
    <w:p>
      <w:pPr>
        <w:pStyle w:val="FirstParagraph"/>
      </w:pPr>
      <w:r>
        <w:t xml:space="preserve">Las organizaciones deben identificar, evaluar, mitigar, probar y monitorear los riesgos de ciberseguridad que afectan a los sistemas, modelos, datos, interfaces, infraestructura, usuarios y servicios dependientes de IA durante todo el ciclo de vida.</w:t>
      </w:r>
    </w:p>
    <w:bookmarkEnd w:id="899"/>
    <w:bookmarkStart w:id="900" w:name="explicación-en-lenguaje-sencillo-92"/>
    <w:p>
      <w:pPr>
        <w:pStyle w:val="Heading2"/>
      </w:pPr>
      <w:r>
        <w:rPr>
          <w:rStyle w:val="SectionNumber"/>
        </w:rPr>
        <w:t xml:space="preserve">1.857</w:t>
      </w:r>
      <w:r>
        <w:tab/>
      </w:r>
      <w:r>
        <w:t xml:space="preserve">Explicación en lenguaje sencillo</w:t>
      </w:r>
    </w:p>
    <w:p>
      <w:pPr>
        <w:pStyle w:val="FirstParagraph"/>
      </w:pPr>
      <w:r>
        <w:t xml:space="preserve">Los atacantes pueden manipular avisos, datos tóxicos, evadir la detección, extraer modelos, robar credenciales, explotar APIs, comprometer dependencias o inducir acciones de herramientas inseguras. Por lo tanto, la seguridad requiere controles coordinados entre software, modelos, datos, identidad, infraestructura, proveedores y operaciones.</w:t>
      </w:r>
    </w:p>
    <w:bookmarkEnd w:id="900"/>
    <w:bookmarkStart w:id="901" w:name="necesidades-de-evaluación-4"/>
    <w:p>
      <w:pPr>
        <w:pStyle w:val="Heading2"/>
      </w:pPr>
      <w:r>
        <w:rPr>
          <w:rStyle w:val="SectionNumber"/>
        </w:rPr>
        <w:t xml:space="preserve">1.858</w:t>
      </w:r>
      <w:r>
        <w:tab/>
      </w:r>
      <w:r>
        <w:t xml:space="preserve">Necesidades de evaluación</w:t>
      </w:r>
    </w:p>
    <w:p>
      <w:pPr>
        <w:pStyle w:val="FirstParagraph"/>
      </w:pPr>
      <w:r>
        <w:t xml:space="preserve">Evaluar como mínimo:</w:t>
      </w:r>
    </w:p>
    <w:p>
      <w:pPr>
        <w:numPr>
          <w:ilvl w:val="0"/>
          <w:numId w:val="1253"/>
        </w:numPr>
        <w:pStyle w:val="Compact"/>
      </w:pPr>
      <w:r>
        <w:t xml:space="preserve">activos, límites de confianza, usuarios, privilegios y flujos de datos;</w:t>
      </w:r>
    </w:p>
    <w:p>
      <w:pPr>
        <w:numPr>
          <w:ilvl w:val="0"/>
          <w:numId w:val="1253"/>
        </w:numPr>
        <w:pStyle w:val="Compact"/>
      </w:pPr>
      <w:r>
        <w:t xml:space="preserve">inyección rápida, inyección rápida indirecta, fugas y uso inseguro de herramientas;</w:t>
      </w:r>
    </w:p>
    <w:p>
      <w:pPr>
        <w:numPr>
          <w:ilvl w:val="0"/>
          <w:numId w:val="1253"/>
        </w:numPr>
        <w:pStyle w:val="Compact"/>
      </w:pPr>
      <w:r>
        <w:t xml:space="preserve">envenenamiento de datos de formación, manipulación de fuentes de recuperación y uso indebido de bucles de retroalimentación;</w:t>
      </w:r>
    </w:p>
    <w:p>
      <w:pPr>
        <w:numPr>
          <w:ilvl w:val="0"/>
          <w:numId w:val="1253"/>
        </w:numPr>
        <w:pStyle w:val="Compact"/>
      </w:pPr>
      <w:r>
        <w:t xml:space="preserve">ejemplos contradictorios, evasión, extracción de modelos, inversión e inferencia de miembros;</w:t>
      </w:r>
    </w:p>
    <w:p>
      <w:pPr>
        <w:numPr>
          <w:ilvl w:val="0"/>
          <w:numId w:val="1253"/>
        </w:numPr>
        <w:pStyle w:val="Compact"/>
      </w:pPr>
      <w:r>
        <w:t xml:space="preserve">secretos, credenciales, APIs, plugins, agentes e integraciones privilegiadas;</w:t>
      </w:r>
    </w:p>
    <w:p>
      <w:pPr>
        <w:numPr>
          <w:ilvl w:val="0"/>
          <w:numId w:val="1253"/>
        </w:numPr>
        <w:pStyle w:val="Compact"/>
      </w:pPr>
      <w:r>
        <w:t xml:space="preserve">confidencialidad, integridad, disponibilidad, autenticidad y resiliencia;</w:t>
      </w:r>
    </w:p>
    <w:p>
      <w:pPr>
        <w:numPr>
          <w:ilvl w:val="0"/>
          <w:numId w:val="1253"/>
        </w:numPr>
        <w:pStyle w:val="Compact"/>
      </w:pPr>
      <w:r>
        <w:t xml:space="preserve">vulnerabilidades de modelo, biblioteca, contenedor, nube y proveedor;</w:t>
      </w:r>
    </w:p>
    <w:p>
      <w:pPr>
        <w:numPr>
          <w:ilvl w:val="0"/>
          <w:numId w:val="1253"/>
        </w:numPr>
        <w:pStyle w:val="Compact"/>
      </w:pPr>
      <w:r>
        <w:t xml:space="preserve">registro, detección, respuesta a incidentes, retroceso y preservación de pruebas;</w:t>
      </w:r>
    </w:p>
    <w:p>
      <w:pPr>
        <w:numPr>
          <w:ilvl w:val="0"/>
          <w:numId w:val="1253"/>
        </w:numPr>
        <w:pStyle w:val="Compact"/>
      </w:pPr>
      <w:r>
        <w:t xml:space="preserve">denegación del servicio, agotamiento de la capacidad y fallo de la dependencia;</w:t>
      </w:r>
    </w:p>
    <w:p>
      <w:pPr>
        <w:numPr>
          <w:ilvl w:val="0"/>
          <w:numId w:val="1253"/>
        </w:numPr>
        <w:pStyle w:val="Compact"/>
      </w:pPr>
      <w:r>
        <w:t xml:space="preserve">desarrollo seguro, control de cambios, parches y revelación de vulnerabilidad;</w:t>
      </w:r>
    </w:p>
    <w:p>
      <w:pPr>
        <w:numPr>
          <w:ilvl w:val="0"/>
          <w:numId w:val="1253"/>
        </w:numPr>
        <w:pStyle w:val="Compact"/>
      </w:pPr>
      <w:r>
        <w:t xml:space="preserve">fuga de datos, memorización de modelos, filtrado de salidas y control de acceso;</w:t>
      </w:r>
    </w:p>
    <w:p>
      <w:pPr>
        <w:numPr>
          <w:ilvl w:val="0"/>
          <w:numId w:val="1253"/>
        </w:numPr>
        <w:pStyle w:val="Compact"/>
      </w:pPr>
      <w:r>
        <w:t xml:space="preserve">el cambio de material y los desencadenantes de la reevaluación posterior al incidente.</w:t>
      </w:r>
    </w:p>
    <w:bookmarkEnd w:id="901"/>
    <w:bookmarkStart w:id="902" w:name="ejemplo-de-globalway-90"/>
    <w:p>
      <w:pPr>
        <w:pStyle w:val="Heading2"/>
      </w:pPr>
      <w:r>
        <w:rPr>
          <w:rStyle w:val="SectionNumber"/>
        </w:rPr>
        <w:t xml:space="preserve">1.859</w:t>
      </w:r>
      <w:r>
        <w:tab/>
      </w:r>
      <w:r>
        <w:t xml:space="preserve">Ejemplo de GlobalWay</w:t>
      </w:r>
    </w:p>
    <w:p>
      <w:pPr>
        <w:pStyle w:val="FirstParagraph"/>
      </w:pPr>
      <w:r>
        <w:t xml:space="preserve">GlobalWay modela un agente de asistencia para viajes que puede leer itinerarios e iniciar cambios en la reserva. Identifica la inyección rápida indirecta a través de contenido externo, cuentas de servicio sobreprivilegiadas, fugas de datos sensibles, plugins maliciosos y interrupciones del proveedor de modelos. La liberación se bloquea hasta que se validen la reducción de privilegios, el aislamiento de contenido, la confirmación de transacciones, el monitoreo y los controles de reserva.</w:t>
      </w:r>
    </w:p>
    <w:bookmarkEnd w:id="902"/>
    <w:bookmarkStart w:id="903" w:name="actividad-de-control-91"/>
    <w:p>
      <w:pPr>
        <w:pStyle w:val="Heading2"/>
      </w:pPr>
      <w:r>
        <w:rPr>
          <w:rStyle w:val="SectionNumber"/>
        </w:rPr>
        <w:t xml:space="preserve">1.860</w:t>
      </w:r>
      <w:r>
        <w:tab/>
      </w:r>
      <w:r>
        <w:t xml:space="preserve">Actividad de control</w:t>
      </w:r>
    </w:p>
    <w:p>
      <w:pPr>
        <w:pStyle w:val="FirstParagraph"/>
      </w:pPr>
      <w:r>
        <w:t xml:space="preserve">Los sistemas de IA de materiales deben pasar la revisión de la arquitectura de seguridad basada en el riesgo, la modelización de amenazas, el desarrollo seguro, los ensayos contradictorios, la gestión de la vulnerabilidad y la verificación de la preparación para incidentes antes de la producción y después de cambios significativos.</w:t>
      </w:r>
    </w:p>
    <w:bookmarkEnd w:id="903"/>
    <w:bookmarkStart w:id="904" w:name="pruebas-96"/>
    <w:p>
      <w:pPr>
        <w:pStyle w:val="Heading2"/>
      </w:pPr>
      <w:r>
        <w:rPr>
          <w:rStyle w:val="SectionNumber"/>
        </w:rPr>
        <w:t xml:space="preserve">1.861</w:t>
      </w:r>
      <w:r>
        <w:tab/>
      </w:r>
      <w:r>
        <w:t xml:space="preserve">Pruebas</w:t>
      </w:r>
    </w:p>
    <w:p>
      <w:pPr>
        <w:numPr>
          <w:ilvl w:val="0"/>
          <w:numId w:val="1254"/>
        </w:numPr>
        <w:pStyle w:val="Compact"/>
      </w:pPr>
      <w:r>
        <w:t xml:space="preserve">modelo de amenaza e inventario de la superficie de ataque;</w:t>
      </w:r>
    </w:p>
    <w:p>
      <w:pPr>
        <w:numPr>
          <w:ilvl w:val="0"/>
          <w:numId w:val="1254"/>
        </w:numPr>
        <w:pStyle w:val="Compact"/>
      </w:pPr>
      <w:r>
        <w:t xml:space="preserve">arquitectura de seguridad y diagramas de flujo de datos;</w:t>
      </w:r>
    </w:p>
    <w:p>
      <w:pPr>
        <w:numPr>
          <w:ilvl w:val="0"/>
          <w:numId w:val="1254"/>
        </w:numPr>
        <w:pStyle w:val="Compact"/>
      </w:pPr>
      <w:r>
        <w:t xml:space="preserve">los registros de desarrollo seguro y de revisión de códigos;</w:t>
      </w:r>
    </w:p>
    <w:p>
      <w:pPr>
        <w:numPr>
          <w:ilvl w:val="0"/>
          <w:numId w:val="1254"/>
        </w:numPr>
        <w:pStyle w:val="Compact"/>
      </w:pPr>
      <w:r>
        <w:t xml:space="preserve">análisis de vulnerabilidad e inventarios de dependencia;</w:t>
      </w:r>
    </w:p>
    <w:p>
      <w:pPr>
        <w:numPr>
          <w:ilvl w:val="0"/>
          <w:numId w:val="1254"/>
        </w:numPr>
        <w:pStyle w:val="Compact"/>
      </w:pPr>
      <w:r>
        <w:t xml:space="preserve">resultados contradictorios y pruebas de penetración;</w:t>
      </w:r>
    </w:p>
    <w:p>
      <w:pPr>
        <w:numPr>
          <w:ilvl w:val="0"/>
          <w:numId w:val="1254"/>
        </w:numPr>
        <w:pStyle w:val="Compact"/>
      </w:pPr>
      <w:r>
        <w:t xml:space="preserve">identidad, acceso y pruebas de gestión de secretos;</w:t>
      </w:r>
    </w:p>
    <w:p>
      <w:pPr>
        <w:numPr>
          <w:ilvl w:val="0"/>
          <w:numId w:val="1254"/>
        </w:numPr>
        <w:pStyle w:val="Compact"/>
      </w:pPr>
      <w:r>
        <w:t xml:space="preserve">procedimientos de seguimiento y respuesta a incidentes;</w:t>
      </w:r>
    </w:p>
    <w:p>
      <w:pPr>
        <w:numPr>
          <w:ilvl w:val="0"/>
          <w:numId w:val="1254"/>
        </w:numPr>
        <w:pStyle w:val="Compact"/>
      </w:pPr>
      <w:r>
        <w:t xml:space="preserve">rehabilitación, reprueba, y registros de cierre.</w:t>
      </w:r>
    </w:p>
    <w:bookmarkEnd w:id="904"/>
    <w:bookmarkStart w:id="905" w:name="prueba-de-auditoría-92"/>
    <w:p>
      <w:pPr>
        <w:pStyle w:val="Heading2"/>
      </w:pPr>
      <w:r>
        <w:rPr>
          <w:rStyle w:val="SectionNumber"/>
        </w:rPr>
        <w:t xml:space="preserve">1.862</w:t>
      </w:r>
      <w:r>
        <w:tab/>
      </w:r>
      <w:r>
        <w:t xml:space="preserve">Prueba de auditoría</w:t>
      </w:r>
    </w:p>
    <w:p>
      <w:pPr>
        <w:pStyle w:val="FirstParagraph"/>
      </w:pPr>
      <w:r>
        <w:t xml:space="preserve">Seleccione los sistemas de IA de material y verifique que los modelos de amenaza cubren ataques específicos de IA y convencionales, los controles coinciden con la arquitectura y privilegios reales, los hallazgos críticos fueron remediados y probados, el monitoreo detecta eventos relevantes y los cambios materiales desencadenaron una reevaluación.</w:t>
      </w:r>
    </w:p>
    <w:bookmarkEnd w:id="905"/>
    <w:bookmarkStart w:id="906" w:name="referencias-jurídicas-primarias-65"/>
    <w:p>
      <w:pPr>
        <w:pStyle w:val="Heading2"/>
      </w:pPr>
      <w:r>
        <w:rPr>
          <w:rStyle w:val="SectionNumber"/>
        </w:rPr>
        <w:t xml:space="preserve">1.863</w:t>
      </w:r>
      <w:r>
        <w:tab/>
      </w:r>
      <w:r>
        <w:t xml:space="preserve">Referencias jurídicas primarias</w:t>
      </w:r>
    </w:p>
    <w:p>
      <w:pPr>
        <w:numPr>
          <w:ilvl w:val="0"/>
          <w:numId w:val="1255"/>
        </w:numPr>
        <w:pStyle w:val="Compact"/>
      </w:pPr>
      <w:r>
        <w:t xml:space="preserve">Reglamento (UE) 2024/1689, modificado: disposiciones aplicables en materia de gestión de riesgos, gobernanza de los datos, exactitud, robustez, seguridad cibernética, vigilancia, incidentes y GPAI.</w:t>
      </w:r>
    </w:p>
    <w:p>
      <w:pPr>
        <w:numPr>
          <w:ilvl w:val="0"/>
          <w:numId w:val="1255"/>
        </w:numPr>
        <w:pStyle w:val="Compact"/>
      </w:pPr>
      <w:r>
        <w:t xml:space="preserve">Seguridad cibernética aplicable en la Unión y en los Estados miembros y requisitos sectoriales.</w:t>
      </w:r>
    </w:p>
    <w:p>
      <w:pPr>
        <w:numPr>
          <w:ilvl w:val="0"/>
          <w:numId w:val="1255"/>
        </w:numPr>
        <w:pStyle w:val="Compact"/>
      </w:pPr>
      <w:r>
        <w:t xml:space="preserve">Los textos oficiales consolidados actuales controlan los resúmenes antiguos.</w:t>
      </w:r>
    </w:p>
    <w:bookmarkEnd w:id="906"/>
    <w:bookmarkStart w:id="907" w:name="Xbffb8a9aaa534de0f426990aaffac17ddc3a213"/>
    <w:p>
      <w:pPr>
        <w:pStyle w:val="Heading2"/>
      </w:pPr>
      <w:r>
        <w:rPr>
          <w:rStyle w:val="SectionNumber"/>
        </w:rPr>
        <w:t xml:space="preserve">1.864</w:t>
      </w:r>
      <w:r>
        <w:tab/>
      </w:r>
      <w:r>
        <w:t xml:space="preserve">Capítulo 98 — Riesgo de explicación y transparencia</w:t>
      </w:r>
    </w:p>
    <w:p>
      <w:pPr>
        <w:pStyle w:val="BlockText"/>
      </w:pPr>
      <w:r>
        <w:rPr>
          <w:bCs/>
          <w:b/>
        </w:rPr>
        <w:t xml:space="preserve">Estatus legal:</w:t>
      </w:r>
      <w:r>
        <w:t xml:space="preserve"> </w:t>
      </w:r>
      <w:r>
        <w:t xml:space="preserve">Corregido Maestro Inglés para la consolidación. Este archivo controla el lenguaje de borrador del Capítulo 98 anterior en conflicto.</w:t>
      </w:r>
    </w:p>
    <w:bookmarkEnd w:id="907"/>
    <w:bookmarkStart w:id="908" w:name="requisito-96"/>
    <w:p>
      <w:pPr>
        <w:pStyle w:val="Heading2"/>
      </w:pPr>
      <w:r>
        <w:rPr>
          <w:rStyle w:val="SectionNumber"/>
        </w:rPr>
        <w:t xml:space="preserve">1.865</w:t>
      </w:r>
      <w:r>
        <w:tab/>
      </w:r>
      <w:r>
        <w:t xml:space="preserve">Requisito</w:t>
      </w:r>
    </w:p>
    <w:p>
      <w:pPr>
        <w:pStyle w:val="FirstParagraph"/>
      </w:pPr>
      <w:r>
        <w:t xml:space="preserve">Las organizaciones deben identificar y gestionar los riesgos que surjan cuando el comportamiento, las limitaciones, los resultados, las revelaciones o la lógica de decisiones de IA no sean lo suficientemente comprensibles para que los proveedores, los despliegues, los operadores, las personas afectadas, los auditores o las autoridades cumplan sus responsabilidades.</w:t>
      </w:r>
    </w:p>
    <w:bookmarkEnd w:id="908"/>
    <w:bookmarkStart w:id="909" w:name="explicación-en-lenguaje-sencillo-93"/>
    <w:p>
      <w:pPr>
        <w:pStyle w:val="Heading2"/>
      </w:pPr>
      <w:r>
        <w:rPr>
          <w:rStyle w:val="SectionNumber"/>
        </w:rPr>
        <w:t xml:space="preserve">1.866</w:t>
      </w:r>
      <w:r>
        <w:tab/>
      </w:r>
      <w:r>
        <w:t xml:space="preserve">Explicación en lenguaje sencillo</w:t>
      </w:r>
    </w:p>
    <w:p>
      <w:pPr>
        <w:pStyle w:val="FirstParagraph"/>
      </w:pPr>
      <w:r>
        <w:t xml:space="preserve">La transparencia no es un documento ni una explicación. Diferentes audiencias necesitan información diferente. Los proveedores pueden deber instrucciones e información técnica; los implementadores pueden deber avisos o explicaciones; los operadores necesitan información de supervisión utilizable; las personas afectadas pueden necesitar comunicación clara y rutas para impugnar decisiones.</w:t>
      </w:r>
    </w:p>
    <w:bookmarkEnd w:id="909"/>
    <w:bookmarkStart w:id="910" w:name="requisitos-de-evaluación-de-riesgos"/>
    <w:p>
      <w:pPr>
        <w:pStyle w:val="Heading2"/>
      </w:pPr>
      <w:r>
        <w:rPr>
          <w:rStyle w:val="SectionNumber"/>
        </w:rPr>
        <w:t xml:space="preserve">1.867</w:t>
      </w:r>
      <w:r>
        <w:tab/>
      </w:r>
      <w:r>
        <w:t xml:space="preserve">Requisitos de evaluación de riesgos</w:t>
      </w:r>
    </w:p>
    <w:p>
      <w:pPr>
        <w:pStyle w:val="FirstParagraph"/>
      </w:pPr>
      <w:r>
        <w:t xml:space="preserve">Evaluar como mínimo:</w:t>
      </w:r>
    </w:p>
    <w:p>
      <w:pPr>
        <w:numPr>
          <w:ilvl w:val="0"/>
          <w:numId w:val="1256"/>
        </w:numPr>
        <w:pStyle w:val="Compact"/>
      </w:pPr>
      <w:r>
        <w:t xml:space="preserve">la audiencia prevista y el contexto de decisión;</w:t>
      </w:r>
    </w:p>
    <w:p>
      <w:pPr>
        <w:numPr>
          <w:ilvl w:val="0"/>
          <w:numId w:val="1256"/>
        </w:numPr>
        <w:pStyle w:val="Compact"/>
      </w:pPr>
      <w:r>
        <w:t xml:space="preserve">Artículo 13 instrucciones e información del proveedor;</w:t>
      </w:r>
    </w:p>
    <w:p>
      <w:pPr>
        <w:numPr>
          <w:ilvl w:val="0"/>
          <w:numId w:val="1256"/>
        </w:numPr>
        <w:pStyle w:val="Compact"/>
      </w:pPr>
      <w:r>
        <w:t xml:space="preserve">Artículo 50: interacción, contenido sintético, falsedad y divulgación de textos de interés público, cuando proceda;</w:t>
      </w:r>
    </w:p>
    <w:p>
      <w:pPr>
        <w:numPr>
          <w:ilvl w:val="0"/>
          <w:numId w:val="1256"/>
        </w:numPr>
        <w:pStyle w:val="Compact"/>
      </w:pPr>
      <w:r>
        <w:t xml:space="preserve">Artículo 86, cuando proceda, derechos de explicación;</w:t>
      </w:r>
    </w:p>
    <w:p>
      <w:pPr>
        <w:numPr>
          <w:ilvl w:val="0"/>
          <w:numId w:val="1256"/>
        </w:numPr>
        <w:pStyle w:val="Compact"/>
      </w:pPr>
      <w:r>
        <w:t xml:space="preserve">limitaciones de modelo o sistema, incertidumbre, confianza y usos no justificados;</w:t>
      </w:r>
    </w:p>
    <w:p>
      <w:pPr>
        <w:numPr>
          <w:ilvl w:val="0"/>
          <w:numId w:val="1256"/>
        </w:numPr>
        <w:pStyle w:val="Compact"/>
      </w:pPr>
      <w:r>
        <w:t xml:space="preserve">trazabilidad desde la entrada, versión, configuración y salida hasta la acción resultante;</w:t>
      </w:r>
    </w:p>
    <w:p>
      <w:pPr>
        <w:numPr>
          <w:ilvl w:val="0"/>
          <w:numId w:val="1256"/>
        </w:numPr>
        <w:pStyle w:val="Compact"/>
      </w:pPr>
      <w:r>
        <w:t xml:space="preserve">accesibilidad, lenguaje, tiempo, prominencia y comprensión;</w:t>
      </w:r>
    </w:p>
    <w:p>
      <w:pPr>
        <w:numPr>
          <w:ilvl w:val="0"/>
          <w:numId w:val="1256"/>
        </w:numPr>
        <w:pStyle w:val="Compact"/>
      </w:pPr>
      <w:r>
        <w:t xml:space="preserve">riesgo de resúmenes engañosos, falsa precisión o alegaciones causales no justificadas;</w:t>
      </w:r>
    </w:p>
    <w:p>
      <w:pPr>
        <w:numPr>
          <w:ilvl w:val="0"/>
          <w:numId w:val="1256"/>
        </w:numPr>
        <w:pStyle w:val="Compact"/>
      </w:pPr>
      <w:r>
        <w:t xml:space="preserve">los límites de seguridad y secreto comercial que deben equilibrarse sin desvirtuar las obligaciones legales;</w:t>
      </w:r>
    </w:p>
    <w:p>
      <w:pPr>
        <w:numPr>
          <w:ilvl w:val="0"/>
          <w:numId w:val="1256"/>
        </w:numPr>
        <w:pStyle w:val="Compact"/>
      </w:pPr>
      <w:r>
        <w:t xml:space="preserve">coherencia entre la documentación técnica, los avisos, las interfaces, la formación y el funcionamiento real.</w:t>
      </w:r>
    </w:p>
    <w:bookmarkEnd w:id="910"/>
    <w:bookmarkStart w:id="911" w:name="ejemplo-de-globalway-91"/>
    <w:p>
      <w:pPr>
        <w:pStyle w:val="Heading2"/>
      </w:pPr>
      <w:r>
        <w:rPr>
          <w:rStyle w:val="SectionNumber"/>
        </w:rPr>
        <w:t xml:space="preserve">1.868</w:t>
      </w:r>
      <w:r>
        <w:tab/>
      </w:r>
      <w:r>
        <w:t xml:space="preserve">Ejemplo de GlobalWay</w:t>
      </w:r>
    </w:p>
    <w:p>
      <w:pPr>
        <w:pStyle w:val="FirstParagraph"/>
      </w:pPr>
      <w:r>
        <w:t xml:space="preserve">GlobalWay utiliza una herramienta de reclutamiento de IA para apoyar la selección de candidatos. Los solicitantes reciben un aviso claro de que se utiliza IA, mientras que los revisores capacitados reciben instrucciones sobre limitaciones, desempeño de subgrupos, autoridad de anulación y confianza prohibida.Cuando se aplica un derecho de explicación, GlobalWay proporciona información significativa sobre el papel del sistema y los principales factores relevantes para la decisión sin presentar una justificación inventada o engañosa.</w:t>
      </w:r>
    </w:p>
    <w:bookmarkEnd w:id="911"/>
    <w:bookmarkStart w:id="912" w:name="actividad-de-control-92"/>
    <w:p>
      <w:pPr>
        <w:pStyle w:val="Heading2"/>
      </w:pPr>
      <w:r>
        <w:rPr>
          <w:rStyle w:val="SectionNumber"/>
        </w:rPr>
        <w:t xml:space="preserve">1.869</w:t>
      </w:r>
      <w:r>
        <w:tab/>
      </w:r>
      <w:r>
        <w:t xml:space="preserve">Actividad de control</w:t>
      </w:r>
    </w:p>
    <w:p>
      <w:pPr>
        <w:pStyle w:val="FirstParagraph"/>
      </w:pPr>
      <w:r>
        <w:t xml:space="preserve">Cada sistema de IA de material debe tener un plan de transparencia específico para la audiencia aprobado antes del lanzamiento. Las notificaciones, instrucciones, procedimientos de explicación, etiquetas de interfaz y capacitación deben ser controladas en versión, probadas para la comprensión y accesibilidad, y actualizadas después del cambio de material.</w:t>
      </w:r>
    </w:p>
    <w:bookmarkEnd w:id="912"/>
    <w:bookmarkStart w:id="913" w:name="pruebas-97"/>
    <w:p>
      <w:pPr>
        <w:pStyle w:val="Heading2"/>
      </w:pPr>
      <w:r>
        <w:rPr>
          <w:rStyle w:val="SectionNumber"/>
        </w:rPr>
        <w:t xml:space="preserve">1.870</w:t>
      </w:r>
      <w:r>
        <w:tab/>
      </w:r>
      <w:r>
        <w:t xml:space="preserve">Pruebas</w:t>
      </w:r>
    </w:p>
    <w:p>
      <w:pPr>
        <w:numPr>
          <w:ilvl w:val="0"/>
          <w:numId w:val="1257"/>
        </w:numPr>
        <w:pStyle w:val="Compact"/>
      </w:pPr>
      <w:r>
        <w:t xml:space="preserve">evaluación de la audiencia y la transparencia;</w:t>
      </w:r>
    </w:p>
    <w:p>
      <w:pPr>
        <w:numPr>
          <w:ilvl w:val="0"/>
          <w:numId w:val="1257"/>
        </w:numPr>
        <w:pStyle w:val="Compact"/>
      </w:pPr>
      <w:r>
        <w:t xml:space="preserve">instrucciones y avisos aprobados;</w:t>
      </w:r>
    </w:p>
    <w:p>
      <w:pPr>
        <w:numPr>
          <w:ilvl w:val="0"/>
          <w:numId w:val="1257"/>
        </w:numPr>
        <w:pStyle w:val="Compact"/>
      </w:pPr>
      <w:r>
        <w:t xml:space="preserve">procedimiento de explicación y plantillas;</w:t>
      </w:r>
    </w:p>
    <w:p>
      <w:pPr>
        <w:numPr>
          <w:ilvl w:val="0"/>
          <w:numId w:val="1257"/>
        </w:numPr>
        <w:pStyle w:val="Compact"/>
      </w:pPr>
      <w:r>
        <w:t xml:space="preserve">pruebas de accesibilidad y comprensión;</w:t>
      </w:r>
    </w:p>
    <w:p>
      <w:pPr>
        <w:numPr>
          <w:ilvl w:val="0"/>
          <w:numId w:val="1257"/>
        </w:numPr>
        <w:pStyle w:val="Compact"/>
      </w:pPr>
      <w:r>
        <w:t xml:space="preserve">capturas de pantalla de interfaz y registros de divulgación;</w:t>
      </w:r>
    </w:p>
    <w:p>
      <w:pPr>
        <w:numPr>
          <w:ilvl w:val="0"/>
          <w:numId w:val="1257"/>
        </w:numPr>
        <w:pStyle w:val="Compact"/>
      </w:pPr>
      <w:r>
        <w:t xml:space="preserve">la formación del operador y los registros de limitación;</w:t>
      </w:r>
    </w:p>
    <w:p>
      <w:pPr>
        <w:numPr>
          <w:ilvl w:val="0"/>
          <w:numId w:val="1257"/>
        </w:numPr>
        <w:pStyle w:val="Compact"/>
      </w:pPr>
      <w:r>
        <w:t xml:space="preserve">quejas, solicitudes y expedientes de respuesta;</w:t>
      </w:r>
    </w:p>
    <w:p>
      <w:pPr>
        <w:numPr>
          <w:ilvl w:val="0"/>
          <w:numId w:val="1257"/>
        </w:numPr>
        <w:pStyle w:val="Compact"/>
      </w:pPr>
      <w:r>
        <w:t xml:space="preserve">versión y cambiar la historia.</w:t>
      </w:r>
    </w:p>
    <w:bookmarkEnd w:id="913"/>
    <w:bookmarkStart w:id="914" w:name="prueba-de-auditoría-93"/>
    <w:p>
      <w:pPr>
        <w:pStyle w:val="Heading2"/>
      </w:pPr>
      <w:r>
        <w:rPr>
          <w:rStyle w:val="SectionNumber"/>
        </w:rPr>
        <w:t xml:space="preserve">1.871</w:t>
      </w:r>
      <w:r>
        <w:tab/>
      </w:r>
      <w:r>
        <w:t xml:space="preserve">Prueba de auditoría</w:t>
      </w:r>
    </w:p>
    <w:p>
      <w:pPr>
        <w:pStyle w:val="FirstParagraph"/>
      </w:pPr>
      <w:r>
        <w:t xml:space="preserve">Seleccione sistemas con deberes de transparencia o impacto significativo en la decisión. Verifique que cada audiencia recibe información precisa, oportuna y accesible; explicaciones que coincidan con el funcionamiento real del sistema; las revelaciones son prominentes y actuales en versión; y las quejas o solicitudes de explicación se tratan de manera consistente.</w:t>
      </w:r>
    </w:p>
    <w:bookmarkEnd w:id="914"/>
    <w:bookmarkStart w:id="915" w:name="referencias-jurídicas-primarias-66"/>
    <w:p>
      <w:pPr>
        <w:pStyle w:val="Heading2"/>
      </w:pPr>
      <w:r>
        <w:rPr>
          <w:rStyle w:val="SectionNumber"/>
        </w:rPr>
        <w:t xml:space="preserve">1.872</w:t>
      </w:r>
      <w:r>
        <w:tab/>
      </w:r>
      <w:r>
        <w:t xml:space="preserve">Referencias jurídicas primarias</w:t>
      </w:r>
    </w:p>
    <w:p>
      <w:pPr>
        <w:numPr>
          <w:ilvl w:val="0"/>
          <w:numId w:val="1258"/>
        </w:numPr>
        <w:pStyle w:val="Compact"/>
      </w:pPr>
      <w:r>
        <w:t xml:space="preserve">Reglamento (UE) 2024/1689, modificado: artículos 13, 50 y 86 y disposiciones conexas, según proceda.</w:t>
      </w:r>
    </w:p>
    <w:p>
      <w:pPr>
        <w:numPr>
          <w:ilvl w:val="0"/>
          <w:numId w:val="1258"/>
        </w:numPr>
        <w:pStyle w:val="Compact"/>
      </w:pPr>
      <w:r>
        <w:t xml:space="preserve">Disposiciones aplicables en materia de transparencia y decisión automatizada del RGPD.</w:t>
      </w:r>
    </w:p>
    <w:p>
      <w:pPr>
        <w:numPr>
          <w:ilvl w:val="0"/>
          <w:numId w:val="1258"/>
        </w:numPr>
        <w:pStyle w:val="Compact"/>
      </w:pPr>
      <w:r>
        <w:t xml:space="preserve">Los textos oficiales consolidados actuales controlan los resúmenes antiguos.</w:t>
      </w:r>
    </w:p>
    <w:bookmarkEnd w:id="915"/>
    <w:bookmarkStart w:id="916" w:name="capítulo-99-riesgo-de-autonomía-humana"/>
    <w:p>
      <w:pPr>
        <w:pStyle w:val="Heading2"/>
      </w:pPr>
      <w:r>
        <w:rPr>
          <w:rStyle w:val="SectionNumber"/>
        </w:rPr>
        <w:t xml:space="preserve">1.873</w:t>
      </w:r>
      <w:r>
        <w:tab/>
      </w:r>
      <w:r>
        <w:t xml:space="preserve">Capítulo 99 — Riesgo de autonomía humana</w:t>
      </w:r>
    </w:p>
    <w:p>
      <w:pPr>
        <w:pStyle w:val="BlockText"/>
      </w:pPr>
      <w:r>
        <w:rPr>
          <w:bCs/>
          <w:b/>
        </w:rPr>
        <w:t xml:space="preserve">Estatus legal:</w:t>
      </w:r>
      <w:r>
        <w:t xml:space="preserve"> </w:t>
      </w:r>
      <w:r>
        <w:t xml:space="preserve">Corregido Maestro Inglés para la consolidación. Este archivo controla el lenguaje de borrador anterior del Capítulo 99.</w:t>
      </w:r>
    </w:p>
    <w:bookmarkEnd w:id="916"/>
    <w:bookmarkStart w:id="917" w:name="requisito-97"/>
    <w:p>
      <w:pPr>
        <w:pStyle w:val="Heading2"/>
      </w:pPr>
      <w:r>
        <w:rPr>
          <w:rStyle w:val="SectionNumber"/>
        </w:rPr>
        <w:t xml:space="preserve">1.874</w:t>
      </w:r>
      <w:r>
        <w:tab/>
      </w:r>
      <w:r>
        <w:t xml:space="preserve">Requisito</w:t>
      </w:r>
    </w:p>
    <w:p>
      <w:pPr>
        <w:pStyle w:val="FirstParagraph"/>
      </w:pPr>
      <w:r>
        <w:t xml:space="preserve">Las organizaciones deben identificar y mitigar los riesgos de que los sistemas de IA afecten significativamente a la elección humana, el juicio, la dignidad, la agencia, la impugnabilidad o el control.</w:t>
      </w:r>
    </w:p>
    <w:bookmarkEnd w:id="917"/>
    <w:bookmarkStart w:id="918" w:name="explicación-en-lenguaje-sencillo-94"/>
    <w:p>
      <w:pPr>
        <w:pStyle w:val="Heading2"/>
      </w:pPr>
      <w:r>
        <w:rPr>
          <w:rStyle w:val="SectionNumber"/>
        </w:rPr>
        <w:t xml:space="preserve">1.875</w:t>
      </w:r>
      <w:r>
        <w:tab/>
      </w:r>
      <w:r>
        <w:t xml:space="preserve">Explicación en lenguaje sencillo</w:t>
      </w:r>
    </w:p>
    <w:p>
      <w:pPr>
        <w:pStyle w:val="FirstParagraph"/>
      </w:pPr>
      <w:r>
        <w:t xml:space="preserve">Una persona no está significativamente en control simplemente porque un humano aparece en algún lugar del flujo de trabajo. Los operadores pueden diferir automáticamente a salidas, falta de tiempo o información para desafiarlos, o no pueden detener el sistema. Las personas afectadas pueden no entender que la IA influyó en un resultado o puede no tener ninguna forma práctica de impugnarlo.</w:t>
      </w:r>
    </w:p>
    <w:bookmarkEnd w:id="918"/>
    <w:bookmarkStart w:id="919" w:name="necesidades-de-evaluación-5"/>
    <w:p>
      <w:pPr>
        <w:pStyle w:val="Heading2"/>
      </w:pPr>
      <w:r>
        <w:rPr>
          <w:rStyle w:val="SectionNumber"/>
        </w:rPr>
        <w:t xml:space="preserve">1.876</w:t>
      </w:r>
      <w:r>
        <w:tab/>
      </w:r>
      <w:r>
        <w:t xml:space="preserve">Necesidades de evaluación</w:t>
      </w:r>
    </w:p>
    <w:p>
      <w:pPr>
        <w:pStyle w:val="FirstParagraph"/>
      </w:pPr>
      <w:r>
        <w:t xml:space="preserve">Evaluar como mínimo:</w:t>
      </w:r>
    </w:p>
    <w:p>
      <w:pPr>
        <w:numPr>
          <w:ilvl w:val="0"/>
          <w:numId w:val="1259"/>
        </w:numPr>
        <w:pStyle w:val="Compact"/>
      </w:pPr>
      <w:r>
        <w:t xml:space="preserve">el grado de automatización y las consecuencias de la decisión;</w:t>
      </w:r>
    </w:p>
    <w:p>
      <w:pPr>
        <w:numPr>
          <w:ilvl w:val="0"/>
          <w:numId w:val="1259"/>
        </w:numPr>
        <w:pStyle w:val="Compact"/>
      </w:pPr>
      <w:r>
        <w:t xml:space="preserve">riesgo de sesgo de automatización, dependencia excesiva, descompresión y autocomplacencia;</w:t>
      </w:r>
    </w:p>
    <w:p>
      <w:pPr>
        <w:numPr>
          <w:ilvl w:val="0"/>
          <w:numId w:val="1259"/>
        </w:numPr>
        <w:pStyle w:val="Compact"/>
      </w:pPr>
      <w:r>
        <w:t xml:space="preserve">competencia del operador, carga de trabajo, tiempo, información e independencia;</w:t>
      </w:r>
    </w:p>
    <w:p>
      <w:pPr>
        <w:numPr>
          <w:ilvl w:val="0"/>
          <w:numId w:val="1259"/>
        </w:numPr>
        <w:pStyle w:val="Compact"/>
      </w:pPr>
      <w:r>
        <w:t xml:space="preserve">autoridad para ignorar, revertir, anular, suspender o detener el sistema;</w:t>
      </w:r>
    </w:p>
    <w:p>
      <w:pPr>
        <w:numPr>
          <w:ilvl w:val="0"/>
          <w:numId w:val="1259"/>
        </w:numPr>
        <w:pStyle w:val="Compact"/>
      </w:pPr>
      <w:r>
        <w:t xml:space="preserve">coerción, manipulación, engaño, patrones oscuros y personalización explotadora;</w:t>
      </w:r>
    </w:p>
    <w:p>
      <w:pPr>
        <w:numPr>
          <w:ilvl w:val="0"/>
          <w:numId w:val="1259"/>
        </w:numPr>
        <w:pStyle w:val="Compact"/>
      </w:pPr>
      <w:r>
        <w:t xml:space="preserve">notificación significativa, elección, canales alternativos y consentimiento, cuando proceda;</w:t>
      </w:r>
    </w:p>
    <w:p>
      <w:pPr>
        <w:numPr>
          <w:ilvl w:val="0"/>
          <w:numId w:val="1259"/>
        </w:numPr>
        <w:pStyle w:val="Compact"/>
      </w:pPr>
      <w:r>
        <w:t xml:space="preserve">las vías de impugnabilidad, reclamación, revisión y reparación;</w:t>
      </w:r>
    </w:p>
    <w:p>
      <w:pPr>
        <w:numPr>
          <w:ilvl w:val="0"/>
          <w:numId w:val="1259"/>
        </w:numPr>
        <w:pStyle w:val="Compact"/>
      </w:pPr>
      <w:r>
        <w:t xml:space="preserve">impactos en la dignidad, la privacidad, la igualdad, la expresión, la asociación y el debido proceso;</w:t>
      </w:r>
    </w:p>
    <w:p>
      <w:pPr>
        <w:numPr>
          <w:ilvl w:val="0"/>
          <w:numId w:val="1259"/>
        </w:numPr>
        <w:pStyle w:val="Compact"/>
      </w:pPr>
      <w:r>
        <w:t xml:space="preserve">personas vulnerables y desequilibrios de poder;</w:t>
      </w:r>
    </w:p>
    <w:p>
      <w:pPr>
        <w:numPr>
          <w:ilvl w:val="0"/>
          <w:numId w:val="1259"/>
        </w:numPr>
        <w:pStyle w:val="Compact"/>
      </w:pPr>
      <w:r>
        <w:t xml:space="preserve">seguridad y continuidad cuando la automatización está limitada o desactivada.</w:t>
      </w:r>
    </w:p>
    <w:bookmarkEnd w:id="919"/>
    <w:bookmarkStart w:id="920" w:name="ejemplo-de-globalway-92"/>
    <w:p>
      <w:pPr>
        <w:pStyle w:val="Heading2"/>
      </w:pPr>
      <w:r>
        <w:rPr>
          <w:rStyle w:val="SectionNumber"/>
        </w:rPr>
        <w:t xml:space="preserve">1.877</w:t>
      </w:r>
      <w:r>
        <w:tab/>
      </w:r>
      <w:r>
        <w:t xml:space="preserve">Ejemplo de GlobalWay</w:t>
      </w:r>
    </w:p>
    <w:p>
      <w:pPr>
        <w:pStyle w:val="FirstParagraph"/>
      </w:pPr>
      <w:r>
        <w:t xml:space="preserve">El sistema de reclutamiento de GlobalWay clasifica a los candidatos, pero no puede rechazarlos automáticamente. Los revisores reciben la evidencia subyacente, limitaciones y autoridad de anulación, y deben documentar las razones de las decisiones adversas.Los solicitantes pueden solicitar una revisión humana a través de un canal accesible, y GlobalWay monitorea si los revisores simplemente siguen las clasificaciones sin juicio independiente.</w:t>
      </w:r>
    </w:p>
    <w:bookmarkEnd w:id="920"/>
    <w:bookmarkStart w:id="921" w:name="actividad-de-control-93"/>
    <w:p>
      <w:pPr>
        <w:pStyle w:val="Heading2"/>
      </w:pPr>
      <w:r>
        <w:rPr>
          <w:rStyle w:val="SectionNumber"/>
        </w:rPr>
        <w:t xml:space="preserve">1.878</w:t>
      </w:r>
      <w:r>
        <w:tab/>
      </w:r>
      <w:r>
        <w:t xml:space="preserve">Actividad de control</w:t>
      </w:r>
    </w:p>
    <w:p>
      <w:pPr>
        <w:pStyle w:val="FirstParagraph"/>
      </w:pPr>
      <w:r>
        <w:t xml:space="preserve">Los flujos de trabajo de IA de materiales deben definir los derechos de decisión, los puntos obligatorios de revisión humana, los requisitos de competencia, los mecanismos de anulación y parada, las rutas de impugnabilidad y los indicadores de sesgo de automatización.</w:t>
      </w:r>
    </w:p>
    <w:bookmarkEnd w:id="921"/>
    <w:bookmarkStart w:id="922" w:name="pruebas-98"/>
    <w:p>
      <w:pPr>
        <w:pStyle w:val="Heading2"/>
      </w:pPr>
      <w:r>
        <w:rPr>
          <w:rStyle w:val="SectionNumber"/>
        </w:rPr>
        <w:t xml:space="preserve">1.879</w:t>
      </w:r>
      <w:r>
        <w:tab/>
      </w:r>
      <w:r>
        <w:t xml:space="preserve">Pruebas</w:t>
      </w:r>
    </w:p>
    <w:p>
      <w:pPr>
        <w:numPr>
          <w:ilvl w:val="0"/>
          <w:numId w:val="1260"/>
        </w:numPr>
        <w:pStyle w:val="Compact"/>
      </w:pPr>
      <w:r>
        <w:t xml:space="preserve">plan de supervisión humana;</w:t>
      </w:r>
    </w:p>
    <w:p>
      <w:pPr>
        <w:numPr>
          <w:ilvl w:val="0"/>
          <w:numId w:val="1260"/>
        </w:numPr>
        <w:pStyle w:val="Compact"/>
      </w:pPr>
      <w:r>
        <w:t xml:space="preserve">los derechos de decisión y la matriz de escalada;</w:t>
      </w:r>
    </w:p>
    <w:p>
      <w:pPr>
        <w:numPr>
          <w:ilvl w:val="0"/>
          <w:numId w:val="1260"/>
        </w:numPr>
        <w:pStyle w:val="Compact"/>
      </w:pPr>
      <w:r>
        <w:t xml:space="preserve">formación del operador y evaluación de la competencia;</w:t>
      </w:r>
    </w:p>
    <w:p>
      <w:pPr>
        <w:numPr>
          <w:ilvl w:val="0"/>
          <w:numId w:val="1260"/>
        </w:numPr>
        <w:pStyle w:val="Compact"/>
      </w:pPr>
      <w:r>
        <w:t xml:space="preserve">anular, invertir y detener los registros;</w:t>
      </w:r>
    </w:p>
    <w:p>
      <w:pPr>
        <w:numPr>
          <w:ilvl w:val="0"/>
          <w:numId w:val="1260"/>
        </w:numPr>
        <w:pStyle w:val="Compact"/>
      </w:pPr>
      <w:r>
        <w:t xml:space="preserve">la carga de trabajo y las pruebas de usabilidad;</w:t>
      </w:r>
    </w:p>
    <w:p>
      <w:pPr>
        <w:numPr>
          <w:ilvl w:val="0"/>
          <w:numId w:val="1260"/>
        </w:numPr>
        <w:pStyle w:val="Compact"/>
      </w:pPr>
      <w:r>
        <w:t xml:space="preserve">notificaciones, alternativas y procedimientos de denuncia;</w:t>
      </w:r>
    </w:p>
    <w:p>
      <w:pPr>
        <w:numPr>
          <w:ilvl w:val="0"/>
          <w:numId w:val="1260"/>
        </w:numPr>
        <w:pStyle w:val="Compact"/>
      </w:pPr>
      <w:r>
        <w:t xml:space="preserve">la revisión humana y los registros de remedios;</w:t>
      </w:r>
    </w:p>
    <w:p>
      <w:pPr>
        <w:numPr>
          <w:ilvl w:val="0"/>
          <w:numId w:val="1260"/>
        </w:numPr>
        <w:pStyle w:val="Compact"/>
      </w:pPr>
      <w:r>
        <w:t xml:space="preserve">automatización-segmentación y acciones correctoras.</w:t>
      </w:r>
    </w:p>
    <w:bookmarkEnd w:id="922"/>
    <w:bookmarkStart w:id="923" w:name="prueba-de-auditoría-94"/>
    <w:p>
      <w:pPr>
        <w:pStyle w:val="Heading2"/>
      </w:pPr>
      <w:r>
        <w:rPr>
          <w:rStyle w:val="SectionNumber"/>
        </w:rPr>
        <w:t xml:space="preserve">1.880</w:t>
      </w:r>
      <w:r>
        <w:tab/>
      </w:r>
      <w:r>
        <w:t xml:space="preserve">Prueba de auditoría</w:t>
      </w:r>
    </w:p>
    <w:p>
      <w:pPr>
        <w:pStyle w:val="FirstParagraph"/>
      </w:pPr>
      <w:r>
        <w:t xml:space="preserve">Observe los flujos de trabajo seleccionados y las decisiones de muestras. Confirme que los revisores tienen información, competencia, tiempo y autoridad adecuados; las anulaciones son técnicamente eficaces; las personas afectadas pueden impugnar los resultados; y la supervisión detecta la pérdida de control humano significativo.</w:t>
      </w:r>
    </w:p>
    <w:bookmarkEnd w:id="923"/>
    <w:bookmarkStart w:id="924" w:name="referencias-jurídicas-primarias-67"/>
    <w:p>
      <w:pPr>
        <w:pStyle w:val="Heading2"/>
      </w:pPr>
      <w:r>
        <w:rPr>
          <w:rStyle w:val="SectionNumber"/>
        </w:rPr>
        <w:t xml:space="preserve">1.881</w:t>
      </w:r>
      <w:r>
        <w:tab/>
      </w:r>
      <w:r>
        <w:t xml:space="preserve">Referencias jurídicas primarias</w:t>
      </w:r>
    </w:p>
    <w:p>
      <w:pPr>
        <w:numPr>
          <w:ilvl w:val="0"/>
          <w:numId w:val="1261"/>
        </w:numPr>
        <w:pStyle w:val="Compact"/>
      </w:pPr>
      <w:r>
        <w:t xml:space="preserve">Reglamento (UE) 2024/1689, modificado: disposiciones aplicables en materia de prácticas prohibidas, supervisión humana, transparencia, despliegue, derechos fundamentales y explicación.</w:t>
      </w:r>
    </w:p>
    <w:p>
      <w:pPr>
        <w:numPr>
          <w:ilvl w:val="0"/>
          <w:numId w:val="1261"/>
        </w:numPr>
        <w:pStyle w:val="Compact"/>
      </w:pPr>
      <w:r>
        <w:t xml:space="preserve">Legislación aplicable en materia de empleo, igualdad, protección del consumidor, accesibilidad y protección de datos.</w:t>
      </w:r>
    </w:p>
    <w:p>
      <w:pPr>
        <w:numPr>
          <w:ilvl w:val="0"/>
          <w:numId w:val="1261"/>
        </w:numPr>
        <w:pStyle w:val="Compact"/>
      </w:pPr>
      <w:r>
        <w:t xml:space="preserve">Los textos oficiales consolidados actuales controlan los resúmenes antiguos.</w:t>
      </w:r>
    </w:p>
    <w:bookmarkEnd w:id="924"/>
    <w:bookmarkStart w:id="925" w:name="Xc7024fcd95421c6a3a07ffdc843f54a87cebc4d"/>
    <w:p>
      <w:pPr>
        <w:pStyle w:val="Heading2"/>
      </w:pPr>
      <w:r>
        <w:rPr>
          <w:rStyle w:val="SectionNumber"/>
        </w:rPr>
        <w:t xml:space="preserve">1.882</w:t>
      </w:r>
      <w:r>
        <w:tab/>
      </w:r>
      <w:r>
        <w:t xml:space="preserve">Capítulo 100 — Riesgo operativo y de resiliencia</w:t>
      </w:r>
    </w:p>
    <w:p>
      <w:pPr>
        <w:pStyle w:val="BlockText"/>
      </w:pPr>
      <w:r>
        <w:rPr>
          <w:bCs/>
          <w:b/>
        </w:rPr>
        <w:t xml:space="preserve">Estatus legal:</w:t>
      </w:r>
      <w:r>
        <w:t xml:space="preserve"> </w:t>
      </w:r>
      <w:r>
        <w:t xml:space="preserve">Corregido Maestro de inglés para la consolidación. Este archivo controla el lenguaje de borrador anterior del Capítulo 100.</w:t>
      </w:r>
    </w:p>
    <w:bookmarkEnd w:id="925"/>
    <w:bookmarkStart w:id="926" w:name="requisito-98"/>
    <w:p>
      <w:pPr>
        <w:pStyle w:val="Heading2"/>
      </w:pPr>
      <w:r>
        <w:rPr>
          <w:rStyle w:val="SectionNumber"/>
        </w:rPr>
        <w:t xml:space="preserve">1.883</w:t>
      </w:r>
      <w:r>
        <w:tab/>
      </w:r>
      <w:r>
        <w:t xml:space="preserve">Requisito</w:t>
      </w:r>
    </w:p>
    <w:p>
      <w:pPr>
        <w:pStyle w:val="FirstParagraph"/>
      </w:pPr>
      <w:r>
        <w:t xml:space="preserve">Las organizaciones deben identificar y gestionar los riesgos operacionales y de resiliencia que podrían causar que un sistema de IA o un proceso dependiente fracase, degrade, produzca resultados poco fiables o no esté disponible.</w:t>
      </w:r>
    </w:p>
    <w:bookmarkEnd w:id="926"/>
    <w:bookmarkStart w:id="927" w:name="explicación-en-lenguaje-sencillo-95"/>
    <w:p>
      <w:pPr>
        <w:pStyle w:val="Heading2"/>
      </w:pPr>
      <w:r>
        <w:rPr>
          <w:rStyle w:val="SectionNumber"/>
        </w:rPr>
        <w:t xml:space="preserve">1.884</w:t>
      </w:r>
      <w:r>
        <w:tab/>
      </w:r>
      <w:r>
        <w:t xml:space="preserve">Explicación en lenguaje sencillo</w:t>
      </w:r>
    </w:p>
    <w:p>
      <w:pPr>
        <w:pStyle w:val="FirstParagraph"/>
      </w:pPr>
      <w:r>
        <w:t xml:space="preserve">Un sistema de IA puede fallar incluso sin un ciberataque. Los límites de capacidad, las fuentes de datos incorrectas, los cortes del proveedor de modelos, la deriva de configuración, latencia, fallos de dependencia o control de cambios débil pueden interrumpir las operaciones o producir decisiones perjudiciales.</w:t>
      </w:r>
    </w:p>
    <w:bookmarkEnd w:id="927"/>
    <w:bookmarkStart w:id="928" w:name="necesidades-de-evaluación-6"/>
    <w:p>
      <w:pPr>
        <w:pStyle w:val="Heading2"/>
      </w:pPr>
      <w:r>
        <w:rPr>
          <w:rStyle w:val="SectionNumber"/>
        </w:rPr>
        <w:t xml:space="preserve">1.885</w:t>
      </w:r>
      <w:r>
        <w:tab/>
      </w:r>
      <w:r>
        <w:t xml:space="preserve">Necesidades de evaluación</w:t>
      </w:r>
    </w:p>
    <w:p>
      <w:pPr>
        <w:pStyle w:val="FirstParagraph"/>
      </w:pPr>
      <w:r>
        <w:t xml:space="preserve">Evaluar como mínimo:</w:t>
      </w:r>
    </w:p>
    <w:p>
      <w:pPr>
        <w:numPr>
          <w:ilvl w:val="0"/>
          <w:numId w:val="1262"/>
        </w:numPr>
        <w:pStyle w:val="Compact"/>
      </w:pPr>
      <w:r>
        <w:t xml:space="preserve">procesos críticos, niveles de servicio y tolerancias de impacto;</w:t>
      </w:r>
    </w:p>
    <w:p>
      <w:pPr>
        <w:numPr>
          <w:ilvl w:val="0"/>
          <w:numId w:val="1262"/>
        </w:numPr>
        <w:pStyle w:val="Compact"/>
      </w:pPr>
      <w:r>
        <w:t xml:space="preserve">modelo, API, nube, datos, red, identidad y dependencias del proveedor;</w:t>
      </w:r>
    </w:p>
    <w:p>
      <w:pPr>
        <w:numPr>
          <w:ilvl w:val="0"/>
          <w:numId w:val="1262"/>
        </w:numPr>
        <w:pStyle w:val="Compact"/>
      </w:pPr>
      <w:r>
        <w:t xml:space="preserve">capacidad, latencia, rendimiento, tiempo de espera y riesgos de límite de tarifas;</w:t>
      </w:r>
    </w:p>
    <w:p>
      <w:pPr>
        <w:numPr>
          <w:ilvl w:val="0"/>
          <w:numId w:val="1262"/>
        </w:numPr>
        <w:pStyle w:val="Compact"/>
      </w:pPr>
      <w:r>
        <w:t xml:space="preserve">fallo de la tubería de datos, datos rancios, cambio de esquema y degradación de la integridad;</w:t>
      </w:r>
    </w:p>
    <w:p>
      <w:pPr>
        <w:numPr>
          <w:ilvl w:val="0"/>
          <w:numId w:val="1262"/>
        </w:numPr>
        <w:pStyle w:val="Compact"/>
      </w:pPr>
      <w:r>
        <w:t xml:space="preserve">configuración, versión, rapidez y deriva de la fuente de recuperación;</w:t>
      </w:r>
    </w:p>
    <w:p>
      <w:pPr>
        <w:numPr>
          <w:ilvl w:val="0"/>
          <w:numId w:val="1262"/>
        </w:numPr>
        <w:pStyle w:val="Compact"/>
      </w:pPr>
      <w:r>
        <w:t xml:space="preserve">el seguimiento de la cobertura y los umbrales de alerta;</w:t>
      </w:r>
    </w:p>
    <w:p>
      <w:pPr>
        <w:numPr>
          <w:ilvl w:val="0"/>
          <w:numId w:val="1262"/>
        </w:numPr>
        <w:pStyle w:val="Compact"/>
      </w:pPr>
      <w:r>
        <w:t xml:space="preserve">soluciones manuales, canales alternativos y modos degradados seguros;</w:t>
      </w:r>
    </w:p>
    <w:p>
      <w:pPr>
        <w:numPr>
          <w:ilvl w:val="0"/>
          <w:numId w:val="1262"/>
        </w:numPr>
        <w:pStyle w:val="Compact"/>
      </w:pPr>
      <w:r>
        <w:t xml:space="preserve">objetivos de respaldo, restauración, reversión, failover y recuperación;</w:t>
      </w:r>
    </w:p>
    <w:p>
      <w:pPr>
        <w:numPr>
          <w:ilvl w:val="0"/>
          <w:numId w:val="1262"/>
        </w:numPr>
        <w:pStyle w:val="Compact"/>
      </w:pPr>
      <w:r>
        <w:t xml:space="preserve">la preparación del operador, las comunicaciones y la autoridad de decisión;</w:t>
      </w:r>
    </w:p>
    <w:p>
      <w:pPr>
        <w:numPr>
          <w:ilvl w:val="0"/>
          <w:numId w:val="1262"/>
        </w:numPr>
        <w:pStyle w:val="Compact"/>
      </w:pPr>
      <w:r>
        <w:t xml:space="preserve">retención de pruebas, coordinación de incidentes y validación posterior a la recuperación.</w:t>
      </w:r>
    </w:p>
    <w:bookmarkEnd w:id="928"/>
    <w:bookmarkStart w:id="929" w:name="ejemplo-de-globalway-93"/>
    <w:p>
      <w:pPr>
        <w:pStyle w:val="Heading2"/>
      </w:pPr>
      <w:r>
        <w:rPr>
          <w:rStyle w:val="SectionNumber"/>
        </w:rPr>
        <w:t xml:space="preserve">1.886</w:t>
      </w:r>
      <w:r>
        <w:tab/>
      </w:r>
      <w:r>
        <w:t xml:space="preserve">Ejemplo de GlobalWay</w:t>
      </w:r>
    </w:p>
    <w:p>
      <w:pPr>
        <w:pStyle w:val="FirstParagraph"/>
      </w:pPr>
      <w:r>
        <w:t xml:space="preserve">El servicio de asistencia de viajes para IA de GlobalWay depende de un modelo de terceros, API de reserva, servicios de identidad y datos de perfil del cliente. GlobalWay define un modo seguro de solo lectura, bloquea los cambios de reserva automatizados durante el fallo de la dependencia, dirige solicitudes urgentes a agentes humanos y prueba la recuperación antes de restaurar el servicio normal.</w:t>
      </w:r>
    </w:p>
    <w:bookmarkEnd w:id="929"/>
    <w:bookmarkStart w:id="930" w:name="actividad-de-control-94"/>
    <w:p>
      <w:pPr>
        <w:pStyle w:val="Heading2"/>
      </w:pPr>
      <w:r>
        <w:rPr>
          <w:rStyle w:val="SectionNumber"/>
        </w:rPr>
        <w:t xml:space="preserve">1.887</w:t>
      </w:r>
      <w:r>
        <w:tab/>
      </w:r>
      <w:r>
        <w:t xml:space="preserve">Actividad de control</w:t>
      </w:r>
    </w:p>
    <w:p>
      <w:pPr>
        <w:pStyle w:val="FirstParagraph"/>
      </w:pPr>
      <w:r>
        <w:t xml:space="preserve">Los servicios de IA de materiales deben tener planes de continuidad y recuperación documentados alineados con el impacto del negocio. Los planes deben incluir cierre seguro, retroceso, monitoreo de dependencia, validación de recuperación y ejercicios periódicos que cubran escenarios realistas de fracaso específicos de IA.</w:t>
      </w:r>
    </w:p>
    <w:bookmarkEnd w:id="930"/>
    <w:bookmarkStart w:id="931" w:name="pruebas-99"/>
    <w:p>
      <w:pPr>
        <w:pStyle w:val="Heading2"/>
      </w:pPr>
      <w:r>
        <w:rPr>
          <w:rStyle w:val="SectionNumber"/>
        </w:rPr>
        <w:t xml:space="preserve">1.888</w:t>
      </w:r>
      <w:r>
        <w:tab/>
      </w:r>
      <w:r>
        <w:t xml:space="preserve">Pruebas</w:t>
      </w:r>
    </w:p>
    <w:p>
      <w:pPr>
        <w:numPr>
          <w:ilvl w:val="0"/>
          <w:numId w:val="1263"/>
        </w:numPr>
        <w:pStyle w:val="Compact"/>
      </w:pPr>
      <w:r>
        <w:t xml:space="preserve">evaluación de impacto empresarial y dependencia;</w:t>
      </w:r>
    </w:p>
    <w:p>
      <w:pPr>
        <w:numPr>
          <w:ilvl w:val="0"/>
          <w:numId w:val="1263"/>
        </w:numPr>
        <w:pStyle w:val="Compact"/>
      </w:pPr>
      <w:r>
        <w:t xml:space="preserve">las definiciones de nivel de servicio y tolerancia al impacto;</w:t>
      </w:r>
    </w:p>
    <w:p>
      <w:pPr>
        <w:numPr>
          <w:ilvl w:val="0"/>
          <w:numId w:val="1263"/>
        </w:numPr>
        <w:pStyle w:val="Compact"/>
      </w:pPr>
      <w:r>
        <w:t xml:space="preserve">los planes de continuidad, recuperación y recuperación;</w:t>
      </w:r>
    </w:p>
    <w:p>
      <w:pPr>
        <w:numPr>
          <w:ilvl w:val="0"/>
          <w:numId w:val="1263"/>
        </w:numPr>
        <w:pStyle w:val="Compact"/>
      </w:pPr>
      <w:r>
        <w:t xml:space="preserve">los resultados de las pruebas de respaldo, retroceso y fallo;</w:t>
      </w:r>
    </w:p>
    <w:p>
      <w:pPr>
        <w:numPr>
          <w:ilvl w:val="0"/>
          <w:numId w:val="1263"/>
        </w:numPr>
        <w:pStyle w:val="Compact"/>
      </w:pPr>
      <w:r>
        <w:t xml:space="preserve">el seguimiento y los registros de capacidad;</w:t>
      </w:r>
    </w:p>
    <w:p>
      <w:pPr>
        <w:numPr>
          <w:ilvl w:val="0"/>
          <w:numId w:val="1263"/>
        </w:numPr>
        <w:pStyle w:val="Compact"/>
      </w:pPr>
      <w:r>
        <w:t xml:space="preserve">informes de ejercicio y medidas correctoras;</w:t>
      </w:r>
    </w:p>
    <w:p>
      <w:pPr>
        <w:numPr>
          <w:ilvl w:val="0"/>
          <w:numId w:val="1263"/>
        </w:numPr>
        <w:pStyle w:val="Compact"/>
      </w:pPr>
      <w:r>
        <w:t xml:space="preserve">comunicaciones de interrupción del servicio y aprobaciones de recuperación;</w:t>
      </w:r>
    </w:p>
    <w:p>
      <w:pPr>
        <w:numPr>
          <w:ilvl w:val="0"/>
          <w:numId w:val="1263"/>
        </w:numPr>
        <w:pStyle w:val="Compact"/>
      </w:pPr>
      <w:r>
        <w:t xml:space="preserve">pruebas de validación posterior a la recuperación.</w:t>
      </w:r>
    </w:p>
    <w:bookmarkEnd w:id="931"/>
    <w:bookmarkStart w:id="932" w:name="prueba-de-auditoría-95"/>
    <w:p>
      <w:pPr>
        <w:pStyle w:val="Heading2"/>
      </w:pPr>
      <w:r>
        <w:rPr>
          <w:rStyle w:val="SectionNumber"/>
        </w:rPr>
        <w:t xml:space="preserve">1.889</w:t>
      </w:r>
      <w:r>
        <w:tab/>
      </w:r>
      <w:r>
        <w:t xml:space="preserve">Prueba de auditoría</w:t>
      </w:r>
    </w:p>
    <w:p>
      <w:pPr>
        <w:pStyle w:val="FirstParagraph"/>
      </w:pPr>
      <w:r>
        <w:t xml:space="preserve">Seleccione servicios de IA de material y revise incidentes o ejercicios recientes. Confirme que las dependencias críticas son conocidas, los procesos de recuperación son utilizables, los objetivos de recuperación son probados, versiones restauradas y los datos son validados, y las brechas de resiliencia no resueltas se incrementan.</w:t>
      </w:r>
    </w:p>
    <w:bookmarkEnd w:id="932"/>
    <w:bookmarkStart w:id="933" w:name="referencias-jurídicas-primarias-68"/>
    <w:p>
      <w:pPr>
        <w:pStyle w:val="Heading2"/>
      </w:pPr>
      <w:r>
        <w:rPr>
          <w:rStyle w:val="SectionNumber"/>
        </w:rPr>
        <w:t xml:space="preserve">1.890</w:t>
      </w:r>
      <w:r>
        <w:tab/>
      </w:r>
      <w:r>
        <w:t xml:space="preserve">Referencias jurídicas primarias</w:t>
      </w:r>
    </w:p>
    <w:p>
      <w:pPr>
        <w:numPr>
          <w:ilvl w:val="0"/>
          <w:numId w:val="1264"/>
        </w:numPr>
        <w:pStyle w:val="Compact"/>
      </w:pPr>
      <w:r>
        <w:t xml:space="preserve">Reglamento (UE) 2024/1689, modificado: disposiciones aplicables sobre gestión de riesgos, exactitud, robustez, seguridad cibernética, supervisión humana, vigilancia, incidentes y medidas correctoras.</w:t>
      </w:r>
    </w:p>
    <w:p>
      <w:pPr>
        <w:numPr>
          <w:ilvl w:val="0"/>
          <w:numId w:val="1264"/>
        </w:numPr>
        <w:pStyle w:val="Compact"/>
      </w:pPr>
      <w:r>
        <w:t xml:space="preserve">Requerimientos aplicables de resiliencia operativa, ciberseguridad, seguridad de productos y sector.</w:t>
      </w:r>
    </w:p>
    <w:p>
      <w:pPr>
        <w:numPr>
          <w:ilvl w:val="0"/>
          <w:numId w:val="1264"/>
        </w:numPr>
        <w:pStyle w:val="Compact"/>
      </w:pPr>
      <w:r>
        <w:t xml:space="preserve">Los textos oficiales consolidados actuales controlan los resúmenes antiguos.</w:t>
      </w:r>
    </w:p>
    <w:bookmarkEnd w:id="933"/>
    <w:bookmarkStart w:id="934" w:name="capítulo-101-riesgos-de-terceros"/>
    <w:p>
      <w:pPr>
        <w:pStyle w:val="Heading2"/>
      </w:pPr>
      <w:r>
        <w:rPr>
          <w:rStyle w:val="SectionNumber"/>
        </w:rPr>
        <w:t xml:space="preserve">1.891</w:t>
      </w:r>
      <w:r>
        <w:tab/>
      </w:r>
      <w:r>
        <w:t xml:space="preserve">Capítulo 101 — Riesgos de terceros</w:t>
      </w:r>
    </w:p>
    <w:p>
      <w:pPr>
        <w:pStyle w:val="BlockText"/>
      </w:pPr>
      <w:r>
        <w:rPr>
          <w:bCs/>
          <w:b/>
        </w:rPr>
        <w:t xml:space="preserve">Estatus legal:</w:t>
      </w:r>
      <w:r>
        <w:t xml:space="preserve"> </w:t>
      </w:r>
      <w:r>
        <w:t xml:space="preserve">Corregido Maestro inglés para la consolidación. Este archivo controla el lenguaje de borrador anterior del Capítulo 101.</w:t>
      </w:r>
    </w:p>
    <w:bookmarkEnd w:id="934"/>
    <w:bookmarkStart w:id="935" w:name="requisito-99"/>
    <w:p>
      <w:pPr>
        <w:pStyle w:val="Heading2"/>
      </w:pPr>
      <w:r>
        <w:rPr>
          <w:rStyle w:val="SectionNumber"/>
        </w:rPr>
        <w:t xml:space="preserve">1.892</w:t>
      </w:r>
      <w:r>
        <w:tab/>
      </w:r>
      <w:r>
        <w:t xml:space="preserve">Requisito</w:t>
      </w:r>
    </w:p>
    <w:p>
      <w:pPr>
        <w:pStyle w:val="FirstParagraph"/>
      </w:pPr>
      <w:r>
        <w:t xml:space="preserve">Las organizaciones deben identificar y gestionar los riesgos creados por proveedores de IA, proveedores de modelos, servicios en la nube, proveedores de datos, integradores, subprocesadores, componentes de código abierto y otras dependencias.</w:t>
      </w:r>
    </w:p>
    <w:bookmarkEnd w:id="935"/>
    <w:bookmarkStart w:id="936" w:name="explicación-en-lenguaje-sencillo-96"/>
    <w:p>
      <w:pPr>
        <w:pStyle w:val="Heading2"/>
      </w:pPr>
      <w:r>
        <w:rPr>
          <w:rStyle w:val="SectionNumber"/>
        </w:rPr>
        <w:t xml:space="preserve">1.893</w:t>
      </w:r>
      <w:r>
        <w:tab/>
      </w:r>
      <w:r>
        <w:t xml:space="preserve">Explicación en lenguaje sencillo</w:t>
      </w:r>
    </w:p>
    <w:p>
      <w:pPr>
        <w:pStyle w:val="FirstParagraph"/>
      </w:pPr>
      <w:r>
        <w:t xml:space="preserve">Un contrato de proveedor no elimina la responsabilidad del cliente. La organización todavía necesita pruebas suficientes, control, aviso, cooperación, continuidad y derechos de salida para utilizar el sistema de IA de forma legal y segura. El riesgo también puede surgir de subcontratistas o dependencias ocultas varias capas por debajo del proveedor directo.</w:t>
      </w:r>
    </w:p>
    <w:bookmarkEnd w:id="936"/>
    <w:bookmarkStart w:id="937" w:name="necesidades-de-evaluación-7"/>
    <w:p>
      <w:pPr>
        <w:pStyle w:val="Heading2"/>
      </w:pPr>
      <w:r>
        <w:rPr>
          <w:rStyle w:val="SectionNumber"/>
        </w:rPr>
        <w:t xml:space="preserve">1.894</w:t>
      </w:r>
      <w:r>
        <w:tab/>
      </w:r>
      <w:r>
        <w:t xml:space="preserve">Necesidades de evaluación</w:t>
      </w:r>
    </w:p>
    <w:p>
      <w:pPr>
        <w:pStyle w:val="FirstParagraph"/>
      </w:pPr>
      <w:r>
        <w:t xml:space="preserve">Evaluar como mínimo:</w:t>
      </w:r>
    </w:p>
    <w:p>
      <w:pPr>
        <w:numPr>
          <w:ilvl w:val="0"/>
          <w:numId w:val="1265"/>
        </w:numPr>
        <w:pStyle w:val="Compact"/>
      </w:pPr>
      <w:r>
        <w:t xml:space="preserve">entidad jurídica exacta, jurisdicción, propiedad y función de la Ley de IA;</w:t>
      </w:r>
    </w:p>
    <w:p>
      <w:pPr>
        <w:numPr>
          <w:ilvl w:val="0"/>
          <w:numId w:val="1265"/>
        </w:numPr>
        <w:pStyle w:val="Compact"/>
      </w:pPr>
      <w:r>
        <w:t xml:space="preserve">los fines previstos, las clasificaciones, los usos subvencionados y los usos prohibidos;</w:t>
      </w:r>
    </w:p>
    <w:p>
      <w:pPr>
        <w:numPr>
          <w:ilvl w:val="0"/>
          <w:numId w:val="1265"/>
        </w:numPr>
        <w:pStyle w:val="Compact"/>
      </w:pPr>
      <w:r>
        <w:t xml:space="preserve">documentación técnica, instrucciones, conformidad, registro y pruebas de fiabilidad;</w:t>
      </w:r>
    </w:p>
    <w:p>
      <w:pPr>
        <w:numPr>
          <w:ilvl w:val="0"/>
          <w:numId w:val="1265"/>
        </w:numPr>
        <w:pStyle w:val="Compact"/>
      </w:pPr>
      <w:r>
        <w:t xml:space="preserve">fuentes de datos, procedencia, privacidad, propiedad intelectual y retención;</w:t>
      </w:r>
    </w:p>
    <w:p>
      <w:pPr>
        <w:numPr>
          <w:ilvl w:val="0"/>
          <w:numId w:val="1265"/>
        </w:numPr>
        <w:pStyle w:val="Compact"/>
      </w:pPr>
      <w:r>
        <w:t xml:space="preserve">seguridad, robustez, precisión, sesgo, accesibilidad y controles de supervisión;</w:t>
      </w:r>
    </w:p>
    <w:p>
      <w:pPr>
        <w:numPr>
          <w:ilvl w:val="0"/>
          <w:numId w:val="1265"/>
        </w:numPr>
        <w:pStyle w:val="Compact"/>
      </w:pPr>
      <w:r>
        <w:t xml:space="preserve">subcontratistas, cloud, API, modelos, componentes y dependencias de concentración;</w:t>
      </w:r>
    </w:p>
    <w:p>
      <w:pPr>
        <w:numPr>
          <w:ilvl w:val="0"/>
          <w:numId w:val="1265"/>
        </w:numPr>
        <w:pStyle w:val="Compact"/>
      </w:pPr>
      <w:r>
        <w:t xml:space="preserve">cambiar la notificación, la transparencia de la versión y los desencadenantes de modificación sustancial;</w:t>
      </w:r>
    </w:p>
    <w:p>
      <w:pPr>
        <w:numPr>
          <w:ilvl w:val="0"/>
          <w:numId w:val="1265"/>
        </w:numPr>
        <w:pStyle w:val="Compact"/>
      </w:pPr>
      <w:r>
        <w:t xml:space="preserve">notificación de incidentes, investigación, preservación de pruebas y medidas correctivas;</w:t>
      </w:r>
    </w:p>
    <w:p>
      <w:pPr>
        <w:numPr>
          <w:ilvl w:val="0"/>
          <w:numId w:val="1265"/>
        </w:numPr>
        <w:pStyle w:val="Compact"/>
      </w:pPr>
      <w:r>
        <w:t xml:space="preserve">auditoría, acceso a la información, cooperación con la autoridad y derechos de rehabilitación;</w:t>
      </w:r>
    </w:p>
    <w:p>
      <w:pPr>
        <w:numPr>
          <w:ilvl w:val="0"/>
          <w:numId w:val="1265"/>
        </w:numPr>
        <w:pStyle w:val="Compact"/>
      </w:pPr>
      <w:r>
        <w:t xml:space="preserve">continuidad, portabilidad, suspensión, terminación y eliminación verificada de datos.</w:t>
      </w:r>
    </w:p>
    <w:bookmarkEnd w:id="937"/>
    <w:bookmarkStart w:id="938" w:name="ejemplo-de-globalway-94"/>
    <w:p>
      <w:pPr>
        <w:pStyle w:val="Heading2"/>
      </w:pPr>
      <w:r>
        <w:rPr>
          <w:rStyle w:val="SectionNumber"/>
        </w:rPr>
        <w:t xml:space="preserve">1.895</w:t>
      </w:r>
      <w:r>
        <w:tab/>
      </w:r>
      <w:r>
        <w:t xml:space="preserve">Ejemplo de GlobalWay</w:t>
      </w:r>
    </w:p>
    <w:p>
      <w:pPr>
        <w:pStyle w:val="FirstParagraph"/>
      </w:pPr>
      <w:r>
        <w:t xml:space="preserve">GlobalWay adquiere una plataforma de reclutamiento de IA. Identifica el rol del proveedor y el rol del implementador de GlobalWay, revisa documentación y pruebas, mapea subprocesadores y dependencias de modelos, negocia cambios y notificaciones de incidentes, y establece un proceso manual de retroactividad y exportación de evidencia antes del uso de la producción.</w:t>
      </w:r>
    </w:p>
    <w:bookmarkEnd w:id="938"/>
    <w:bookmarkStart w:id="939" w:name="actividad-de-control-95"/>
    <w:p>
      <w:pPr>
        <w:pStyle w:val="Heading2"/>
      </w:pPr>
      <w:r>
        <w:rPr>
          <w:rStyle w:val="SectionNumber"/>
        </w:rPr>
        <w:t xml:space="preserve">1.896</w:t>
      </w:r>
      <w:r>
        <w:tab/>
      </w:r>
      <w:r>
        <w:t xml:space="preserve">Actividad de control</w:t>
      </w:r>
    </w:p>
    <w:p>
      <w:pPr>
        <w:pStyle w:val="FirstParagraph"/>
      </w:pPr>
      <w:r>
        <w:t xml:space="preserve">Los proveedores de IA de materiales deben someterse a la debida diligencia, contratación, aprobación, supervisión y reevaluación a niveles de riesgo. La adquisición debe bloquear el uso de la producción cuando no haya pruebas necesarias, las funciones legales no se han resuelto, los riesgos críticos siguen sin ser mitigados o los controles de continuidad y salida son inadecuados.</w:t>
      </w:r>
    </w:p>
    <w:bookmarkEnd w:id="939"/>
    <w:bookmarkStart w:id="940" w:name="pruebas-100"/>
    <w:p>
      <w:pPr>
        <w:pStyle w:val="Heading2"/>
      </w:pPr>
      <w:r>
        <w:rPr>
          <w:rStyle w:val="SectionNumber"/>
        </w:rPr>
        <w:t xml:space="preserve">1.897</w:t>
      </w:r>
      <w:r>
        <w:tab/>
      </w:r>
      <w:r>
        <w:t xml:space="preserve">Pruebas</w:t>
      </w:r>
    </w:p>
    <w:p>
      <w:pPr>
        <w:numPr>
          <w:ilvl w:val="0"/>
          <w:numId w:val="1266"/>
        </w:numPr>
        <w:pStyle w:val="Compact"/>
      </w:pPr>
      <w:r>
        <w:t xml:space="preserve">el inventario de proveedores y el mapa de dependencia;</w:t>
      </w:r>
    </w:p>
    <w:p>
      <w:pPr>
        <w:numPr>
          <w:ilvl w:val="0"/>
          <w:numId w:val="1266"/>
        </w:numPr>
        <w:pStyle w:val="Compact"/>
      </w:pPr>
      <w:r>
        <w:t xml:space="preserve">evaluación de las funciones y la clasificación;</w:t>
      </w:r>
    </w:p>
    <w:p>
      <w:pPr>
        <w:numPr>
          <w:ilvl w:val="0"/>
          <w:numId w:val="1266"/>
        </w:numPr>
        <w:pStyle w:val="Compact"/>
      </w:pPr>
      <w:r>
        <w:t xml:space="preserve">cuestionario de diligencia debida y pruebas de apoyo;</w:t>
      </w:r>
    </w:p>
    <w:p>
      <w:pPr>
        <w:numPr>
          <w:ilvl w:val="0"/>
          <w:numId w:val="1266"/>
        </w:numPr>
        <w:pStyle w:val="Compact"/>
      </w:pPr>
      <w:r>
        <w:t xml:space="preserve">las revisiones de seguridad, privacidad, legalidad y cumplimiento;</w:t>
      </w:r>
    </w:p>
    <w:p>
      <w:pPr>
        <w:numPr>
          <w:ilvl w:val="0"/>
          <w:numId w:val="1266"/>
        </w:numPr>
        <w:pStyle w:val="Compact"/>
      </w:pPr>
      <w:r>
        <w:t xml:space="preserve">contratos ejecutados y condiciones de flujo hacia abajo;</w:t>
      </w:r>
    </w:p>
    <w:p>
      <w:pPr>
        <w:numPr>
          <w:ilvl w:val="0"/>
          <w:numId w:val="1266"/>
        </w:numPr>
        <w:pStyle w:val="Compact"/>
      </w:pPr>
      <w:r>
        <w:t xml:space="preserve">seguimiento, incidentes y cambios de registros;</w:t>
      </w:r>
    </w:p>
    <w:p>
      <w:pPr>
        <w:numPr>
          <w:ilvl w:val="0"/>
          <w:numId w:val="1266"/>
        </w:numPr>
        <w:pStyle w:val="Compact"/>
      </w:pPr>
      <w:r>
        <w:t xml:space="preserve">los informes de garantía y auditoría;</w:t>
      </w:r>
    </w:p>
    <w:p>
      <w:pPr>
        <w:numPr>
          <w:ilvl w:val="0"/>
          <w:numId w:val="1266"/>
        </w:numPr>
        <w:pStyle w:val="Compact"/>
      </w:pPr>
      <w:r>
        <w:t xml:space="preserve">los resultados de los ensayos de continuidad y salida.</w:t>
      </w:r>
    </w:p>
    <w:bookmarkEnd w:id="940"/>
    <w:bookmarkStart w:id="941" w:name="prueba-de-auditoría-96"/>
    <w:p>
      <w:pPr>
        <w:pStyle w:val="Heading2"/>
      </w:pPr>
      <w:r>
        <w:rPr>
          <w:rStyle w:val="SectionNumber"/>
        </w:rPr>
        <w:t xml:space="preserve">1.898</w:t>
      </w:r>
      <w:r>
        <w:tab/>
      </w:r>
      <w:r>
        <w:t xml:space="preserve">Prueba de auditoría</w:t>
      </w:r>
    </w:p>
    <w:p>
      <w:pPr>
        <w:pStyle w:val="FirstParagraph"/>
      </w:pPr>
      <w:r>
        <w:t xml:space="preserve">Seleccione los proveedores de material y verifique que la debida diligencia previa al uso, las funciones y las dependencias sean exactas, que las pruebas estén vinculadas a versiones, que los derechos contractuales sean operativos, que se produzcan cambios e incidentes y que se aumenten o bloqueen los riesgos no resueltos.</w:t>
      </w:r>
    </w:p>
    <w:bookmarkEnd w:id="941"/>
    <w:bookmarkStart w:id="942" w:name="referencias-jurídicas-primarias-69"/>
    <w:p>
      <w:pPr>
        <w:pStyle w:val="Heading2"/>
      </w:pPr>
      <w:r>
        <w:rPr>
          <w:rStyle w:val="SectionNumber"/>
        </w:rPr>
        <w:t xml:space="preserve">1.899</w:t>
      </w:r>
      <w:r>
        <w:tab/>
      </w:r>
      <w:r>
        <w:t xml:space="preserve">Referencias jurídicas primarias</w:t>
      </w:r>
    </w:p>
    <w:p>
      <w:pPr>
        <w:numPr>
          <w:ilvl w:val="0"/>
          <w:numId w:val="1267"/>
        </w:numPr>
        <w:pStyle w:val="Compact"/>
      </w:pPr>
      <w:r>
        <w:t xml:space="preserve">Reglamento (UE) 2024/1689, en su versión modificada: proveedor, desplieguer, importador, distribuidor, representante autorizado, fabricante de productos, GPAI, documentación, seguimiento, incidencia, medidas correctoras y disposiciones sobre la cadena de valor.</w:t>
      </w:r>
    </w:p>
    <w:p>
      <w:pPr>
        <w:numPr>
          <w:ilvl w:val="0"/>
          <w:numId w:val="1267"/>
        </w:numPr>
        <w:pStyle w:val="Compact"/>
      </w:pPr>
      <w:r>
        <w:t xml:space="preserve">Protección de datos, ciberseguridad, seguridad de los productos, consumo, empleo y legislación sectorial aplicable.</w:t>
      </w:r>
    </w:p>
    <w:p>
      <w:pPr>
        <w:numPr>
          <w:ilvl w:val="0"/>
          <w:numId w:val="1267"/>
        </w:numPr>
        <w:pStyle w:val="Compact"/>
      </w:pPr>
      <w:r>
        <w:t xml:space="preserve">Los textos oficiales consolidados actuales controlan los resúmenes antiguos.</w:t>
      </w:r>
    </w:p>
    <w:bookmarkEnd w:id="942"/>
    <w:bookmarkStart w:id="943" w:name="X8174308e3c5dabb45d02678410e5fb1bbb13033"/>
    <w:p>
      <w:pPr>
        <w:pStyle w:val="Heading2"/>
      </w:pPr>
      <w:r>
        <w:rPr>
          <w:rStyle w:val="SectionNumber"/>
        </w:rPr>
        <w:t xml:space="preserve">1.900</w:t>
      </w:r>
      <w:r>
        <w:tab/>
      </w:r>
      <w:r>
        <w:t xml:space="preserve">Capítulo 102 — Riesgos jurídicos, financieros y reputacionales</w:t>
      </w:r>
    </w:p>
    <w:p>
      <w:pPr>
        <w:pStyle w:val="BlockText"/>
      </w:pPr>
      <w:r>
        <w:rPr>
          <w:bCs/>
          <w:b/>
        </w:rPr>
        <w:t xml:space="preserve">Estatus legal:</w:t>
      </w:r>
      <w:r>
        <w:t xml:space="preserve"> </w:t>
      </w:r>
      <w:r>
        <w:t xml:space="preserve">Corregido Maestro Inglés para la consolidación. Este archivo controla el lenguaje de borrador anterior del Capítulo 102.</w:t>
      </w:r>
    </w:p>
    <w:bookmarkEnd w:id="943"/>
    <w:bookmarkStart w:id="944" w:name="requisito-100"/>
    <w:p>
      <w:pPr>
        <w:pStyle w:val="Heading2"/>
      </w:pPr>
      <w:r>
        <w:rPr>
          <w:rStyle w:val="SectionNumber"/>
        </w:rPr>
        <w:t xml:space="preserve">1.901</w:t>
      </w:r>
      <w:r>
        <w:tab/>
      </w:r>
      <w:r>
        <w:t xml:space="preserve">Requisito</w:t>
      </w:r>
    </w:p>
    <w:p>
      <w:pPr>
        <w:pStyle w:val="FirstParagraph"/>
      </w:pPr>
      <w:r>
        <w:t xml:space="preserve">Las organizaciones deben identificar y gestionar las exposiciones legales, reglamentarias, contractuales, financieras y de reputación derivadas del desarrollo de la IA, la adquisición, el despliegue, la operación, el cambio, los incidentes y la jubilación.</w:t>
      </w:r>
    </w:p>
    <w:bookmarkEnd w:id="944"/>
    <w:bookmarkStart w:id="945" w:name="explicación-en-lenguaje-sencillo-97"/>
    <w:p>
      <w:pPr>
        <w:pStyle w:val="Heading2"/>
      </w:pPr>
      <w:r>
        <w:rPr>
          <w:rStyle w:val="SectionNumber"/>
        </w:rPr>
        <w:t xml:space="preserve">1.902</w:t>
      </w:r>
      <w:r>
        <w:tab/>
      </w:r>
      <w:r>
        <w:t xml:space="preserve">Explicación en lenguaje sencillo</w:t>
      </w:r>
    </w:p>
    <w:p>
      <w:pPr>
        <w:pStyle w:val="FirstParagraph"/>
      </w:pPr>
      <w:r>
        <w:t xml:space="preserve">Los fallos de IA pueden crear varias formas distintas de daño a la vez. Una decisión discriminatoria puede dar lugar a medidas reglamentarias, litigios, costos de reparación, reclamaciones contractuales, trastornos operacionales y pérdida de confianza. Estas exposiciones deben evaluarse por separado antes de ser agregadas.</w:t>
      </w:r>
    </w:p>
    <w:bookmarkEnd w:id="945"/>
    <w:bookmarkStart w:id="946" w:name="necesidades-de-evaluación-8"/>
    <w:p>
      <w:pPr>
        <w:pStyle w:val="Heading2"/>
      </w:pPr>
      <w:r>
        <w:rPr>
          <w:rStyle w:val="SectionNumber"/>
        </w:rPr>
        <w:t xml:space="preserve">1.903</w:t>
      </w:r>
      <w:r>
        <w:tab/>
      </w:r>
      <w:r>
        <w:t xml:space="preserve">Necesidades de evaluación</w:t>
      </w:r>
    </w:p>
    <w:p>
      <w:pPr>
        <w:pStyle w:val="FirstParagraph"/>
      </w:pPr>
      <w:r>
        <w:t xml:space="preserve">Evaluar como mínimo:</w:t>
      </w:r>
    </w:p>
    <w:p>
      <w:pPr>
        <w:numPr>
          <w:ilvl w:val="0"/>
          <w:numId w:val="1268"/>
        </w:numPr>
        <w:pStyle w:val="Compact"/>
      </w:pPr>
      <w:r>
        <w:t xml:space="preserve">obligaciones aplicables de la Ley de IA, funciones de actor y exposición a la aplicación de la ley;</w:t>
      </w:r>
    </w:p>
    <w:p>
      <w:pPr>
        <w:numPr>
          <w:ilvl w:val="0"/>
          <w:numId w:val="1268"/>
        </w:numPr>
        <w:pStyle w:val="Compact"/>
      </w:pPr>
      <w:r>
        <w:t xml:space="preserve">protección de datos, empleo, igualdad, consumo, seguridad de los productos, propiedad intelectual, seguridad cibernética, accesibilidad y legislación sectorial;</w:t>
      </w:r>
    </w:p>
    <w:p>
      <w:pPr>
        <w:numPr>
          <w:ilvl w:val="0"/>
          <w:numId w:val="1268"/>
        </w:numPr>
        <w:pStyle w:val="Compact"/>
      </w:pPr>
      <w:r>
        <w:t xml:space="preserve">responsabilidad civil, incumplimiento contractual, indemnización, garantía y consideraciones de seguro;</w:t>
      </w:r>
    </w:p>
    <w:p>
      <w:pPr>
        <w:numPr>
          <w:ilvl w:val="0"/>
          <w:numId w:val="1268"/>
        </w:numPr>
        <w:pStyle w:val="Compact"/>
      </w:pPr>
      <w:r>
        <w:t xml:space="preserve">los costes de investigación, notificación, rehabilitación, retirada, retirada y supervisión;</w:t>
      </w:r>
    </w:p>
    <w:p>
      <w:pPr>
        <w:numPr>
          <w:ilvl w:val="0"/>
          <w:numId w:val="1268"/>
        </w:numPr>
        <w:pStyle w:val="Compact"/>
      </w:pPr>
      <w:r>
        <w:t xml:space="preserve">interrupción de la actividad, pérdida de ingresos, reelaboración, sustitución y costes de continuidad;</w:t>
      </w:r>
    </w:p>
    <w:p>
      <w:pPr>
        <w:numPr>
          <w:ilvl w:val="0"/>
          <w:numId w:val="1268"/>
        </w:numPr>
        <w:pStyle w:val="Compact"/>
      </w:pPr>
      <w:r>
        <w:t xml:space="preserve">multas y sanciones que se basen en los límites legales actuales y las hipótesis específicas de los hechos;</w:t>
      </w:r>
    </w:p>
    <w:p>
      <w:pPr>
        <w:numPr>
          <w:ilvl w:val="0"/>
          <w:numId w:val="1268"/>
        </w:numPr>
        <w:pStyle w:val="Compact"/>
      </w:pPr>
      <w:r>
        <w:t xml:space="preserve">impactos en clientes, empleados, socios, reguladores, inversores y confianza pública;</w:t>
      </w:r>
    </w:p>
    <w:p>
      <w:pPr>
        <w:numPr>
          <w:ilvl w:val="0"/>
          <w:numId w:val="1268"/>
        </w:numPr>
        <w:pStyle w:val="Compact"/>
      </w:pPr>
      <w:r>
        <w:t xml:space="preserve">los medios de comunicación, las denuncias, los litigios y los escenarios de escalada de los interesados;</w:t>
      </w:r>
    </w:p>
    <w:p>
      <w:pPr>
        <w:numPr>
          <w:ilvl w:val="0"/>
          <w:numId w:val="1268"/>
        </w:numPr>
        <w:pStyle w:val="Compact"/>
      </w:pPr>
      <w:r>
        <w:t xml:space="preserve">la concentración, la insolvencia del proveedor y los costes de salida;</w:t>
      </w:r>
    </w:p>
    <w:p>
      <w:pPr>
        <w:numPr>
          <w:ilvl w:val="0"/>
          <w:numId w:val="1268"/>
        </w:numPr>
        <w:pStyle w:val="Compact"/>
      </w:pPr>
      <w:r>
        <w:t xml:space="preserve">incertidumbre, suposiciones, confianza y necesidades de revisión por parte del abogado.</w:t>
      </w:r>
    </w:p>
    <w:bookmarkEnd w:id="946"/>
    <w:bookmarkStart w:id="947" w:name="ejemplo-de-globalway-95"/>
    <w:p>
      <w:pPr>
        <w:pStyle w:val="Heading2"/>
      </w:pPr>
      <w:r>
        <w:rPr>
          <w:rStyle w:val="SectionNumber"/>
        </w:rPr>
        <w:t xml:space="preserve">1.904</w:t>
      </w:r>
      <w:r>
        <w:tab/>
      </w:r>
      <w:r>
        <w:t xml:space="preserve">Ejemplo de GlobalWay</w:t>
      </w:r>
    </w:p>
    <w:p>
      <w:pPr>
        <w:pStyle w:val="FirstParagraph"/>
      </w:pPr>
      <w:r>
        <w:t xml:space="preserve">GlobalWay evalúa un incidente de disparidad en el sistema de contratación y estima por separado los costos de investigación y rehabilitación, las posibles reclamaciones de empleo y protección de datos, la participación de los reguladores, la recuperación de los proveedores, la perturbación de las empresas y el impacto en la reputación.</w:t>
      </w:r>
    </w:p>
    <w:bookmarkEnd w:id="947"/>
    <w:bookmarkStart w:id="948" w:name="actividad-de-control-96"/>
    <w:p>
      <w:pPr>
        <w:pStyle w:val="Heading2"/>
      </w:pPr>
      <w:r>
        <w:rPr>
          <w:rStyle w:val="SectionNumber"/>
        </w:rPr>
        <w:t xml:space="preserve">1.905</w:t>
      </w:r>
      <w:r>
        <w:tab/>
      </w:r>
      <w:r>
        <w:t xml:space="preserve">Actividad de control</w:t>
      </w:r>
    </w:p>
    <w:p>
      <w:pPr>
        <w:pStyle w:val="FirstParagraph"/>
      </w:pPr>
      <w:r>
        <w:t xml:space="preserve">Los riesgos e incidentes materiales de IA deben recibir documentación legal, de cumplimiento, de finanzas, de riesgo, de comunicaciones y de evaluación empresarial. Las estimaciones de alto impacto deben indicar supuestos, fuentes, incertidumbre y uso de decisiones.</w:t>
      </w:r>
    </w:p>
    <w:bookmarkEnd w:id="948"/>
    <w:bookmarkStart w:id="949" w:name="pruebas-101"/>
    <w:p>
      <w:pPr>
        <w:pStyle w:val="Heading2"/>
      </w:pPr>
      <w:r>
        <w:rPr>
          <w:rStyle w:val="SectionNumber"/>
        </w:rPr>
        <w:t xml:space="preserve">1.906</w:t>
      </w:r>
      <w:r>
        <w:tab/>
      </w:r>
      <w:r>
        <w:t xml:space="preserve">Pruebas</w:t>
      </w:r>
    </w:p>
    <w:p>
      <w:pPr>
        <w:numPr>
          <w:ilvl w:val="0"/>
          <w:numId w:val="1269"/>
        </w:numPr>
        <w:pStyle w:val="Compact"/>
      </w:pPr>
      <w:r>
        <w:t xml:space="preserve">análisis de la aplicabilidad jurídica y reglamentaria;</w:t>
      </w:r>
    </w:p>
    <w:p>
      <w:pPr>
        <w:numPr>
          <w:ilvl w:val="0"/>
          <w:numId w:val="1269"/>
        </w:numPr>
        <w:pStyle w:val="Compact"/>
      </w:pPr>
      <w:r>
        <w:t xml:space="preserve">evaluación de la exposición y del escenario;</w:t>
      </w:r>
    </w:p>
    <w:p>
      <w:pPr>
        <w:numPr>
          <w:ilvl w:val="0"/>
          <w:numId w:val="1269"/>
        </w:numPr>
        <w:pStyle w:val="Compact"/>
      </w:pPr>
      <w:r>
        <w:t xml:space="preserve">las hipótesis financieras y el apoyo al cálculo;</w:t>
      </w:r>
    </w:p>
    <w:p>
      <w:pPr>
        <w:numPr>
          <w:ilvl w:val="0"/>
          <w:numId w:val="1269"/>
        </w:numPr>
        <w:pStyle w:val="Compact"/>
      </w:pPr>
      <w:r>
        <w:t xml:space="preserve">la revisión de contratos y seguros;</w:t>
      </w:r>
    </w:p>
    <w:p>
      <w:pPr>
        <w:numPr>
          <w:ilvl w:val="0"/>
          <w:numId w:val="1269"/>
        </w:numPr>
        <w:pStyle w:val="Compact"/>
      </w:pPr>
      <w:r>
        <w:t xml:space="preserve">registros de costes relacionados con incidentes y medidas de rehabilitación;</w:t>
      </w:r>
    </w:p>
    <w:p>
      <w:pPr>
        <w:numPr>
          <w:ilvl w:val="0"/>
          <w:numId w:val="1269"/>
        </w:numPr>
        <w:pStyle w:val="Compact"/>
      </w:pPr>
      <w:r>
        <w:t xml:space="preserve">el plan de las partes interesadas y las comunicaciones;</w:t>
      </w:r>
    </w:p>
    <w:p>
      <w:pPr>
        <w:numPr>
          <w:ilvl w:val="0"/>
          <w:numId w:val="1269"/>
        </w:numPr>
        <w:pStyle w:val="Compact"/>
      </w:pPr>
      <w:r>
        <w:t xml:space="preserve">asesoramiento letrado o registro de escalada;</w:t>
      </w:r>
    </w:p>
    <w:p>
      <w:pPr>
        <w:numPr>
          <w:ilvl w:val="0"/>
          <w:numId w:val="1269"/>
        </w:numPr>
        <w:pStyle w:val="Compact"/>
      </w:pPr>
      <w:r>
        <w:t xml:space="preserve">decisiones ejecutivas y de la junta.</w:t>
      </w:r>
    </w:p>
    <w:bookmarkEnd w:id="949"/>
    <w:bookmarkStart w:id="950" w:name="prueba-de-auditoría-97"/>
    <w:p>
      <w:pPr>
        <w:pStyle w:val="Heading2"/>
      </w:pPr>
      <w:r>
        <w:rPr>
          <w:rStyle w:val="SectionNumber"/>
        </w:rPr>
        <w:t xml:space="preserve">1.907</w:t>
      </w:r>
      <w:r>
        <w:tab/>
      </w:r>
      <w:r>
        <w:t xml:space="preserve">Prueba de auditoría</w:t>
      </w:r>
    </w:p>
    <w:p>
      <w:pPr>
        <w:pStyle w:val="FirstParagraph"/>
      </w:pPr>
      <w:r>
        <w:t xml:space="preserve">Confirme que las categorías de exposición se evaluaron por separado, los cálculos utilizan supuestos justificables, las conclusiones jurídicas recibieron una revisión calificada, las sanciones máximas no se presentaron como resultados esperados y las decisiones reflejan incertidumbre y mitigación.</w:t>
      </w:r>
    </w:p>
    <w:bookmarkEnd w:id="950"/>
    <w:bookmarkStart w:id="951" w:name="referencias-jurídicas-primarias-70"/>
    <w:p>
      <w:pPr>
        <w:pStyle w:val="Heading2"/>
      </w:pPr>
      <w:r>
        <w:rPr>
          <w:rStyle w:val="SectionNumber"/>
        </w:rPr>
        <w:t xml:space="preserve">1.908</w:t>
      </w:r>
      <w:r>
        <w:tab/>
      </w:r>
      <w:r>
        <w:t xml:space="preserve">Referencias jurídicas primarias</w:t>
      </w:r>
    </w:p>
    <w:p>
      <w:pPr>
        <w:numPr>
          <w:ilvl w:val="0"/>
          <w:numId w:val="1270"/>
        </w:numPr>
        <w:pStyle w:val="Compact"/>
      </w:pPr>
      <w:r>
        <w:t xml:space="preserve">Reglamento (UE) 2024/1689, modificado: disposiciones aplicables en materia de ejecución, sanción, vigilancia del mercado, incidentes, medidas correctoras y obligaciones de los agentes.</w:t>
      </w:r>
    </w:p>
    <w:p>
      <w:pPr>
        <w:numPr>
          <w:ilvl w:val="0"/>
          <w:numId w:val="1270"/>
        </w:numPr>
        <w:pStyle w:val="Compact"/>
      </w:pPr>
      <w:r>
        <w:t xml:space="preserve">Aplicable a la Unión y a los Estados miembros civil, contractual, de protección de datos, empleo, igualdad, consumo, seguridad de los productos, propiedad intelectual, seguridad cibernética y legislación sectorial.</w:t>
      </w:r>
    </w:p>
    <w:p>
      <w:pPr>
        <w:numPr>
          <w:ilvl w:val="0"/>
          <w:numId w:val="1270"/>
        </w:numPr>
        <w:pStyle w:val="Compact"/>
      </w:pPr>
      <w:r>
        <w:t xml:space="preserve">Los textos oficiales consolidados actuales controlan los resúmenes antiguos.</w:t>
      </w:r>
    </w:p>
    <w:bookmarkEnd w:id="951"/>
    <w:bookmarkStart w:id="952" w:name="X77c8399b4fbc0a60e433c6e45484e93cb14f7f6"/>
    <w:p>
      <w:pPr>
        <w:pStyle w:val="Heading2"/>
      </w:pPr>
      <w:r>
        <w:rPr>
          <w:rStyle w:val="SectionNumber"/>
        </w:rPr>
        <w:t xml:space="preserve">1.909</w:t>
      </w:r>
      <w:r>
        <w:tab/>
      </w:r>
      <w:r>
        <w:t xml:space="preserve">Capítulo 103 — Aceptación y excepciones del riesgo residual</w:t>
      </w:r>
    </w:p>
    <w:p>
      <w:pPr>
        <w:pStyle w:val="BlockText"/>
      </w:pPr>
      <w:r>
        <w:rPr>
          <w:bCs/>
          <w:b/>
        </w:rPr>
        <w:t xml:space="preserve">Estatus legal:</w:t>
      </w:r>
      <w:r>
        <w:t xml:space="preserve"> </w:t>
      </w:r>
      <w:r>
        <w:t xml:space="preserve">Corregido Maestro Inglés para la consolidación. Este archivo controla el lenguaje de borrador anterior del Capítulo 103.</w:t>
      </w:r>
    </w:p>
    <w:bookmarkEnd w:id="952"/>
    <w:bookmarkStart w:id="953" w:name="requisito-101"/>
    <w:p>
      <w:pPr>
        <w:pStyle w:val="Heading2"/>
      </w:pPr>
      <w:r>
        <w:rPr>
          <w:rStyle w:val="SectionNumber"/>
        </w:rPr>
        <w:t xml:space="preserve">1.910</w:t>
      </w:r>
      <w:r>
        <w:tab/>
      </w:r>
      <w:r>
        <w:t xml:space="preserve">Requisito</w:t>
      </w:r>
    </w:p>
    <w:p>
      <w:pPr>
        <w:pStyle w:val="FirstParagraph"/>
      </w:pPr>
      <w:r>
        <w:t xml:space="preserve">El riesgo residual de IA sólo puede aceptarse mediante un proceso documentado, autorizado y de duración limitada que identifique el riesgo restante, las personas afectadas, las limitaciones legales, los controles compensatorios, la vigilancia, la escalada y las condiciones de cierre.</w:t>
      </w:r>
    </w:p>
    <w:bookmarkEnd w:id="953"/>
    <w:bookmarkStart w:id="954" w:name="explicación-en-lenguaje-sencillo-98"/>
    <w:p>
      <w:pPr>
        <w:pStyle w:val="Heading2"/>
      </w:pPr>
      <w:r>
        <w:rPr>
          <w:rStyle w:val="SectionNumber"/>
        </w:rPr>
        <w:t xml:space="preserve">1.911</w:t>
      </w:r>
      <w:r>
        <w:tab/>
      </w:r>
      <w:r>
        <w:t xml:space="preserve">Explicación en lenguaje sencillo</w:t>
      </w:r>
    </w:p>
    <w:p>
      <w:pPr>
        <w:pStyle w:val="FirstParagraph"/>
      </w:pPr>
      <w:r>
        <w:t xml:space="preserve">La aceptación del riesgo no es el permiso para ignorar la ley o dejar un problema grave sin resolver indefinidamente. Es una decisión de gobierno de tolerar un riesgo definido por un período o propósito limitado después de que se hayan abordado los controles necesarios y las obligaciones legales.</w:t>
      </w:r>
    </w:p>
    <w:bookmarkEnd w:id="954"/>
    <w:bookmarkStart w:id="955" w:name="requisitos-de-aceptación"/>
    <w:p>
      <w:pPr>
        <w:pStyle w:val="Heading2"/>
      </w:pPr>
      <w:r>
        <w:rPr>
          <w:rStyle w:val="SectionNumber"/>
        </w:rPr>
        <w:t xml:space="preserve">1.912</w:t>
      </w:r>
      <w:r>
        <w:tab/>
      </w:r>
      <w:r>
        <w:t xml:space="preserve">Requisitos de aceptación</w:t>
      </w:r>
    </w:p>
    <w:p>
      <w:pPr>
        <w:pStyle w:val="FirstParagraph"/>
      </w:pPr>
      <w:r>
        <w:t xml:space="preserve">El registro deberá identificar:</w:t>
      </w:r>
    </w:p>
    <w:p>
      <w:pPr>
        <w:numPr>
          <w:ilvl w:val="0"/>
          <w:numId w:val="1271"/>
        </w:numPr>
        <w:pStyle w:val="Compact"/>
      </w:pPr>
      <w:r>
        <w:t xml:space="preserve">sistema o modelo, versión, caso de uso, propietario, papel de actor y jurisdicción;</w:t>
      </w:r>
    </w:p>
    <w:p>
      <w:pPr>
        <w:numPr>
          <w:ilvl w:val="0"/>
          <w:numId w:val="1271"/>
        </w:numPr>
        <w:pStyle w:val="Compact"/>
      </w:pPr>
      <w:r>
        <w:t xml:space="preserve">riesgo original, controles aplicados y riesgo residual;</w:t>
      </w:r>
    </w:p>
    <w:p>
      <w:pPr>
        <w:numPr>
          <w:ilvl w:val="0"/>
          <w:numId w:val="1271"/>
        </w:numPr>
        <w:pStyle w:val="Compact"/>
      </w:pPr>
      <w:r>
        <w:t xml:space="preserve">personas afectadas, posibles daños, probabilidad, gravedad e incertidumbre;</w:t>
      </w:r>
    </w:p>
    <w:p>
      <w:pPr>
        <w:numPr>
          <w:ilvl w:val="0"/>
          <w:numId w:val="1271"/>
        </w:numPr>
        <w:pStyle w:val="Compact"/>
      </w:pPr>
      <w:r>
        <w:t xml:space="preserve">obligaciones jurídicas aplicables y confirmación de que no se renuncia a ninguna de ellas;</w:t>
      </w:r>
    </w:p>
    <w:p>
      <w:pPr>
        <w:numPr>
          <w:ilvl w:val="0"/>
          <w:numId w:val="1271"/>
        </w:numPr>
        <w:pStyle w:val="Compact"/>
      </w:pPr>
      <w:r>
        <w:t xml:space="preserve">la compensación de los controles y las restricciones operativas;</w:t>
      </w:r>
    </w:p>
    <w:p>
      <w:pPr>
        <w:numPr>
          <w:ilvl w:val="0"/>
          <w:numId w:val="1271"/>
        </w:numPr>
        <w:pStyle w:val="Compact"/>
      </w:pPr>
      <w:r>
        <w:t xml:space="preserve">autoridad de aceptación equiparada al nivel de riesgo;</w:t>
      </w:r>
    </w:p>
    <w:p>
      <w:pPr>
        <w:numPr>
          <w:ilvl w:val="0"/>
          <w:numId w:val="1271"/>
        </w:numPr>
        <w:pStyle w:val="Compact"/>
      </w:pPr>
      <w:r>
        <w:t xml:space="preserve">fecha de inicio, fecha de expiración, frecuencia de revisión y criterios de cierre;</w:t>
      </w:r>
    </w:p>
    <w:p>
      <w:pPr>
        <w:numPr>
          <w:ilvl w:val="0"/>
          <w:numId w:val="1271"/>
        </w:numPr>
        <w:pStyle w:val="Compact"/>
      </w:pPr>
      <w:r>
        <w:t xml:space="preserve">los indicadores de seguimiento, los umbrales y los desencadenantes de escalada;</w:t>
      </w:r>
    </w:p>
    <w:p>
      <w:pPr>
        <w:numPr>
          <w:ilvl w:val="0"/>
          <w:numId w:val="1271"/>
        </w:numPr>
        <w:pStyle w:val="Compact"/>
      </w:pPr>
      <w:r>
        <w:t xml:space="preserve">propietario de la rehabilitación, hitos, recursos y fecha límite;</w:t>
      </w:r>
    </w:p>
    <w:p>
      <w:pPr>
        <w:numPr>
          <w:ilvl w:val="0"/>
          <w:numId w:val="1271"/>
        </w:numPr>
        <w:pStyle w:val="Compact"/>
      </w:pPr>
      <w:r>
        <w:t xml:space="preserve">condiciones que requieran una suspensión o reevaluación inmediata.</w:t>
      </w:r>
    </w:p>
    <w:p>
      <w:pPr>
        <w:pStyle w:val="FirstParagraph"/>
      </w:pPr>
      <w:r>
        <w:t xml:space="preserve">La aceptación del riesgo no debe sustituir a los controles de prácticas prohibidas, la evaluación de la conformidad requerida, el registro, la notificación de incidentes graves, las medidas correctoras, la cooperación de las autoridades u otras obligaciones obligatorias.</w:t>
      </w:r>
    </w:p>
    <w:bookmarkEnd w:id="955"/>
    <w:bookmarkStart w:id="956" w:name="ejemplo-de-globalway-96"/>
    <w:p>
      <w:pPr>
        <w:pStyle w:val="Heading2"/>
      </w:pPr>
      <w:r>
        <w:rPr>
          <w:rStyle w:val="SectionNumber"/>
        </w:rPr>
        <w:t xml:space="preserve">1.913</w:t>
      </w:r>
      <w:r>
        <w:tab/>
      </w:r>
      <w:r>
        <w:t xml:space="preserve">Ejemplo de GlobalWay</w:t>
      </w:r>
    </w:p>
    <w:p>
      <w:pPr>
        <w:pStyle w:val="FirstParagraph"/>
      </w:pPr>
      <w:r>
        <w:t xml:space="preserve">GlobalWay identifica una limitación temporal en el desempeño de subgrupos para un lenguaje de bajo volumen en una herramienta de soporte no automatizada. El uso es restringido, los productos requieren verificación humana capacitada, se establecen umbrales de monitoreo, se financia la rehabilitación y un propietario de riesgo senior aprueba una excepción de 60 días. La excepción expira automáticamente a menos que se vuelva a evaluar de forma independiente.</w:t>
      </w:r>
    </w:p>
    <w:bookmarkEnd w:id="956"/>
    <w:bookmarkStart w:id="957" w:name="actividad-de-control-97"/>
    <w:p>
      <w:pPr>
        <w:pStyle w:val="Heading2"/>
      </w:pPr>
      <w:r>
        <w:rPr>
          <w:rStyle w:val="SectionNumber"/>
        </w:rPr>
        <w:t xml:space="preserve">1.914</w:t>
      </w:r>
      <w:r>
        <w:tab/>
      </w:r>
      <w:r>
        <w:t xml:space="preserve">Actividad de control</w:t>
      </w:r>
    </w:p>
    <w:p>
      <w:pPr>
        <w:pStyle w:val="FirstParagraph"/>
      </w:pPr>
      <w:r>
        <w:t xml:space="preserve">La organización debe mantener un registro centralizado de excepciones con umbrales de aprobación, criterios de revisión jurídica, caducidad automática, supervisión, escalada y validación de cierres. Los riesgos residuales elevados o sensibles a los derechos fundamentales requieren revisión ejecutiva y pueden requerir suspensión en lugar de aceptación.</w:t>
      </w:r>
    </w:p>
    <w:bookmarkEnd w:id="957"/>
    <w:bookmarkStart w:id="958" w:name="pruebas-102"/>
    <w:p>
      <w:pPr>
        <w:pStyle w:val="Heading2"/>
      </w:pPr>
      <w:r>
        <w:rPr>
          <w:rStyle w:val="SectionNumber"/>
        </w:rPr>
        <w:t xml:space="preserve">1.915</w:t>
      </w:r>
      <w:r>
        <w:tab/>
      </w:r>
      <w:r>
        <w:t xml:space="preserve">Pruebas</w:t>
      </w:r>
    </w:p>
    <w:p>
      <w:pPr>
        <w:numPr>
          <w:ilvl w:val="0"/>
          <w:numId w:val="1272"/>
        </w:numPr>
        <w:pStyle w:val="Compact"/>
      </w:pPr>
      <w:r>
        <w:t xml:space="preserve">evaluación del riesgo residual;</w:t>
      </w:r>
    </w:p>
    <w:p>
      <w:pPr>
        <w:numPr>
          <w:ilvl w:val="0"/>
          <w:numId w:val="1272"/>
        </w:numPr>
        <w:pStyle w:val="Compact"/>
      </w:pPr>
      <w:r>
        <w:t xml:space="preserve">la revisión legal y del cumplimiento;</w:t>
      </w:r>
    </w:p>
    <w:p>
      <w:pPr>
        <w:numPr>
          <w:ilvl w:val="0"/>
          <w:numId w:val="1272"/>
        </w:numPr>
        <w:pStyle w:val="Compact"/>
      </w:pPr>
      <w:r>
        <w:t xml:space="preserve">diseño y ensayo de control compensatorio;</w:t>
      </w:r>
    </w:p>
    <w:p>
      <w:pPr>
        <w:numPr>
          <w:ilvl w:val="0"/>
          <w:numId w:val="1272"/>
        </w:numPr>
        <w:pStyle w:val="Compact"/>
      </w:pPr>
      <w:r>
        <w:t xml:space="preserve">la aceptación firmada y las pruebas de autoridad;</w:t>
      </w:r>
    </w:p>
    <w:p>
      <w:pPr>
        <w:numPr>
          <w:ilvl w:val="0"/>
          <w:numId w:val="1272"/>
        </w:numPr>
        <w:pStyle w:val="Compact"/>
      </w:pPr>
      <w:r>
        <w:t xml:space="preserve">la inscripción en el registro de excepción;</w:t>
      </w:r>
    </w:p>
    <w:p>
      <w:pPr>
        <w:numPr>
          <w:ilvl w:val="0"/>
          <w:numId w:val="1272"/>
        </w:numPr>
        <w:pStyle w:val="Compact"/>
      </w:pPr>
      <w:r>
        <w:t xml:space="preserve">seguimiento y resultados de umbral;</w:t>
      </w:r>
    </w:p>
    <w:p>
      <w:pPr>
        <w:numPr>
          <w:ilvl w:val="0"/>
          <w:numId w:val="1272"/>
        </w:numPr>
        <w:pStyle w:val="Compact"/>
      </w:pPr>
      <w:r>
        <w:t xml:space="preserve">el plan de rehabilitación y los registros de progreso;</w:t>
      </w:r>
    </w:p>
    <w:p>
      <w:pPr>
        <w:numPr>
          <w:ilvl w:val="0"/>
          <w:numId w:val="1272"/>
        </w:numPr>
        <w:pStyle w:val="Compact"/>
      </w:pPr>
      <w:r>
        <w:t xml:space="preserve">decisión de caducidad, renovación, suspensión o cierre.</w:t>
      </w:r>
    </w:p>
    <w:bookmarkEnd w:id="958"/>
    <w:bookmarkStart w:id="959" w:name="prueba-de-auditoría-98"/>
    <w:p>
      <w:pPr>
        <w:pStyle w:val="Heading2"/>
      </w:pPr>
      <w:r>
        <w:rPr>
          <w:rStyle w:val="SectionNumber"/>
        </w:rPr>
        <w:t xml:space="preserve">1.916</w:t>
      </w:r>
      <w:r>
        <w:tab/>
      </w:r>
      <w:r>
        <w:t xml:space="preserve">Prueba de auditoría</w:t>
      </w:r>
    </w:p>
    <w:p>
      <w:pPr>
        <w:pStyle w:val="FirstParagraph"/>
      </w:pPr>
      <w:r>
        <w:t xml:space="preserve">Confirmar que la autoridad de aceptación coincide con el riesgo, los deberes legales no fueron eximidos, los controles de compensación operados, el monitoreo ocurrió, la expiración fue ejecutada, la reparación progresó, y el cierre o renovación recibió revisión independiente.</w:t>
      </w:r>
    </w:p>
    <w:bookmarkEnd w:id="959"/>
    <w:bookmarkStart w:id="960" w:name="referencias-jurídicas-primarias-71"/>
    <w:p>
      <w:pPr>
        <w:pStyle w:val="Heading2"/>
      </w:pPr>
      <w:r>
        <w:rPr>
          <w:rStyle w:val="SectionNumber"/>
        </w:rPr>
        <w:t xml:space="preserve">1.917</w:t>
      </w:r>
      <w:r>
        <w:tab/>
      </w:r>
      <w:r>
        <w:t xml:space="preserve">Referencias jurídicas primarias</w:t>
      </w:r>
    </w:p>
    <w:p>
      <w:pPr>
        <w:numPr>
          <w:ilvl w:val="0"/>
          <w:numId w:val="1273"/>
        </w:numPr>
        <w:pStyle w:val="Compact"/>
      </w:pPr>
      <w:r>
        <w:t xml:space="preserve">Reglamento (UE) 2024/1689, en su versión modificada: disposiciones aplicables sobre prácticas prohibidas, gestión de riesgos, conformidad, registro, seguimiento, incidentes, medidas correctoras, cooperación entre autoridades y actores.</w:t>
      </w:r>
    </w:p>
    <w:p>
      <w:pPr>
        <w:numPr>
          <w:ilvl w:val="0"/>
          <w:numId w:val="1273"/>
        </w:numPr>
        <w:pStyle w:val="Compact"/>
      </w:pPr>
      <w:r>
        <w:t xml:space="preserve">Legislación aplicable de la Unión y de los Estados miembros pertinente para el caso de uso.</w:t>
      </w:r>
    </w:p>
    <w:p>
      <w:pPr>
        <w:numPr>
          <w:ilvl w:val="0"/>
          <w:numId w:val="1273"/>
        </w:numPr>
        <w:pStyle w:val="Compact"/>
      </w:pPr>
      <w:r>
        <w:t xml:space="preserve">Los textos oficiales consolidados actuales controlan los resúmenes antiguos.</w:t>
      </w:r>
    </w:p>
    <w:bookmarkEnd w:id="960"/>
    <w:bookmarkStart w:id="961" w:name="X8d9fdbdcc04eda14a1c6cd28c82d6d8e5e126dc"/>
    <w:p>
      <w:pPr>
        <w:pStyle w:val="Heading2"/>
      </w:pPr>
      <w:r>
        <w:rPr>
          <w:rStyle w:val="SectionNumber"/>
        </w:rPr>
        <w:t xml:space="preserve">1.918</w:t>
      </w:r>
      <w:r>
        <w:tab/>
      </w:r>
      <w:r>
        <w:t xml:space="preserve">Capítulo 104 — Diseño de bibliotecas de control</w:t>
      </w:r>
    </w:p>
    <w:p>
      <w:pPr>
        <w:pStyle w:val="BlockText"/>
      </w:pPr>
      <w:r>
        <w:rPr>
          <w:bCs/>
          <w:b/>
        </w:rPr>
        <w:t xml:space="preserve">Estatus legal:</w:t>
      </w:r>
      <w:r>
        <w:t xml:space="preserve"> </w:t>
      </w:r>
      <w:r>
        <w:t xml:space="preserve">Corregido Maestro Inglés para la consolidación. Este archivo controla el lenguaje de borrador anterior del Capítulo 104.</w:t>
      </w:r>
    </w:p>
    <w:bookmarkEnd w:id="961"/>
    <w:bookmarkStart w:id="962" w:name="requisito-102"/>
    <w:p>
      <w:pPr>
        <w:pStyle w:val="Heading2"/>
      </w:pPr>
      <w:r>
        <w:rPr>
          <w:rStyle w:val="SectionNumber"/>
        </w:rPr>
        <w:t xml:space="preserve">1.919</w:t>
      </w:r>
      <w:r>
        <w:tab/>
      </w:r>
      <w:r>
        <w:t xml:space="preserve">Requisito</w:t>
      </w:r>
    </w:p>
    <w:p>
      <w:pPr>
        <w:pStyle w:val="FirstParagraph"/>
      </w:pPr>
      <w:r>
        <w:t xml:space="preserve">Las organizaciones deben mantener una biblioteca estructurada de control de IA que traduzca las obligaciones legales aplicables, los tratamientos de riesgo, las decisiones de gobernanza, las salvaguardias técnicas y las prácticas operacionales en controles claros, asignables, verificables y que produzcan pruebas.</w:t>
      </w:r>
    </w:p>
    <w:bookmarkEnd w:id="962"/>
    <w:bookmarkStart w:id="963" w:name="explicación-en-lenguaje-sencillo-99"/>
    <w:p>
      <w:pPr>
        <w:pStyle w:val="Heading2"/>
      </w:pPr>
      <w:r>
        <w:rPr>
          <w:rStyle w:val="SectionNumber"/>
        </w:rPr>
        <w:t xml:space="preserve">1.920</w:t>
      </w:r>
      <w:r>
        <w:tab/>
      </w:r>
      <w:r>
        <w:t xml:space="preserve">Explicación en lenguaje sencillo</w:t>
      </w:r>
    </w:p>
    <w:p>
      <w:pPr>
        <w:pStyle w:val="FirstParagraph"/>
      </w:pPr>
      <w:r>
        <w:t xml:space="preserve">Una biblioteca de control es el puente operativo entre la ley, la política, el riesgo y la ejecución cotidiana. Los controles deben indicar quién realiza la actividad, qué debe hacerse, cuándo debe ocurrir, qué sistemas y versiones están cubiertos, qué pruebas se conservan y cómo se intensifican los fallos.</w:t>
      </w:r>
    </w:p>
    <w:bookmarkEnd w:id="963"/>
    <w:bookmarkStart w:id="964" w:name="requisitos-de-diseño"/>
    <w:p>
      <w:pPr>
        <w:pStyle w:val="Heading2"/>
      </w:pPr>
      <w:r>
        <w:rPr>
          <w:rStyle w:val="SectionNumber"/>
        </w:rPr>
        <w:t xml:space="preserve">1.921</w:t>
      </w:r>
      <w:r>
        <w:tab/>
      </w:r>
      <w:r>
        <w:t xml:space="preserve">Requisitos de diseño</w:t>
      </w:r>
    </w:p>
    <w:p>
      <w:pPr>
        <w:pStyle w:val="FirstParagraph"/>
      </w:pPr>
      <w:r>
        <w:t xml:space="preserve">Cada registro de control debe incluir:</w:t>
      </w:r>
    </w:p>
    <w:p>
      <w:pPr>
        <w:numPr>
          <w:ilvl w:val="0"/>
          <w:numId w:val="1274"/>
        </w:numPr>
        <w:pStyle w:val="Compact"/>
      </w:pPr>
      <w:r>
        <w:t xml:space="preserve">identificador único de control y título;</w:t>
      </w:r>
    </w:p>
    <w:p>
      <w:pPr>
        <w:numPr>
          <w:ilvl w:val="0"/>
          <w:numId w:val="1274"/>
        </w:numPr>
        <w:pStyle w:val="Compact"/>
      </w:pPr>
      <w:r>
        <w:t xml:space="preserve">fuentes jurídicas, reglamentarias, contractuales, políticas y de riesgo vinculadas;</w:t>
      </w:r>
    </w:p>
    <w:p>
      <w:pPr>
        <w:numPr>
          <w:ilvl w:val="0"/>
          <w:numId w:val="1274"/>
        </w:numPr>
        <w:pStyle w:val="Compact"/>
      </w:pPr>
      <w:r>
        <w:t xml:space="preserve">objetivos y riesgos abordados;</w:t>
      </w:r>
    </w:p>
    <w:p>
      <w:pPr>
        <w:numPr>
          <w:ilvl w:val="0"/>
          <w:numId w:val="1274"/>
        </w:numPr>
        <w:pStyle w:val="Compact"/>
      </w:pPr>
      <w:r>
        <w:t xml:space="preserve">Actor regulado, propietario de la empresa, propietario del control y operador;</w:t>
      </w:r>
    </w:p>
    <w:p>
      <w:pPr>
        <w:numPr>
          <w:ilvl w:val="0"/>
          <w:numId w:val="1274"/>
        </w:numPr>
        <w:pStyle w:val="Compact"/>
      </w:pPr>
      <w:r>
        <w:t xml:space="preserve">ámbito por sistema, modelo, versión, geografía, proveedor y etapa del ciclo de vida;</w:t>
      </w:r>
    </w:p>
    <w:p>
      <w:pPr>
        <w:numPr>
          <w:ilvl w:val="0"/>
          <w:numId w:val="1274"/>
        </w:numPr>
        <w:pStyle w:val="Compact"/>
      </w:pPr>
      <w:r>
        <w:t xml:space="preserve">controlar la actividad, el disparador, la frecuencia y el tiempo;</w:t>
      </w:r>
    </w:p>
    <w:p>
      <w:pPr>
        <w:numPr>
          <w:ilvl w:val="0"/>
          <w:numId w:val="1274"/>
        </w:numPr>
        <w:pStyle w:val="Compact"/>
      </w:pPr>
      <w:r>
        <w:t xml:space="preserve">clasificación preventiva, detective, correctiva o de gobernanza;</w:t>
      </w:r>
    </w:p>
    <w:p>
      <w:pPr>
        <w:numPr>
          <w:ilvl w:val="0"/>
          <w:numId w:val="1274"/>
        </w:numPr>
        <w:pStyle w:val="Compact"/>
      </w:pPr>
      <w:r>
        <w:t xml:space="preserve">método de ejecución manual, automatizado o híbrido;</w:t>
      </w:r>
    </w:p>
    <w:p>
      <w:pPr>
        <w:numPr>
          <w:ilvl w:val="0"/>
          <w:numId w:val="1274"/>
        </w:numPr>
        <w:pStyle w:val="Compact"/>
      </w:pPr>
      <w:r>
        <w:t xml:space="preserve">los insumos, productos, sistemas y dependencias necesarios;</w:t>
      </w:r>
    </w:p>
    <w:p>
      <w:pPr>
        <w:numPr>
          <w:ilvl w:val="0"/>
          <w:numId w:val="1274"/>
        </w:numPr>
        <w:pStyle w:val="Compact"/>
      </w:pPr>
      <w:r>
        <w:t xml:space="preserve">normas de prueba, retención y requisitos de acceso;</w:t>
      </w:r>
    </w:p>
    <w:p>
      <w:pPr>
        <w:numPr>
          <w:ilvl w:val="0"/>
          <w:numId w:val="1274"/>
        </w:numPr>
        <w:pStyle w:val="Compact"/>
      </w:pPr>
      <w:r>
        <w:t xml:space="preserve">la excepción, la escalada y el proceso de control compensatorio;</w:t>
      </w:r>
    </w:p>
    <w:p>
      <w:pPr>
        <w:numPr>
          <w:ilvl w:val="0"/>
          <w:numId w:val="1274"/>
        </w:numPr>
        <w:pStyle w:val="Compact"/>
      </w:pPr>
      <w:r>
        <w:t xml:space="preserve">procedimientos de ensayo de diseño y eficacia operativa;</w:t>
      </w:r>
    </w:p>
    <w:p>
      <w:pPr>
        <w:numPr>
          <w:ilvl w:val="0"/>
          <w:numId w:val="1274"/>
        </w:numPr>
        <w:pStyle w:val="Compact"/>
      </w:pPr>
      <w:r>
        <w:t xml:space="preserve">cambiar la historia, la aprobación y la próxima fecha de revisión.</w:t>
      </w:r>
    </w:p>
    <w:bookmarkEnd w:id="964"/>
    <w:bookmarkStart w:id="965" w:name="ejemplo-de-globalway-97"/>
    <w:p>
      <w:pPr>
        <w:pStyle w:val="Heading2"/>
      </w:pPr>
      <w:r>
        <w:rPr>
          <w:rStyle w:val="SectionNumber"/>
        </w:rPr>
        <w:t xml:space="preserve">1.922</w:t>
      </w:r>
      <w:r>
        <w:tab/>
      </w:r>
      <w:r>
        <w:t xml:space="preserve">Ejemplo de GlobalWay</w:t>
      </w:r>
    </w:p>
    <w:p>
      <w:pPr>
        <w:pStyle w:val="FirstParagraph"/>
      </w:pPr>
      <w:r>
        <w:t xml:space="preserve">GlobalWay crea un control para los sistemas de reclutamiento de alto riesgo que requieren confirmación de clasificación previa a la liberación, procedimientos aprobados de supervisión humana, resultados de validación, documentación del proveedor, preparación para el registro y aprobación de liberación ejecutiva.</w:t>
      </w:r>
    </w:p>
    <w:bookmarkEnd w:id="965"/>
    <w:bookmarkStart w:id="966" w:name="actividad-de-control-98"/>
    <w:p>
      <w:pPr>
        <w:pStyle w:val="Heading2"/>
      </w:pPr>
      <w:r>
        <w:rPr>
          <w:rStyle w:val="SectionNumber"/>
        </w:rPr>
        <w:t xml:space="preserve">1.923</w:t>
      </w:r>
      <w:r>
        <w:tab/>
      </w:r>
      <w:r>
        <w:t xml:space="preserve">Actividad de control</w:t>
      </w:r>
    </w:p>
    <w:p>
      <w:pPr>
        <w:pStyle w:val="FirstParagraph"/>
      </w:pPr>
      <w:r>
        <w:t xml:space="preserve">La función IA Governance debe mantener una biblioteca maestra controlada, mapear cada obligación de IA material y riesgo a uno o más controles, prevenir controles duplicados o contradictorios, y requerir revisión después de un cambio regulatorio, del sistema, del modelo, del proveedor, del propósito o de la organización.</w:t>
      </w:r>
    </w:p>
    <w:bookmarkEnd w:id="966"/>
    <w:bookmarkStart w:id="967" w:name="pruebas-103"/>
    <w:p>
      <w:pPr>
        <w:pStyle w:val="Heading2"/>
      </w:pPr>
      <w:r>
        <w:rPr>
          <w:rStyle w:val="SectionNumber"/>
        </w:rPr>
        <w:t xml:space="preserve">1.924</w:t>
      </w:r>
      <w:r>
        <w:tab/>
      </w:r>
      <w:r>
        <w:t xml:space="preserve">Pruebas</w:t>
      </w:r>
    </w:p>
    <w:p>
      <w:pPr>
        <w:numPr>
          <w:ilvl w:val="0"/>
          <w:numId w:val="1275"/>
        </w:numPr>
        <w:pStyle w:val="Compact"/>
      </w:pPr>
      <w:r>
        <w:t xml:space="preserve">metodología de control-biblioteca aprobada;</w:t>
      </w:r>
    </w:p>
    <w:p>
      <w:pPr>
        <w:numPr>
          <w:ilvl w:val="0"/>
          <w:numId w:val="1275"/>
        </w:numPr>
        <w:pStyle w:val="Compact"/>
      </w:pPr>
      <w:r>
        <w:t xml:space="preserve">el registro de control maestro;</w:t>
      </w:r>
    </w:p>
    <w:p>
      <w:pPr>
        <w:numPr>
          <w:ilvl w:val="0"/>
          <w:numId w:val="1275"/>
        </w:numPr>
        <w:pStyle w:val="Compact"/>
      </w:pPr>
      <w:r>
        <w:t xml:space="preserve">los mapas de origen a control;</w:t>
      </w:r>
    </w:p>
    <w:p>
      <w:pPr>
        <w:numPr>
          <w:ilvl w:val="0"/>
          <w:numId w:val="1275"/>
        </w:numPr>
        <w:pStyle w:val="Compact"/>
      </w:pPr>
      <w:r>
        <w:t xml:space="preserve">la propiedad y los registros RACI;</w:t>
      </w:r>
    </w:p>
    <w:p>
      <w:pPr>
        <w:numPr>
          <w:ilvl w:val="0"/>
          <w:numId w:val="1275"/>
        </w:numPr>
        <w:pStyle w:val="Compact"/>
      </w:pPr>
      <w:r>
        <w:t xml:space="preserve">las descripciones y procedimientos de control;</w:t>
      </w:r>
    </w:p>
    <w:p>
      <w:pPr>
        <w:numPr>
          <w:ilvl w:val="0"/>
          <w:numId w:val="1275"/>
        </w:numPr>
        <w:pStyle w:val="Compact"/>
      </w:pPr>
      <w:r>
        <w:t xml:space="preserve">las especificaciones de la prueba;</w:t>
      </w:r>
    </w:p>
    <w:p>
      <w:pPr>
        <w:numPr>
          <w:ilvl w:val="0"/>
          <w:numId w:val="1275"/>
        </w:numPr>
        <w:pStyle w:val="Compact"/>
      </w:pPr>
      <w:r>
        <w:t xml:space="preserve">pruebas de guiones y resultados;</w:t>
      </w:r>
    </w:p>
    <w:p>
      <w:pPr>
        <w:numPr>
          <w:ilvl w:val="0"/>
          <w:numId w:val="1275"/>
        </w:numPr>
        <w:pStyle w:val="Compact"/>
      </w:pPr>
      <w:r>
        <w:t xml:space="preserve">excepciones y cambios en los registros.</w:t>
      </w:r>
    </w:p>
    <w:bookmarkEnd w:id="967"/>
    <w:bookmarkStart w:id="968" w:name="prueba-de-auditoría-99"/>
    <w:p>
      <w:pPr>
        <w:pStyle w:val="Heading2"/>
      </w:pPr>
      <w:r>
        <w:rPr>
          <w:rStyle w:val="SectionNumber"/>
        </w:rPr>
        <w:t xml:space="preserve">1.925</w:t>
      </w:r>
      <w:r>
        <w:tab/>
      </w:r>
      <w:r>
        <w:t xml:space="preserve">Prueba de auditoría</w:t>
      </w:r>
    </w:p>
    <w:p>
      <w:pPr>
        <w:pStyle w:val="FirstParagraph"/>
      </w:pPr>
      <w:r>
        <w:t xml:space="preserve">Seleccione una muestra de obligaciones legales y riesgos materiales de IA. Trace cada uno a un control aprobado, propietario responsable, procedimiento operativo, pruebas retenidas y método de prueba. Confirme que los controles obsoletos son retirados y los cambios materiales desencadenan una reevaluación.</w:t>
      </w:r>
    </w:p>
    <w:bookmarkEnd w:id="968"/>
    <w:bookmarkStart w:id="969" w:name="referencias-jurídicas-primarias-72"/>
    <w:p>
      <w:pPr>
        <w:pStyle w:val="Heading2"/>
      </w:pPr>
      <w:r>
        <w:rPr>
          <w:rStyle w:val="SectionNumber"/>
        </w:rPr>
        <w:t xml:space="preserve">1.926</w:t>
      </w:r>
      <w:r>
        <w:tab/>
      </w:r>
      <w:r>
        <w:t xml:space="preserve">Referencias jurídicas primarias</w:t>
      </w:r>
    </w:p>
    <w:p>
      <w:pPr>
        <w:numPr>
          <w:ilvl w:val="0"/>
          <w:numId w:val="1276"/>
        </w:numPr>
        <w:pStyle w:val="Compact"/>
      </w:pPr>
      <w:r>
        <w:t xml:space="preserve">Reglamento (UE) 2024/1689, modificado: disposiciones aplicables en materia de gobernanza, gestión de la calidad, gestión de riesgos, documentación, mantenimiento de registros, seguimiento, incidentes, medidas correctivas y disposiciones específicas para los agentes.</w:t>
      </w:r>
    </w:p>
    <w:p>
      <w:pPr>
        <w:numPr>
          <w:ilvl w:val="0"/>
          <w:numId w:val="1276"/>
        </w:numPr>
        <w:pStyle w:val="Compact"/>
      </w:pPr>
      <w:r>
        <w:t xml:space="preserve">Los actuales controles consolidados de texto EUR-Lex sobre los resúmenes antiguos.</w:t>
      </w:r>
    </w:p>
    <w:p>
      <w:pPr>
        <w:numPr>
          <w:ilvl w:val="0"/>
          <w:numId w:val="1276"/>
        </w:numPr>
        <w:pStyle w:val="Compact"/>
      </w:pPr>
      <w:r>
        <w:t xml:space="preserve">Los marcos y normas de control no son vinculantes a menos que se incorporen por ley, contrato, certificación u política de organización.</w:t>
      </w:r>
    </w:p>
    <w:bookmarkEnd w:id="969"/>
    <w:bookmarkStart w:id="970" w:name="X155aa7aaaf15fa0a139b7f43a3caf25fae440ae"/>
    <w:p>
      <w:pPr>
        <w:pStyle w:val="Heading2"/>
      </w:pPr>
      <w:r>
        <w:rPr>
          <w:rStyle w:val="SectionNumber"/>
        </w:rPr>
        <w:t xml:space="preserve">1.927</w:t>
      </w:r>
      <w:r>
        <w:tab/>
      </w:r>
      <w:r>
        <w:t xml:space="preserve">Capítulo 105 — Cartografía de artículos a control</w:t>
      </w:r>
    </w:p>
    <w:p>
      <w:pPr>
        <w:pStyle w:val="BlockText"/>
      </w:pPr>
      <w:r>
        <w:rPr>
          <w:bCs/>
          <w:b/>
        </w:rPr>
        <w:t xml:space="preserve">Estatus legal:</w:t>
      </w:r>
      <w:r>
        <w:t xml:space="preserve"> </w:t>
      </w:r>
      <w:r>
        <w:t xml:space="preserve">Corregido Maestro Inglés para la consolidación. Este archivo controla el lenguaje de borrador del Capítulo 105 anterior.</w:t>
      </w:r>
    </w:p>
    <w:bookmarkEnd w:id="970"/>
    <w:bookmarkStart w:id="971" w:name="requisito-103"/>
    <w:p>
      <w:pPr>
        <w:pStyle w:val="Heading2"/>
      </w:pPr>
      <w:r>
        <w:rPr>
          <w:rStyle w:val="SectionNumber"/>
        </w:rPr>
        <w:t xml:space="preserve">1.928</w:t>
      </w:r>
      <w:r>
        <w:tab/>
      </w:r>
      <w:r>
        <w:t xml:space="preserve">Requisito</w:t>
      </w:r>
    </w:p>
    <w:p>
      <w:pPr>
        <w:pStyle w:val="FirstParagraph"/>
      </w:pPr>
      <w:r>
        <w:t xml:space="preserve">Las organizaciones deben mantener mapas rastreables de las disposiciones aplicables de la Ley de IA de la UE y otros requisitos vinculantes a los controles, procedimientos, pruebas, sistemas, modelos, actores y propietarios responsables utilizados para demostrar el cumplimiento.</w:t>
      </w:r>
    </w:p>
    <w:bookmarkEnd w:id="971"/>
    <w:bookmarkStart w:id="972" w:name="explicación-en-lenguaje-sencillo-100"/>
    <w:p>
      <w:pPr>
        <w:pStyle w:val="Heading2"/>
      </w:pPr>
      <w:r>
        <w:rPr>
          <w:rStyle w:val="SectionNumber"/>
        </w:rPr>
        <w:t xml:space="preserve">1.929</w:t>
      </w:r>
      <w:r>
        <w:tab/>
      </w:r>
      <w:r>
        <w:t xml:space="preserve">Explicación en lenguaje sencillo</w:t>
      </w:r>
    </w:p>
    <w:p>
      <w:pPr>
        <w:pStyle w:val="FirstParagraph"/>
      </w:pPr>
      <w:r>
        <w:t xml:space="preserve">Una lista de citas no es un mapa de cumplimiento. Un mapeo útil muestra cómo se implementa cada elemento legal aplicable, quién es responsable, dónde se almacenan las pruebas y cómo se identifican las lagunas.El mapeo también debe distinguir la ley obligatoria de la orientación, las normas y las prácticas voluntarias.</w:t>
      </w:r>
    </w:p>
    <w:bookmarkEnd w:id="972"/>
    <w:bookmarkStart w:id="973" w:name="requisitos-de-cartografía"/>
    <w:p>
      <w:pPr>
        <w:pStyle w:val="Heading2"/>
      </w:pPr>
      <w:r>
        <w:rPr>
          <w:rStyle w:val="SectionNumber"/>
        </w:rPr>
        <w:t xml:space="preserve">1.930</w:t>
      </w:r>
      <w:r>
        <w:tab/>
      </w:r>
      <w:r>
        <w:t xml:space="preserve">Requisitos de cartografía</w:t>
      </w:r>
    </w:p>
    <w:p>
      <w:pPr>
        <w:pStyle w:val="FirstParagraph"/>
      </w:pPr>
      <w:r>
        <w:t xml:space="preserve">Para cada requisito aplicable, anote:</w:t>
      </w:r>
    </w:p>
    <w:p>
      <w:pPr>
        <w:numPr>
          <w:ilvl w:val="0"/>
          <w:numId w:val="1277"/>
        </w:numPr>
        <w:pStyle w:val="Compact"/>
      </w:pPr>
      <w:r>
        <w:t xml:space="preserve">fuente jurídica, artículo, párrafo, anexo y estado de las enmiendas;</w:t>
      </w:r>
    </w:p>
    <w:p>
      <w:pPr>
        <w:numPr>
          <w:ilvl w:val="0"/>
          <w:numId w:val="1277"/>
        </w:numPr>
        <w:pStyle w:val="Compact"/>
      </w:pPr>
      <w:r>
        <w:t xml:space="preserve">fecha efectiva y tratamiento transitorio;</w:t>
      </w:r>
    </w:p>
    <w:p>
      <w:pPr>
        <w:numPr>
          <w:ilvl w:val="0"/>
          <w:numId w:val="1277"/>
        </w:numPr>
        <w:pStyle w:val="Compact"/>
      </w:pPr>
      <w:r>
        <w:t xml:space="preserve">la activación, el alcance, la excepción y el actor regulado;</w:t>
      </w:r>
    </w:p>
    <w:p>
      <w:pPr>
        <w:numPr>
          <w:ilvl w:val="0"/>
          <w:numId w:val="1277"/>
        </w:numPr>
        <w:pStyle w:val="Compact"/>
      </w:pPr>
      <w:r>
        <w:t xml:space="preserve">declaración de obligación en un idioma sencillo;</w:t>
      </w:r>
    </w:p>
    <w:p>
      <w:pPr>
        <w:numPr>
          <w:ilvl w:val="0"/>
          <w:numId w:val="1277"/>
        </w:numPr>
        <w:pStyle w:val="Compact"/>
      </w:pPr>
      <w:r>
        <w:t xml:space="preserve">los identificadores de políticas, normas, procedimientos e controles vinculados;</w:t>
      </w:r>
    </w:p>
    <w:p>
      <w:pPr>
        <w:numPr>
          <w:ilvl w:val="0"/>
          <w:numId w:val="1277"/>
        </w:numPr>
        <w:pStyle w:val="Compact"/>
      </w:pPr>
      <w:r>
        <w:t xml:space="preserve">sistemas, modelos, versiones, proveedores y jurisdicciones cubiertos;</w:t>
      </w:r>
    </w:p>
    <w:p>
      <w:pPr>
        <w:numPr>
          <w:ilvl w:val="0"/>
          <w:numId w:val="1277"/>
        </w:numPr>
        <w:pStyle w:val="Compact"/>
      </w:pPr>
      <w:r>
        <w:t xml:space="preserve">propietario responsable y ejecutante operativo;</w:t>
      </w:r>
    </w:p>
    <w:p>
      <w:pPr>
        <w:numPr>
          <w:ilvl w:val="0"/>
          <w:numId w:val="1277"/>
        </w:numPr>
        <w:pStyle w:val="Compact"/>
      </w:pPr>
      <w:r>
        <w:t xml:space="preserve">las pruebas requeridas y el lugar de retención;</w:t>
      </w:r>
    </w:p>
    <w:p>
      <w:pPr>
        <w:numPr>
          <w:ilvl w:val="0"/>
          <w:numId w:val="1277"/>
        </w:numPr>
        <w:pStyle w:val="Compact"/>
      </w:pPr>
      <w:r>
        <w:t xml:space="preserve">el procedimiento de ensayo, la frecuencia y el resultado más reciente;</w:t>
      </w:r>
    </w:p>
    <w:p>
      <w:pPr>
        <w:numPr>
          <w:ilvl w:val="0"/>
          <w:numId w:val="1277"/>
        </w:numPr>
        <w:pStyle w:val="Compact"/>
      </w:pPr>
      <w:r>
        <w:t xml:space="preserve">las deficiencias, la interpretación, la dependencia o el estado de revisión por parte de un abogado;</w:t>
      </w:r>
    </w:p>
    <w:p>
      <w:pPr>
        <w:numPr>
          <w:ilvl w:val="0"/>
          <w:numId w:val="1277"/>
        </w:numPr>
        <w:pStyle w:val="Compact"/>
      </w:pPr>
      <w:r>
        <w:t xml:space="preserve">cambiar el historial y el siguiente disparador de revisión.</w:t>
      </w:r>
    </w:p>
    <w:bookmarkEnd w:id="973"/>
    <w:bookmarkStart w:id="974" w:name="ejemplo-de-globalway-98"/>
    <w:p>
      <w:pPr>
        <w:pStyle w:val="Heading2"/>
      </w:pPr>
      <w:r>
        <w:rPr>
          <w:rStyle w:val="SectionNumber"/>
        </w:rPr>
        <w:t xml:space="preserve">1.931</w:t>
      </w:r>
      <w:r>
        <w:tab/>
      </w:r>
      <w:r>
        <w:t xml:space="preserve">Ejemplo de GlobalWay</w:t>
      </w:r>
    </w:p>
    <w:p>
      <w:pPr>
        <w:pStyle w:val="FirstParagraph"/>
      </w:pPr>
      <w:r>
        <w:t xml:space="preserve">GlobalWay mapea los requisitos de supervisión humana del artículo 14 para su sistema de contratación de alto riesgo a procedimientos de supervisión aprobados, capacitación de los usuarios, controles de interfaces, autoridad de detención, anulación del registro, pruebas de eficacia y pruebas de liberación retenidas.</w:t>
      </w:r>
    </w:p>
    <w:bookmarkEnd w:id="974"/>
    <w:bookmarkStart w:id="975" w:name="actividad-de-control-99"/>
    <w:p>
      <w:pPr>
        <w:pStyle w:val="Heading2"/>
      </w:pPr>
      <w:r>
        <w:rPr>
          <w:rStyle w:val="SectionNumber"/>
        </w:rPr>
        <w:t xml:space="preserve">1.932</w:t>
      </w:r>
      <w:r>
        <w:tab/>
      </w:r>
      <w:r>
        <w:t xml:space="preserve">Actividad de control</w:t>
      </w:r>
    </w:p>
    <w:p>
      <w:pPr>
        <w:pStyle w:val="FirstParagraph"/>
      </w:pPr>
      <w:r>
        <w:t xml:space="preserve">Los requisitos nuevos o modificados, los cambios en el sistema, los cambios en el papel de los actores, los cambios de propósito, los incidentes, las conclusiones de auditoría y los cambios en el proveedor deben desencadenar la revisión. Los requisitos aplicables no mapeados son bloqueadores de liberaciones.</w:t>
      </w:r>
    </w:p>
    <w:bookmarkEnd w:id="975"/>
    <w:bookmarkStart w:id="976" w:name="pruebas-104"/>
    <w:p>
      <w:pPr>
        <w:pStyle w:val="Heading2"/>
      </w:pPr>
      <w:r>
        <w:rPr>
          <w:rStyle w:val="SectionNumber"/>
        </w:rPr>
        <w:t xml:space="preserve">1.933</w:t>
      </w:r>
      <w:r>
        <w:tab/>
      </w:r>
      <w:r>
        <w:t xml:space="preserve">Pruebas</w:t>
      </w:r>
    </w:p>
    <w:p>
      <w:pPr>
        <w:numPr>
          <w:ilvl w:val="0"/>
          <w:numId w:val="1278"/>
        </w:numPr>
        <w:pStyle w:val="Compact"/>
      </w:pPr>
      <w:r>
        <w:t xml:space="preserve">inventario aprobado de obligaciones jurídicas;</w:t>
      </w:r>
    </w:p>
    <w:p>
      <w:pPr>
        <w:numPr>
          <w:ilvl w:val="0"/>
          <w:numId w:val="1278"/>
        </w:numPr>
        <w:pStyle w:val="Compact"/>
      </w:pPr>
      <w:r>
        <w:t xml:space="preserve">matriz de artículo a control;</w:t>
      </w:r>
    </w:p>
    <w:p>
      <w:pPr>
        <w:numPr>
          <w:ilvl w:val="0"/>
          <w:numId w:val="1278"/>
        </w:numPr>
        <w:pStyle w:val="Compact"/>
      </w:pPr>
      <w:r>
        <w:t xml:space="preserve">evaluación del actor y de la aplicabilidad;</w:t>
      </w:r>
    </w:p>
    <w:p>
      <w:pPr>
        <w:numPr>
          <w:ilvl w:val="0"/>
          <w:numId w:val="1278"/>
        </w:numPr>
        <w:pStyle w:val="Compact"/>
      </w:pPr>
      <w:r>
        <w:t xml:space="preserve">registro de la fecha efectiva;</w:t>
      </w:r>
    </w:p>
    <w:p>
      <w:pPr>
        <w:numPr>
          <w:ilvl w:val="0"/>
          <w:numId w:val="1278"/>
        </w:numPr>
        <w:pStyle w:val="Compact"/>
      </w:pPr>
      <w:r>
        <w:t xml:space="preserve">procedimientos vinculados e índices de pruebas;</w:t>
      </w:r>
    </w:p>
    <w:p>
      <w:pPr>
        <w:numPr>
          <w:ilvl w:val="0"/>
          <w:numId w:val="1278"/>
        </w:numPr>
        <w:pStyle w:val="Compact"/>
      </w:pPr>
      <w:r>
        <w:t xml:space="preserve">ensayos y registros de deficiencias;</w:t>
      </w:r>
    </w:p>
    <w:p>
      <w:pPr>
        <w:numPr>
          <w:ilvl w:val="0"/>
          <w:numId w:val="1278"/>
        </w:numPr>
        <w:pStyle w:val="Compact"/>
      </w:pPr>
      <w:r>
        <w:t xml:space="preserve">la revisión jurídica y el historial de aprobación;</w:t>
      </w:r>
    </w:p>
    <w:p>
      <w:pPr>
        <w:numPr>
          <w:ilvl w:val="0"/>
          <w:numId w:val="1278"/>
        </w:numPr>
        <w:pStyle w:val="Compact"/>
      </w:pPr>
      <w:r>
        <w:t xml:space="preserve">actualizaciones de cambio regulatorio.</w:t>
      </w:r>
    </w:p>
    <w:bookmarkEnd w:id="976"/>
    <w:bookmarkStart w:id="977" w:name="prueba-de-auditoría-100"/>
    <w:p>
      <w:pPr>
        <w:pStyle w:val="Heading2"/>
      </w:pPr>
      <w:r>
        <w:rPr>
          <w:rStyle w:val="SectionNumber"/>
        </w:rPr>
        <w:t xml:space="preserve">1.934</w:t>
      </w:r>
      <w:r>
        <w:tab/>
      </w:r>
      <w:r>
        <w:t xml:space="preserve">Prueba de auditoría</w:t>
      </w:r>
    </w:p>
    <w:p>
      <w:pPr>
        <w:pStyle w:val="FirstParagraph"/>
      </w:pPr>
      <w:r>
        <w:t xml:space="preserve">Seleccione una muestra de artículos aplicables y elementos de anexo. Trace cada elemento legal a través de la asignación de controles, pruebas, propietarios, sistemas y resultados de pruebas. Confirme que las exclusiones y decisiones de no aplicación están documentadas y soportables.</w:t>
      </w:r>
    </w:p>
    <w:bookmarkEnd w:id="977"/>
    <w:bookmarkStart w:id="978" w:name="referencias-jurídicas-primarias-73"/>
    <w:p>
      <w:pPr>
        <w:pStyle w:val="Heading2"/>
      </w:pPr>
      <w:r>
        <w:rPr>
          <w:rStyle w:val="SectionNumber"/>
        </w:rPr>
        <w:t xml:space="preserve">1.935</w:t>
      </w:r>
      <w:r>
        <w:tab/>
      </w:r>
      <w:r>
        <w:t xml:space="preserve">Referencias jurídicas primarias</w:t>
      </w:r>
    </w:p>
    <w:p>
      <w:pPr>
        <w:numPr>
          <w:ilvl w:val="0"/>
          <w:numId w:val="1279"/>
        </w:numPr>
        <w:pStyle w:val="Compact"/>
      </w:pPr>
      <w:r>
        <w:t xml:space="preserve">Reglamento (UE) 2024/1689, en su versión modificada, incluidos los artículos y anexos aplicables.</w:t>
      </w:r>
    </w:p>
    <w:p>
      <w:pPr>
        <w:numPr>
          <w:ilvl w:val="0"/>
          <w:numId w:val="1279"/>
        </w:numPr>
        <w:pStyle w:val="Compact"/>
      </w:pPr>
      <w:r>
        <w:t xml:space="preserve">Reglamento (UE) 2026/1744, en su caso.</w:t>
      </w:r>
    </w:p>
    <w:p>
      <w:pPr>
        <w:numPr>
          <w:ilvl w:val="0"/>
          <w:numId w:val="1279"/>
        </w:numPr>
        <w:pStyle w:val="Compact"/>
      </w:pPr>
      <w:r>
        <w:t xml:space="preserve">Los actuales controles consolidados de texto EUR-Lex sobre versiones anteriores y resúmenes secundarios.</w:t>
      </w:r>
    </w:p>
    <w:bookmarkEnd w:id="978"/>
    <w:bookmarkStart w:id="979" w:name="Xe75601e2733b5e707b7e9ec7ce6da091c3d9afc"/>
    <w:p>
      <w:pPr>
        <w:pStyle w:val="Heading2"/>
      </w:pPr>
      <w:r>
        <w:rPr>
          <w:rStyle w:val="SectionNumber"/>
        </w:rPr>
        <w:t xml:space="preserve">1.936</w:t>
      </w:r>
      <w:r>
        <w:tab/>
      </w:r>
      <w:r>
        <w:t xml:space="preserve">Capítulo 106 — Control de la propiedad y la frecuencia</w:t>
      </w:r>
    </w:p>
    <w:p>
      <w:pPr>
        <w:pStyle w:val="BlockText"/>
      </w:pPr>
      <w:r>
        <w:rPr>
          <w:bCs/>
          <w:b/>
        </w:rPr>
        <w:t xml:space="preserve">Estatus legal:</w:t>
      </w:r>
      <w:r>
        <w:t xml:space="preserve"> </w:t>
      </w:r>
      <w:r>
        <w:t xml:space="preserve">Corregido Maestro Inglés para la consolidación. Este archivo controla el lenguaje de borrador anterior del Capítulo 106.</w:t>
      </w:r>
    </w:p>
    <w:bookmarkEnd w:id="979"/>
    <w:bookmarkStart w:id="980" w:name="requisito-104"/>
    <w:p>
      <w:pPr>
        <w:pStyle w:val="Heading2"/>
      </w:pPr>
      <w:r>
        <w:rPr>
          <w:rStyle w:val="SectionNumber"/>
        </w:rPr>
        <w:t xml:space="preserve">1.937</w:t>
      </w:r>
      <w:r>
        <w:tab/>
      </w:r>
      <w:r>
        <w:t xml:space="preserve">Requisito</w:t>
      </w:r>
    </w:p>
    <w:p>
      <w:pPr>
        <w:pStyle w:val="FirstParagraph"/>
      </w:pPr>
      <w:r>
        <w:t xml:space="preserve">Cada control de IA material debe tener claramente asignada responsabilidad, responsabilidad operacional, autoridad de escalada, frecuencia de ejecución, eventos desencadenantes, obligaciones de evidencia y cobertura de respaldo. La propiedad y frecuencia deben reflejar deberes legales, riesgo del sistema, etapa del ciclo de vida, velocidad de cambio y criticidad de control.</w:t>
      </w:r>
    </w:p>
    <w:bookmarkEnd w:id="980"/>
    <w:bookmarkStart w:id="981" w:name="explicación-en-lenguaje-sencillo-101"/>
    <w:p>
      <w:pPr>
        <w:pStyle w:val="Heading2"/>
      </w:pPr>
      <w:r>
        <w:rPr>
          <w:rStyle w:val="SectionNumber"/>
        </w:rPr>
        <w:t xml:space="preserve">1.938</w:t>
      </w:r>
      <w:r>
        <w:tab/>
      </w:r>
      <w:r>
        <w:t xml:space="preserve">Explicación en lenguaje sencillo</w:t>
      </w:r>
    </w:p>
    <w:p>
      <w:pPr>
        <w:pStyle w:val="FirstParagraph"/>
      </w:pPr>
      <w:r>
        <w:t xml:space="preserve">Es poco probable que funcione un control sin un propietario, y un control realizado en el intervalo incorrecto puede no gestionar el riesgo. La revisión anual no es suficiente para cambiar rápidamente los modelos, sistemas de alto riesgo, incidentes activos o cambios impulsados por el proveedor.</w:t>
      </w:r>
    </w:p>
    <w:bookmarkEnd w:id="981"/>
    <w:bookmarkStart w:id="982" w:name="requisitos-de-propiedad"/>
    <w:p>
      <w:pPr>
        <w:pStyle w:val="Heading2"/>
      </w:pPr>
      <w:r>
        <w:rPr>
          <w:rStyle w:val="SectionNumber"/>
        </w:rPr>
        <w:t xml:space="preserve">1.939</w:t>
      </w:r>
      <w:r>
        <w:tab/>
      </w:r>
      <w:r>
        <w:t xml:space="preserve">Requisitos de propiedad</w:t>
      </w:r>
    </w:p>
    <w:p>
      <w:pPr>
        <w:pStyle w:val="FirstParagraph"/>
      </w:pPr>
      <w:r>
        <w:t xml:space="preserve">Definir para cada control:</w:t>
      </w:r>
    </w:p>
    <w:p>
      <w:pPr>
        <w:numPr>
          <w:ilvl w:val="0"/>
          <w:numId w:val="1280"/>
        </w:numPr>
        <w:pStyle w:val="Compact"/>
      </w:pPr>
      <w:r>
        <w:t xml:space="preserve">un ejecutivo o una función responsable;</w:t>
      </w:r>
    </w:p>
    <w:p>
      <w:pPr>
        <w:numPr>
          <w:ilvl w:val="0"/>
          <w:numId w:val="1280"/>
        </w:numPr>
        <w:pStyle w:val="Compact"/>
      </w:pPr>
      <w:r>
        <w:t xml:space="preserve">el propietario del control responsable del diseño y el rendimiento;</w:t>
      </w:r>
    </w:p>
    <w:p>
      <w:pPr>
        <w:numPr>
          <w:ilvl w:val="0"/>
          <w:numId w:val="1280"/>
        </w:numPr>
        <w:pStyle w:val="Compact"/>
      </w:pPr>
      <w:r>
        <w:t xml:space="preserve">el operador responsable de la ejecución;</w:t>
      </w:r>
    </w:p>
    <w:p>
      <w:pPr>
        <w:numPr>
          <w:ilvl w:val="0"/>
          <w:numId w:val="1280"/>
        </w:numPr>
        <w:pStyle w:val="Compact"/>
      </w:pPr>
      <w:r>
        <w:t xml:space="preserve">revisor o aprobador cuando se requiera segregación;</w:t>
      </w:r>
    </w:p>
    <w:p>
      <w:pPr>
        <w:numPr>
          <w:ilvl w:val="0"/>
          <w:numId w:val="1280"/>
        </w:numPr>
        <w:pStyle w:val="Compact"/>
      </w:pPr>
      <w:r>
        <w:t xml:space="preserve">el custodio de la prueba;</w:t>
      </w:r>
    </w:p>
    <w:p>
      <w:pPr>
        <w:numPr>
          <w:ilvl w:val="0"/>
          <w:numId w:val="1280"/>
        </w:numPr>
        <w:pStyle w:val="Compact"/>
      </w:pPr>
      <w:r>
        <w:t xml:space="preserve">autoridad de escalada y aceptación del riesgo;</w:t>
      </w:r>
    </w:p>
    <w:p>
      <w:pPr>
        <w:numPr>
          <w:ilvl w:val="0"/>
          <w:numId w:val="1280"/>
        </w:numPr>
        <w:pStyle w:val="Compact"/>
      </w:pPr>
      <w:r>
        <w:t xml:space="preserve">el propietario cualificado de la copia de seguridad y las disposiciones de continuidad;</w:t>
      </w:r>
    </w:p>
    <w:p>
      <w:pPr>
        <w:numPr>
          <w:ilvl w:val="0"/>
          <w:numId w:val="1280"/>
        </w:numPr>
        <w:pStyle w:val="Compact"/>
      </w:pPr>
      <w:r>
        <w:t xml:space="preserve">conflicto de intereses y garantías de independencia.</w:t>
      </w:r>
    </w:p>
    <w:bookmarkEnd w:id="982"/>
    <w:bookmarkStart w:id="983" w:name="frecuencia-requerida"/>
    <w:p>
      <w:pPr>
        <w:pStyle w:val="Heading2"/>
      </w:pPr>
      <w:r>
        <w:rPr>
          <w:rStyle w:val="SectionNumber"/>
        </w:rPr>
        <w:t xml:space="preserve">1.940</w:t>
      </w:r>
      <w:r>
        <w:tab/>
      </w:r>
      <w:r>
        <w:t xml:space="preserve">Frecuencia requerida</w:t>
      </w:r>
    </w:p>
    <w:p>
      <w:pPr>
        <w:pStyle w:val="FirstParagraph"/>
      </w:pPr>
      <w:r>
        <w:t xml:space="preserve">El tiempo de control puede ser:</w:t>
      </w:r>
    </w:p>
    <w:p>
      <w:pPr>
        <w:numPr>
          <w:ilvl w:val="0"/>
          <w:numId w:val="1281"/>
        </w:numPr>
        <w:pStyle w:val="Compact"/>
      </w:pPr>
      <w:r>
        <w:t xml:space="preserve">continua o impulsada por eventos;</w:t>
      </w:r>
    </w:p>
    <w:p>
      <w:pPr>
        <w:numPr>
          <w:ilvl w:val="0"/>
          <w:numId w:val="1281"/>
        </w:numPr>
        <w:pStyle w:val="Compact"/>
      </w:pPr>
      <w:r>
        <w:t xml:space="preserve">por transacción, decisión, liberación, modelo o conjunto de datos;</w:t>
      </w:r>
    </w:p>
    <w:p>
      <w:pPr>
        <w:numPr>
          <w:ilvl w:val="0"/>
          <w:numId w:val="1281"/>
        </w:numPr>
        <w:pStyle w:val="Compact"/>
      </w:pPr>
      <w:r>
        <w:t xml:space="preserve">diaria, semanal, mensual, trimestral o anual;</w:t>
      </w:r>
    </w:p>
    <w:p>
      <w:pPr>
        <w:numPr>
          <w:ilvl w:val="0"/>
          <w:numId w:val="1281"/>
        </w:numPr>
        <w:pStyle w:val="Compact"/>
      </w:pPr>
      <w:r>
        <w:t xml:space="preserve">antes del despliegue, después del cambio, después del incidente o en la renovación del contrato.</w:t>
      </w:r>
    </w:p>
    <w:p>
      <w:pPr>
        <w:pStyle w:val="FirstParagraph"/>
      </w:pPr>
      <w:r>
        <w:t xml:space="preserve">La frecuencia debe ser reevaluada cuando cambian el riesgo, la ley, el comportamiento del sistema, la escala, las condiciones del proveedor o el monitoreo de los resultados.</w:t>
      </w:r>
    </w:p>
    <w:bookmarkEnd w:id="983"/>
    <w:bookmarkStart w:id="984" w:name="ejemplo-de-globalway-99"/>
    <w:p>
      <w:pPr>
        <w:pStyle w:val="Heading2"/>
      </w:pPr>
      <w:r>
        <w:rPr>
          <w:rStyle w:val="SectionNumber"/>
        </w:rPr>
        <w:t xml:space="preserve">1.941</w:t>
      </w:r>
      <w:r>
        <w:tab/>
      </w:r>
      <w:r>
        <w:t xml:space="preserve">Ejemplo de GlobalWay</w:t>
      </w:r>
    </w:p>
    <w:p>
      <w:pPr>
        <w:pStyle w:val="FirstParagraph"/>
      </w:pPr>
      <w:r>
        <w:t xml:space="preserve">GlobalWay asigna el examen de los registros de contratación al propietario de las operaciones semanalmente, el examen de los sesgos y el desempeño mensual, el examen trimestral de la garantía de los proveedores y los controles de clasificación y liberación antes de cada cambio de versión de material.</w:t>
      </w:r>
    </w:p>
    <w:bookmarkEnd w:id="984"/>
    <w:bookmarkStart w:id="985" w:name="actividad-de-control-100"/>
    <w:p>
      <w:pPr>
        <w:pStyle w:val="Heading2"/>
      </w:pPr>
      <w:r>
        <w:rPr>
          <w:rStyle w:val="SectionNumber"/>
        </w:rPr>
        <w:t xml:space="preserve">1.942</w:t>
      </w:r>
      <w:r>
        <w:tab/>
      </w:r>
      <w:r>
        <w:t xml:space="preserve">Actividad de control</w:t>
      </w:r>
    </w:p>
    <w:p>
      <w:pPr>
        <w:pStyle w:val="FirstParagraph"/>
      </w:pPr>
      <w:r>
        <w:t xml:space="preserve">AI Governance debe aprobar el modelo de propiedad y frecuencia, monitorear ejecuciones perdidas o tardías, requerir delegación documentada, y aumentar los controles huérfanos, atrasados, ineficaces o repetidamente defectuosos. Los controles críticos pueden no depender de una sola persona sin cobertura de respaldo.</w:t>
      </w:r>
    </w:p>
    <w:bookmarkEnd w:id="985"/>
    <w:bookmarkStart w:id="986" w:name="pruebas-105"/>
    <w:p>
      <w:pPr>
        <w:pStyle w:val="Heading2"/>
      </w:pPr>
      <w:r>
        <w:rPr>
          <w:rStyle w:val="SectionNumber"/>
        </w:rPr>
        <w:t xml:space="preserve">1.943</w:t>
      </w:r>
      <w:r>
        <w:tab/>
      </w:r>
      <w:r>
        <w:t xml:space="preserve">Pruebas</w:t>
      </w:r>
    </w:p>
    <w:p>
      <w:pPr>
        <w:numPr>
          <w:ilvl w:val="0"/>
          <w:numId w:val="1282"/>
        </w:numPr>
        <w:pStyle w:val="Compact"/>
      </w:pPr>
      <w:r>
        <w:t xml:space="preserve">control del registro de propiedad;</w:t>
      </w:r>
    </w:p>
    <w:p>
      <w:pPr>
        <w:numPr>
          <w:ilvl w:val="0"/>
          <w:numId w:val="1282"/>
        </w:numPr>
        <w:pStyle w:val="Compact"/>
      </w:pPr>
      <w:r>
        <w:t xml:space="preserve">los registros de la RACI y las delegaciones;</w:t>
      </w:r>
    </w:p>
    <w:p>
      <w:pPr>
        <w:numPr>
          <w:ilvl w:val="0"/>
          <w:numId w:val="1282"/>
        </w:numPr>
        <w:pStyle w:val="Compact"/>
      </w:pPr>
      <w:r>
        <w:t xml:space="preserve">justificación aprobada de la frecuencia;</w:t>
      </w:r>
    </w:p>
    <w:p>
      <w:pPr>
        <w:numPr>
          <w:ilvl w:val="0"/>
          <w:numId w:val="1282"/>
        </w:numPr>
        <w:pStyle w:val="Compact"/>
      </w:pPr>
      <w:r>
        <w:t xml:space="preserve">calendario de ejecución y calendarios automatizados;</w:t>
      </w:r>
    </w:p>
    <w:p>
      <w:pPr>
        <w:numPr>
          <w:ilvl w:val="0"/>
          <w:numId w:val="1282"/>
        </w:numPr>
        <w:pStyle w:val="Compact"/>
      </w:pPr>
      <w:r>
        <w:t xml:space="preserve">pruebas de conclusión y revisión;</w:t>
      </w:r>
    </w:p>
    <w:p>
      <w:pPr>
        <w:numPr>
          <w:ilvl w:val="0"/>
          <w:numId w:val="1282"/>
        </w:numPr>
        <w:pStyle w:val="Compact"/>
      </w:pPr>
      <w:r>
        <w:t xml:space="preserve">informes de control atrasados;</w:t>
      </w:r>
    </w:p>
    <w:p>
      <w:pPr>
        <w:numPr>
          <w:ilvl w:val="0"/>
          <w:numId w:val="1282"/>
        </w:numPr>
        <w:pStyle w:val="Compact"/>
      </w:pPr>
      <w:r>
        <w:t xml:space="preserve">los registros de escalada y respaldo;</w:t>
      </w:r>
    </w:p>
    <w:p>
      <w:pPr>
        <w:numPr>
          <w:ilvl w:val="0"/>
          <w:numId w:val="1282"/>
        </w:numPr>
        <w:pStyle w:val="Compact"/>
      </w:pPr>
      <w:r>
        <w:t xml:space="preserve">historial de cambio de frecuencia.</w:t>
      </w:r>
    </w:p>
    <w:bookmarkEnd w:id="986"/>
    <w:bookmarkStart w:id="987" w:name="prueba-de-auditoría-101"/>
    <w:p>
      <w:pPr>
        <w:pStyle w:val="Heading2"/>
      </w:pPr>
      <w:r>
        <w:rPr>
          <w:rStyle w:val="SectionNumber"/>
        </w:rPr>
        <w:t xml:space="preserve">1.944</w:t>
      </w:r>
      <w:r>
        <w:tab/>
      </w:r>
      <w:r>
        <w:t xml:space="preserve">Prueba de auditoría</w:t>
      </w:r>
    </w:p>
    <w:p>
      <w:pPr>
        <w:pStyle w:val="FirstParagraph"/>
      </w:pPr>
      <w:r>
        <w:t xml:space="preserve">Seleccione controles entre niveles de riesgo y etapas del ciclo de vida. Confirme que los propietarios son actuales y competentes, las frecuencias coinciden con el riesgo y los desencadenantes, las ejecuciones ocurrieron a tiempo, se revisaron las pruebas y se intensificaron y remediaron los controles perdidos.</w:t>
      </w:r>
    </w:p>
    <w:bookmarkEnd w:id="987"/>
    <w:bookmarkStart w:id="988" w:name="referencias-jurídicas-primarias-74"/>
    <w:p>
      <w:pPr>
        <w:pStyle w:val="Heading2"/>
      </w:pPr>
      <w:r>
        <w:rPr>
          <w:rStyle w:val="SectionNumber"/>
        </w:rPr>
        <w:t xml:space="preserve">1.945</w:t>
      </w:r>
      <w:r>
        <w:tab/>
      </w:r>
      <w:r>
        <w:t xml:space="preserve">Referencias jurídicas primarias</w:t>
      </w:r>
    </w:p>
    <w:p>
      <w:pPr>
        <w:numPr>
          <w:ilvl w:val="0"/>
          <w:numId w:val="1283"/>
        </w:numPr>
        <w:pStyle w:val="Compact"/>
      </w:pPr>
      <w:r>
        <w:t xml:space="preserve">Reglamento (UE) 2024/1689, modificado: disposiciones aplicables sobre gestión de la calidad, gestión del riesgo, supervisión humana, seguimiento, mantenimiento de registros, incidentes, medidas correctivas y responsabilidad de los agentes.</w:t>
      </w:r>
    </w:p>
    <w:p>
      <w:pPr>
        <w:numPr>
          <w:ilvl w:val="0"/>
          <w:numId w:val="1283"/>
        </w:numPr>
        <w:pStyle w:val="Compact"/>
      </w:pPr>
      <w:r>
        <w:t xml:space="preserve">Los actuales controles consolidados de texto EUR-Lex sobre los resúmenes antiguos.</w:t>
      </w:r>
    </w:p>
    <w:bookmarkEnd w:id="988"/>
    <w:bookmarkStart w:id="989" w:name="capítulo-107-normas-de-prueba"/>
    <w:p>
      <w:pPr>
        <w:pStyle w:val="Heading2"/>
      </w:pPr>
      <w:r>
        <w:rPr>
          <w:rStyle w:val="SectionNumber"/>
        </w:rPr>
        <w:t xml:space="preserve">1.946</w:t>
      </w:r>
      <w:r>
        <w:tab/>
      </w:r>
      <w:r>
        <w:t xml:space="preserve">Capítulo 107 — Normas de prueba</w:t>
      </w:r>
    </w:p>
    <w:p>
      <w:pPr>
        <w:pStyle w:val="BlockText"/>
      </w:pPr>
      <w:r>
        <w:rPr>
          <w:bCs/>
          <w:b/>
        </w:rPr>
        <w:t xml:space="preserve">Estatus legal:</w:t>
      </w:r>
      <w:r>
        <w:t xml:space="preserve"> </w:t>
      </w:r>
      <w:r>
        <w:t xml:space="preserve">Corregido Maestro Inglés para la consolidación. Este archivo controla el lenguaje de borrador anterior del Capítulo 107.</w:t>
      </w:r>
    </w:p>
    <w:bookmarkEnd w:id="989"/>
    <w:bookmarkStart w:id="990" w:name="requisito-105"/>
    <w:p>
      <w:pPr>
        <w:pStyle w:val="Heading2"/>
      </w:pPr>
      <w:r>
        <w:rPr>
          <w:rStyle w:val="SectionNumber"/>
        </w:rPr>
        <w:t xml:space="preserve">1.947</w:t>
      </w:r>
      <w:r>
        <w:tab/>
      </w:r>
      <w:r>
        <w:t xml:space="preserve">Requisito</w:t>
      </w:r>
    </w:p>
    <w:p>
      <w:pPr>
        <w:pStyle w:val="FirstParagraph"/>
      </w:pPr>
      <w:r>
        <w:t xml:space="preserve">Las pruebas de cumplimiento deben ser auténticas, completas, exactas, oportunas, atribuibles, vinculadas a versiones, protegidas, recuperables y suficientes para demostrar el diseño y funcionamiento de los controles de IA y los deberes legales pertinentes.</w:t>
      </w:r>
    </w:p>
    <w:bookmarkEnd w:id="990"/>
    <w:bookmarkStart w:id="991" w:name="explicación-en-lenguaje-sencillo-102"/>
    <w:p>
      <w:pPr>
        <w:pStyle w:val="Heading2"/>
      </w:pPr>
      <w:r>
        <w:rPr>
          <w:rStyle w:val="SectionNumber"/>
        </w:rPr>
        <w:t xml:space="preserve">1.948</w:t>
      </w:r>
      <w:r>
        <w:tab/>
      </w:r>
      <w:r>
        <w:t xml:space="preserve">Explicación en lenguaje sencillo</w:t>
      </w:r>
    </w:p>
    <w:p>
      <w:pPr>
        <w:pStyle w:val="FirstParagraph"/>
      </w:pPr>
      <w:r>
        <w:t xml:space="preserve">Una captura de pantalla, certificado o título de la póliza no es automáticamente evidencia confiable. La evidencia debe mostrar lo que sucedió, para qué sistema y versión, quién realizó y revisó la actividad, cuándo ocurrió, qué criterios se aplicaron, y si excepciones o fallas se resolvieron.</w:t>
      </w:r>
    </w:p>
    <w:bookmarkEnd w:id="991"/>
    <w:bookmarkStart w:id="992" w:name="criterios-de-calidad-de-las-pruebas"/>
    <w:p>
      <w:pPr>
        <w:pStyle w:val="Heading2"/>
      </w:pPr>
      <w:r>
        <w:rPr>
          <w:rStyle w:val="SectionNumber"/>
        </w:rPr>
        <w:t xml:space="preserve">1.949</w:t>
      </w:r>
      <w:r>
        <w:tab/>
      </w:r>
      <w:r>
        <w:t xml:space="preserve">Criterios de calidad de las pruebas</w:t>
      </w:r>
    </w:p>
    <w:p>
      <w:pPr>
        <w:pStyle w:val="FirstParagraph"/>
      </w:pPr>
      <w:r>
        <w:t xml:space="preserve">Las pruebas deben satisfacer:</w:t>
      </w:r>
    </w:p>
    <w:p>
      <w:pPr>
        <w:numPr>
          <w:ilvl w:val="0"/>
          <w:numId w:val="1284"/>
        </w:numPr>
        <w:pStyle w:val="Compact"/>
      </w:pPr>
      <w:r>
        <w:t xml:space="preserve">pertinencia para el requisito y el control exactos;</w:t>
      </w:r>
    </w:p>
    <w:p>
      <w:pPr>
        <w:numPr>
          <w:ilvl w:val="0"/>
          <w:numId w:val="1284"/>
        </w:numPr>
        <w:pStyle w:val="Compact"/>
      </w:pPr>
      <w:r>
        <w:t xml:space="preserve">identificación del sistema, modelo, conjunto de datos, configuración, liberación y jurisdicción;</w:t>
      </w:r>
    </w:p>
    <w:p>
      <w:pPr>
        <w:numPr>
          <w:ilvl w:val="0"/>
          <w:numId w:val="1284"/>
        </w:numPr>
        <w:pStyle w:val="Compact"/>
      </w:pPr>
      <w:r>
        <w:t xml:space="preserve">fuente fiable y creador responsable;</w:t>
      </w:r>
    </w:p>
    <w:p>
      <w:pPr>
        <w:numPr>
          <w:ilvl w:val="0"/>
          <w:numId w:val="1284"/>
        </w:numPr>
        <w:pStyle w:val="Compact"/>
      </w:pPr>
      <w:r>
        <w:t xml:space="preserve">fecha, hora, período y frecuencia de ejecución;</w:t>
      </w:r>
    </w:p>
    <w:p>
      <w:pPr>
        <w:numPr>
          <w:ilvl w:val="0"/>
          <w:numId w:val="1284"/>
        </w:numPr>
        <w:pStyle w:val="Compact"/>
      </w:pPr>
      <w:r>
        <w:t xml:space="preserve">integridad, incluidas las excepciones y los resultados negativos;</w:t>
      </w:r>
    </w:p>
    <w:p>
      <w:pPr>
        <w:numPr>
          <w:ilvl w:val="0"/>
          <w:numId w:val="1284"/>
        </w:numPr>
        <w:pStyle w:val="Compact"/>
      </w:pPr>
      <w:r>
        <w:t xml:space="preserve">protección de la integridad y cambio de historia;</w:t>
      </w:r>
    </w:p>
    <w:p>
      <w:pPr>
        <w:numPr>
          <w:ilvl w:val="0"/>
          <w:numId w:val="1284"/>
        </w:numPr>
        <w:pStyle w:val="Compact"/>
      </w:pPr>
      <w:r>
        <w:t xml:space="preserve">aprobación y separación del examinador cuando sea necesario;</w:t>
      </w:r>
    </w:p>
    <w:p>
      <w:pPr>
        <w:numPr>
          <w:ilvl w:val="0"/>
          <w:numId w:val="1284"/>
        </w:numPr>
        <w:pStyle w:val="Compact"/>
      </w:pPr>
      <w:r>
        <w:t xml:space="preserve">la retención acorde con las necesidades legales, contractuales, de incidentes y de auditoría;</w:t>
      </w:r>
    </w:p>
    <w:p>
      <w:pPr>
        <w:numPr>
          <w:ilvl w:val="0"/>
          <w:numId w:val="1284"/>
        </w:numPr>
        <w:pStyle w:val="Compact"/>
      </w:pPr>
      <w:r>
        <w:t xml:space="preserve">confidencialidad, privacidad, privilegios y controles de acceso;</w:t>
      </w:r>
    </w:p>
    <w:p>
      <w:pPr>
        <w:numPr>
          <w:ilvl w:val="0"/>
          <w:numId w:val="1284"/>
        </w:numPr>
        <w:pStyle w:val="Compact"/>
      </w:pPr>
      <w:r>
        <w:t xml:space="preserve">la reproducibilidad o la validación independiente, cuando proceda;</w:t>
      </w:r>
    </w:p>
    <w:p>
      <w:pPr>
        <w:numPr>
          <w:ilvl w:val="0"/>
          <w:numId w:val="1284"/>
        </w:numPr>
        <w:pStyle w:val="Compact"/>
      </w:pPr>
      <w:r>
        <w:t xml:space="preserve">búsqueda de índices y recuperación oportuna;</w:t>
      </w:r>
    </w:p>
    <w:p>
      <w:pPr>
        <w:numPr>
          <w:ilvl w:val="0"/>
          <w:numId w:val="1284"/>
        </w:numPr>
        <w:pStyle w:val="Compact"/>
      </w:pPr>
      <w:r>
        <w:t xml:space="preserve">tratamiento documentado de estimaciones, muestras, suposiciones y limitaciones.</w:t>
      </w:r>
    </w:p>
    <w:bookmarkEnd w:id="992"/>
    <w:bookmarkStart w:id="993" w:name="ejemplo-de-globalway-100"/>
    <w:p>
      <w:pPr>
        <w:pStyle w:val="Heading2"/>
      </w:pPr>
      <w:r>
        <w:rPr>
          <w:rStyle w:val="SectionNumber"/>
        </w:rPr>
        <w:t xml:space="preserve">1.950</w:t>
      </w:r>
      <w:r>
        <w:tab/>
      </w:r>
      <w:r>
        <w:t xml:space="preserve">Ejemplo de GlobalWay</w:t>
      </w:r>
    </w:p>
    <w:p>
      <w:pPr>
        <w:pStyle w:val="FirstParagraph"/>
      </w:pPr>
      <w:r>
        <w:t xml:space="preserve">GlobalWay conserva el plan de pruebas aprobado, la versión de conjunto de datos, la versión modelo, los resultados de subgrupos, la aprobación del revisor, las decisiones de excepción, las pruebas de rehabilitación y la aprobación de la liberación para su sistema de contratación.</w:t>
      </w:r>
    </w:p>
    <w:bookmarkEnd w:id="993"/>
    <w:bookmarkStart w:id="994" w:name="actividad-de-control-101"/>
    <w:p>
      <w:pPr>
        <w:pStyle w:val="Heading2"/>
      </w:pPr>
      <w:r>
        <w:rPr>
          <w:rStyle w:val="SectionNumber"/>
        </w:rPr>
        <w:t xml:space="preserve">1.951</w:t>
      </w:r>
      <w:r>
        <w:tab/>
      </w:r>
      <w:r>
        <w:t xml:space="preserve">Actividad de control</w:t>
      </w:r>
    </w:p>
    <w:p>
      <w:pPr>
        <w:pStyle w:val="FirstParagraph"/>
      </w:pPr>
      <w:r>
        <w:t xml:space="preserve">La organización debe publicar una norma de pruebas de IA, definir pruebas aceptables por tipo de control, mantener un registro de pruebas, proteger los registros de alteraciones o supresiones no autorizadas, y rechazar las certificaciones no justificadas o los resúmenes no verificables.</w:t>
      </w:r>
    </w:p>
    <w:bookmarkEnd w:id="994"/>
    <w:bookmarkStart w:id="995" w:name="pruebas-106"/>
    <w:p>
      <w:pPr>
        <w:pStyle w:val="Heading2"/>
      </w:pPr>
      <w:r>
        <w:rPr>
          <w:rStyle w:val="SectionNumber"/>
        </w:rPr>
        <w:t xml:space="preserve">1.952</w:t>
      </w:r>
      <w:r>
        <w:tab/>
      </w:r>
      <w:r>
        <w:t xml:space="preserve">Pruebas</w:t>
      </w:r>
    </w:p>
    <w:p>
      <w:pPr>
        <w:numPr>
          <w:ilvl w:val="0"/>
          <w:numId w:val="1285"/>
        </w:numPr>
        <w:pStyle w:val="Compact"/>
      </w:pPr>
      <w:r>
        <w:t xml:space="preserve">la norma sobre pruebas aprobada;</w:t>
      </w:r>
    </w:p>
    <w:p>
      <w:pPr>
        <w:numPr>
          <w:ilvl w:val="0"/>
          <w:numId w:val="1285"/>
        </w:numPr>
        <w:pStyle w:val="Compact"/>
      </w:pPr>
      <w:r>
        <w:t xml:space="preserve">registro de pruebas y metadatos;</w:t>
      </w:r>
    </w:p>
    <w:p>
      <w:pPr>
        <w:numPr>
          <w:ilvl w:val="0"/>
          <w:numId w:val="1285"/>
        </w:numPr>
        <w:pStyle w:val="Compact"/>
      </w:pPr>
      <w:r>
        <w:t xml:space="preserve">registros del sistema fuente;</w:t>
      </w:r>
    </w:p>
    <w:p>
      <w:pPr>
        <w:numPr>
          <w:ilvl w:val="0"/>
          <w:numId w:val="1285"/>
        </w:numPr>
        <w:pStyle w:val="Compact"/>
      </w:pPr>
      <w:r>
        <w:t xml:space="preserve">las aprobaciones y aprobaciones de los examinadores;</w:t>
      </w:r>
    </w:p>
    <w:p>
      <w:pPr>
        <w:numPr>
          <w:ilvl w:val="0"/>
          <w:numId w:val="1285"/>
        </w:numPr>
        <w:pStyle w:val="Compact"/>
      </w:pPr>
      <w:r>
        <w:t xml:space="preserve">integridad y registros de acceso;</w:t>
      </w:r>
    </w:p>
    <w:p>
      <w:pPr>
        <w:numPr>
          <w:ilvl w:val="0"/>
          <w:numId w:val="1285"/>
        </w:numPr>
        <w:pStyle w:val="Compact"/>
      </w:pPr>
      <w:r>
        <w:t xml:space="preserve">los calendarios de retención;</w:t>
      </w:r>
    </w:p>
    <w:p>
      <w:pPr>
        <w:numPr>
          <w:ilvl w:val="0"/>
          <w:numId w:val="1285"/>
        </w:numPr>
        <w:pStyle w:val="Compact"/>
      </w:pPr>
      <w:r>
        <w:t xml:space="preserve">los registros de excepción y deficiencia;</w:t>
      </w:r>
    </w:p>
    <w:p>
      <w:pPr>
        <w:numPr>
          <w:ilvl w:val="0"/>
          <w:numId w:val="1285"/>
        </w:numPr>
        <w:pStyle w:val="Compact"/>
      </w:pPr>
      <w:r>
        <w:t xml:space="preserve">resultados de la prueba de recuperación.</w:t>
      </w:r>
    </w:p>
    <w:bookmarkEnd w:id="995"/>
    <w:bookmarkStart w:id="996" w:name="prueba-de-auditoría-102"/>
    <w:p>
      <w:pPr>
        <w:pStyle w:val="Heading2"/>
      </w:pPr>
      <w:r>
        <w:rPr>
          <w:rStyle w:val="SectionNumber"/>
        </w:rPr>
        <w:t xml:space="preserve">1.953</w:t>
      </w:r>
      <w:r>
        <w:tab/>
      </w:r>
      <w:r>
        <w:t xml:space="preserve">Prueba de auditoría</w:t>
      </w:r>
    </w:p>
    <w:p>
      <w:pPr>
        <w:pStyle w:val="FirstParagraph"/>
      </w:pPr>
      <w:r>
        <w:t xml:space="preserve">Comprobar la fiabilidad de la fuente, la integridad, la atribución, la vinculación de la versión, las marcas de tiempo, las aprobaciones, la protección de la integridad, la retención, la accesibilidad y la coherencia con el resultado de control reclamado.</w:t>
      </w:r>
    </w:p>
    <w:bookmarkEnd w:id="996"/>
    <w:bookmarkStart w:id="997" w:name="referencias-jurídicas-primarias-75"/>
    <w:p>
      <w:pPr>
        <w:pStyle w:val="Heading2"/>
      </w:pPr>
      <w:r>
        <w:rPr>
          <w:rStyle w:val="SectionNumber"/>
        </w:rPr>
        <w:t xml:space="preserve">1.954</w:t>
      </w:r>
      <w:r>
        <w:tab/>
      </w:r>
      <w:r>
        <w:t xml:space="preserve">Referencias jurídicas primarias</w:t>
      </w:r>
    </w:p>
    <w:p>
      <w:pPr>
        <w:numPr>
          <w:ilvl w:val="0"/>
          <w:numId w:val="1286"/>
        </w:numPr>
        <w:pStyle w:val="Compact"/>
      </w:pPr>
      <w:r>
        <w:t xml:space="preserve">Reglamento (UE) 2024/1689, modificado: disposiciones aplicables en materia de documentación técnica, mantenimiento de registros, gestión de la calidad, seguimiento, incidentes, medidas correctoras, conformidad y acceso a la autoridad.</w:t>
      </w:r>
    </w:p>
    <w:p>
      <w:pPr>
        <w:numPr>
          <w:ilvl w:val="0"/>
          <w:numId w:val="1286"/>
        </w:numPr>
        <w:pStyle w:val="Compact"/>
      </w:pPr>
      <w:r>
        <w:t xml:space="preserve">Requisitos aplicables en materia de privacidad, ciberseguridad, empleo, seguridad de los productos y conservación del sector.</w:t>
      </w:r>
    </w:p>
    <w:p>
      <w:pPr>
        <w:numPr>
          <w:ilvl w:val="0"/>
          <w:numId w:val="1286"/>
        </w:numPr>
        <w:pStyle w:val="Compact"/>
      </w:pPr>
      <w:r>
        <w:t xml:space="preserve">Los textos oficiales consolidados actuales controlan los resúmenes antiguos.</w:t>
      </w:r>
    </w:p>
    <w:bookmarkEnd w:id="997"/>
    <w:bookmarkStart w:id="998" w:name="capítulo-108-ensayos-de-control"/>
    <w:p>
      <w:pPr>
        <w:pStyle w:val="Heading2"/>
      </w:pPr>
      <w:r>
        <w:rPr>
          <w:rStyle w:val="SectionNumber"/>
        </w:rPr>
        <w:t xml:space="preserve">1.955</w:t>
      </w:r>
      <w:r>
        <w:tab/>
      </w:r>
      <w:r>
        <w:t xml:space="preserve">Capítulo 108 — Ensayos de control</w:t>
      </w:r>
    </w:p>
    <w:p>
      <w:pPr>
        <w:pStyle w:val="BlockText"/>
      </w:pPr>
      <w:r>
        <w:rPr>
          <w:bCs/>
          <w:b/>
        </w:rPr>
        <w:t xml:space="preserve">Estatus legal:</w:t>
      </w:r>
      <w:r>
        <w:t xml:space="preserve"> </w:t>
      </w:r>
      <w:r>
        <w:t xml:space="preserve">Corregido Maestro de inglés para la consolidación. Este archivo controla el lenguaje de borrador anterior del Capítulo 108.</w:t>
      </w:r>
    </w:p>
    <w:bookmarkEnd w:id="998"/>
    <w:bookmarkStart w:id="999" w:name="requisito-106"/>
    <w:p>
      <w:pPr>
        <w:pStyle w:val="Heading2"/>
      </w:pPr>
      <w:r>
        <w:rPr>
          <w:rStyle w:val="SectionNumber"/>
        </w:rPr>
        <w:t xml:space="preserve">1.956</w:t>
      </w:r>
      <w:r>
        <w:tab/>
      </w:r>
      <w:r>
        <w:t xml:space="preserve">Requisito</w:t>
      </w:r>
    </w:p>
    <w:p>
      <w:pPr>
        <w:pStyle w:val="FirstParagraph"/>
      </w:pPr>
      <w:r>
        <w:t xml:space="preserve">Los controles de la IA deben probarse mediante procedimientos documentados basados en el riesgo que evalúen tanto la eficacia del diseño como la eficacia del funcionamiento. Los ensayos deben ser suficientemente independientes, competentes, basados en pruebas, reproducibles y vinculados a las decisiones de rehabilitación y liberación.</w:t>
      </w:r>
    </w:p>
    <w:bookmarkEnd w:id="999"/>
    <w:bookmarkStart w:id="1000" w:name="explicación-en-lenguaje-sencillo-103"/>
    <w:p>
      <w:pPr>
        <w:pStyle w:val="Heading2"/>
      </w:pPr>
      <w:r>
        <w:rPr>
          <w:rStyle w:val="SectionNumber"/>
        </w:rPr>
        <w:t xml:space="preserve">1.957</w:t>
      </w:r>
      <w:r>
        <w:tab/>
      </w:r>
      <w:r>
        <w:t xml:space="preserve">Explicación en lenguaje sencillo</w:t>
      </w:r>
    </w:p>
    <w:p>
      <w:pPr>
        <w:pStyle w:val="FirstParagraph"/>
      </w:pPr>
      <w:r>
        <w:t xml:space="preserve">Un control puede parecer adecuado en papel, pero falla en la práctica. Las pruebas deben confirmar que el control está correctamente diseñado, implementado para los sistemas y versiones correctos, realizado por el personal autorizado, apoyado por pruebas confiables, y efectivo durante el período revisado.</w:t>
      </w:r>
    </w:p>
    <w:bookmarkEnd w:id="1000"/>
    <w:bookmarkStart w:id="1001" w:name="requisitos-de-ensayo"/>
    <w:p>
      <w:pPr>
        <w:pStyle w:val="Heading2"/>
      </w:pPr>
      <w:r>
        <w:rPr>
          <w:rStyle w:val="SectionNumber"/>
        </w:rPr>
        <w:t xml:space="preserve">1.958</w:t>
      </w:r>
      <w:r>
        <w:tab/>
      </w:r>
      <w:r>
        <w:t xml:space="preserve">Requisitos de ensayo</w:t>
      </w:r>
    </w:p>
    <w:p>
      <w:pPr>
        <w:pStyle w:val="FirstParagraph"/>
      </w:pPr>
      <w:r>
        <w:t xml:space="preserve">Un ensayo de control debe definir:</w:t>
      </w:r>
    </w:p>
    <w:p>
      <w:pPr>
        <w:numPr>
          <w:ilvl w:val="0"/>
          <w:numId w:val="1287"/>
        </w:numPr>
        <w:pStyle w:val="Compact"/>
      </w:pPr>
      <w:r>
        <w:t xml:space="preserve">el objetivo de control y el requisito o riesgo vinculado;</w:t>
      </w:r>
    </w:p>
    <w:p>
      <w:pPr>
        <w:numPr>
          <w:ilvl w:val="0"/>
          <w:numId w:val="1287"/>
        </w:numPr>
        <w:pStyle w:val="Compact"/>
      </w:pPr>
      <w:r>
        <w:t xml:space="preserve">población, alcance, sistemas, versiones, actores y periodo;</w:t>
      </w:r>
    </w:p>
    <w:p>
      <w:pPr>
        <w:numPr>
          <w:ilvl w:val="0"/>
          <w:numId w:val="1287"/>
        </w:numPr>
        <w:pStyle w:val="Compact"/>
      </w:pPr>
      <w:r>
        <w:t xml:space="preserve">criterios de diseño y eficacia;</w:t>
      </w:r>
    </w:p>
    <w:p>
      <w:pPr>
        <w:numPr>
          <w:ilvl w:val="0"/>
          <w:numId w:val="1287"/>
        </w:numPr>
        <w:pStyle w:val="Compact"/>
      </w:pPr>
      <w:r>
        <w:t xml:space="preserve">criterios de eficacia operativa;</w:t>
      </w:r>
    </w:p>
    <w:p>
      <w:pPr>
        <w:numPr>
          <w:ilvl w:val="0"/>
          <w:numId w:val="1287"/>
        </w:numPr>
        <w:pStyle w:val="Compact"/>
      </w:pPr>
      <w:r>
        <w:t xml:space="preserve">método de muestreo y justificación;</w:t>
      </w:r>
    </w:p>
    <w:p>
      <w:pPr>
        <w:numPr>
          <w:ilvl w:val="0"/>
          <w:numId w:val="1287"/>
        </w:numPr>
        <w:pStyle w:val="Compact"/>
      </w:pPr>
      <w:r>
        <w:t xml:space="preserve">las pruebas esperadas y la fiabilidad de la fuente;</w:t>
      </w:r>
    </w:p>
    <w:p>
      <w:pPr>
        <w:numPr>
          <w:ilvl w:val="0"/>
          <w:numId w:val="1287"/>
        </w:numPr>
        <w:pStyle w:val="Compact"/>
      </w:pPr>
      <w:r>
        <w:t xml:space="preserve">competencia del testador, independencia y conflictos;</w:t>
      </w:r>
    </w:p>
    <w:p>
      <w:pPr>
        <w:numPr>
          <w:ilvl w:val="0"/>
          <w:numId w:val="1287"/>
        </w:numPr>
        <w:pStyle w:val="Compact"/>
      </w:pPr>
      <w:r>
        <w:t xml:space="preserve">procedimientos, rendimiento, observación, investigación, inspección o validación técnica;</w:t>
      </w:r>
    </w:p>
    <w:p>
      <w:pPr>
        <w:numPr>
          <w:ilvl w:val="0"/>
          <w:numId w:val="1287"/>
        </w:numPr>
        <w:pStyle w:val="Compact"/>
      </w:pPr>
      <w:r>
        <w:t xml:space="preserve">los criterios de excepción y severidad;</w:t>
      </w:r>
    </w:p>
    <w:p>
      <w:pPr>
        <w:numPr>
          <w:ilvl w:val="0"/>
          <w:numId w:val="1287"/>
        </w:numPr>
        <w:pStyle w:val="Compact"/>
      </w:pPr>
      <w:r>
        <w:t xml:space="preserve">la causa raíz, el impacto, el control compensatorio y las expectativas de recuperación;</w:t>
      </w:r>
    </w:p>
    <w:p>
      <w:pPr>
        <w:numPr>
          <w:ilvl w:val="0"/>
          <w:numId w:val="1287"/>
        </w:numPr>
        <w:pStyle w:val="Compact"/>
      </w:pPr>
      <w:r>
        <w:t xml:space="preserve">requisitos de reensayo y cierre;</w:t>
      </w:r>
    </w:p>
    <w:p>
      <w:pPr>
        <w:numPr>
          <w:ilvl w:val="0"/>
          <w:numId w:val="1287"/>
        </w:numPr>
        <w:pStyle w:val="Compact"/>
      </w:pPr>
      <w:r>
        <w:t xml:space="preserve">la información y los umbrales de aumento.</w:t>
      </w:r>
    </w:p>
    <w:bookmarkEnd w:id="1001"/>
    <w:bookmarkStart w:id="1002" w:name="ejemplo-de-globalway-101"/>
    <w:p>
      <w:pPr>
        <w:pStyle w:val="Heading2"/>
      </w:pPr>
      <w:r>
        <w:rPr>
          <w:rStyle w:val="SectionNumber"/>
        </w:rPr>
        <w:t xml:space="preserve">1.959</w:t>
      </w:r>
      <w:r>
        <w:tab/>
      </w:r>
      <w:r>
        <w:t xml:space="preserve">Ejemplo de GlobalWay</w:t>
      </w:r>
    </w:p>
    <w:p>
      <w:pPr>
        <w:pStyle w:val="FirstParagraph"/>
      </w:pPr>
      <w:r>
        <w:t xml:space="preserve">GlobalWay prueba su control de supervisión humana revisando el diseño del procedimiento, los registros de capacitación, los permisos de interfaz, los registros de anulación y detención, las decisiones de muestreo, la revisión de supervisores y la evidencia de que las excepciones de alta gravedad no resueltas bloquearon la liberación o el uso continuado.</w:t>
      </w:r>
    </w:p>
    <w:bookmarkEnd w:id="1002"/>
    <w:bookmarkStart w:id="1003" w:name="actividad-de-control-102"/>
    <w:p>
      <w:pPr>
        <w:pStyle w:val="Heading2"/>
      </w:pPr>
      <w:r>
        <w:rPr>
          <w:rStyle w:val="SectionNumber"/>
        </w:rPr>
        <w:t xml:space="preserve">1.960</w:t>
      </w:r>
      <w:r>
        <w:tab/>
      </w:r>
      <w:r>
        <w:t xml:space="preserve">Actividad de control</w:t>
      </w:r>
    </w:p>
    <w:p>
      <w:pPr>
        <w:pStyle w:val="FirstParagraph"/>
      </w:pPr>
      <w:r>
        <w:t xml:space="preserve">La función de garantía debe mantener una metodología de control de pruebas de IA aprobada, dar prioridad a los controles críticos y de alto riesgo, impedir la autoevaluación cuando se requiera independencia y hacer un seguimiento de todas las excepciones mediante cierre validado.</w:t>
      </w:r>
    </w:p>
    <w:bookmarkEnd w:id="1003"/>
    <w:bookmarkStart w:id="1004" w:name="pruebas-107"/>
    <w:p>
      <w:pPr>
        <w:pStyle w:val="Heading2"/>
      </w:pPr>
      <w:r>
        <w:rPr>
          <w:rStyle w:val="SectionNumber"/>
        </w:rPr>
        <w:t xml:space="preserve">1.961</w:t>
      </w:r>
      <w:r>
        <w:tab/>
      </w:r>
      <w:r>
        <w:t xml:space="preserve">Pruebas</w:t>
      </w:r>
    </w:p>
    <w:p>
      <w:pPr>
        <w:numPr>
          <w:ilvl w:val="0"/>
          <w:numId w:val="1288"/>
        </w:numPr>
        <w:pStyle w:val="Compact"/>
      </w:pPr>
      <w:r>
        <w:t xml:space="preserve">metodología de ensayo aprobada;</w:t>
      </w:r>
    </w:p>
    <w:p>
      <w:pPr>
        <w:numPr>
          <w:ilvl w:val="0"/>
          <w:numId w:val="1288"/>
        </w:numPr>
        <w:pStyle w:val="Compact"/>
      </w:pPr>
      <w:r>
        <w:t xml:space="preserve">planes de ensayo anuales y basados en los acontecimientos;</w:t>
      </w:r>
    </w:p>
    <w:p>
      <w:pPr>
        <w:numPr>
          <w:ilvl w:val="0"/>
          <w:numId w:val="1288"/>
        </w:numPr>
        <w:pStyle w:val="Compact"/>
      </w:pPr>
      <w:r>
        <w:t xml:space="preserve">poblaciones y selecciones de muestras;</w:t>
      </w:r>
    </w:p>
    <w:p>
      <w:pPr>
        <w:numPr>
          <w:ilvl w:val="0"/>
          <w:numId w:val="1288"/>
        </w:numPr>
        <w:pStyle w:val="Compact"/>
      </w:pPr>
      <w:r>
        <w:t xml:space="preserve">documentos de trabajo y productos técnicos;</w:t>
      </w:r>
    </w:p>
    <w:p>
      <w:pPr>
        <w:numPr>
          <w:ilvl w:val="0"/>
          <w:numId w:val="1288"/>
        </w:numPr>
        <w:pStyle w:val="Compact"/>
      </w:pPr>
      <w:r>
        <w:t xml:space="preserve">los registros de excepción y severidad;</w:t>
      </w:r>
    </w:p>
    <w:p>
      <w:pPr>
        <w:numPr>
          <w:ilvl w:val="0"/>
          <w:numId w:val="1288"/>
        </w:numPr>
        <w:pStyle w:val="Compact"/>
      </w:pPr>
      <w:r>
        <w:t xml:space="preserve">las respuestas de la dirección;</w:t>
      </w:r>
    </w:p>
    <w:p>
      <w:pPr>
        <w:numPr>
          <w:ilvl w:val="0"/>
          <w:numId w:val="1288"/>
        </w:numPr>
        <w:pStyle w:val="Compact"/>
      </w:pPr>
      <w:r>
        <w:t xml:space="preserve">la rehabilitación y el nuevo ensayo de las pruebas;</w:t>
      </w:r>
    </w:p>
    <w:p>
      <w:pPr>
        <w:numPr>
          <w:ilvl w:val="0"/>
          <w:numId w:val="1288"/>
        </w:numPr>
        <w:pStyle w:val="Compact"/>
      </w:pPr>
      <w:r>
        <w:t xml:space="preserve">informes finales y aprobaciones de cierre.</w:t>
      </w:r>
    </w:p>
    <w:bookmarkEnd w:id="1004"/>
    <w:bookmarkStart w:id="1005" w:name="prueba-de-auditoría-103"/>
    <w:p>
      <w:pPr>
        <w:pStyle w:val="Heading2"/>
      </w:pPr>
      <w:r>
        <w:rPr>
          <w:rStyle w:val="SectionNumber"/>
        </w:rPr>
        <w:t xml:space="preserve">1.962</w:t>
      </w:r>
      <w:r>
        <w:tab/>
      </w:r>
      <w:r>
        <w:t xml:space="preserve">Prueba de auditoría</w:t>
      </w:r>
    </w:p>
    <w:p>
      <w:pPr>
        <w:pStyle w:val="FirstParagraph"/>
      </w:pPr>
      <w:r>
        <w:t xml:space="preserve">Inspeccione una muestra de pruebas de control completadas. Confirme que el alcance, la población, el muestreo, las pruebas, los procedimientos, las conclusiones, la gravedad, la rehabilitación y la reprueba fueron soportables y que los fallos críticos no resueltos afectaron el despliegue o las decisiones de riesgo.</w:t>
      </w:r>
    </w:p>
    <w:bookmarkEnd w:id="1005"/>
    <w:bookmarkStart w:id="1006" w:name="referencias-jurídicas-primarias-76"/>
    <w:p>
      <w:pPr>
        <w:pStyle w:val="Heading2"/>
      </w:pPr>
      <w:r>
        <w:rPr>
          <w:rStyle w:val="SectionNumber"/>
        </w:rPr>
        <w:t xml:space="preserve">1.963</w:t>
      </w:r>
      <w:r>
        <w:tab/>
      </w:r>
      <w:r>
        <w:t xml:space="preserve">Referencias jurídicas primarias</w:t>
      </w:r>
    </w:p>
    <w:p>
      <w:pPr>
        <w:numPr>
          <w:ilvl w:val="0"/>
          <w:numId w:val="1289"/>
        </w:numPr>
        <w:pStyle w:val="Compact"/>
      </w:pPr>
      <w:r>
        <w:t xml:space="preserve">Reglamento (UE) 2024/1689, modificado: disposiciones aplicables sobre gestión de la calidad, gestión del riesgo, conformidad, supervisión humana, robustez, seguridad cibernética, vigilancia, incidentes y medidas correctoras.</w:t>
      </w:r>
    </w:p>
    <w:p>
      <w:pPr>
        <w:numPr>
          <w:ilvl w:val="0"/>
          <w:numId w:val="1289"/>
        </w:numPr>
        <w:pStyle w:val="Compact"/>
      </w:pPr>
      <w:r>
        <w:t xml:space="preserve">Los ensayos internos no sustituyen a la evaluación de la conformidad, la participación del organismo notificado o la revisión de la autoridad cuando así lo exija la ley.</w:t>
      </w:r>
    </w:p>
    <w:p>
      <w:pPr>
        <w:numPr>
          <w:ilvl w:val="0"/>
          <w:numId w:val="1289"/>
        </w:numPr>
        <w:pStyle w:val="Compact"/>
      </w:pPr>
      <w:r>
        <w:t xml:space="preserve">Los actuales controles consolidados de texto EUR-Lex sobre los resúmenes antiguos.</w:t>
      </w:r>
    </w:p>
    <w:bookmarkEnd w:id="1006"/>
    <w:bookmarkStart w:id="1007" w:name="X0a90fe30c553576f850f93f72e961c4a1a23d62"/>
    <w:p>
      <w:pPr>
        <w:pStyle w:val="Heading2"/>
      </w:pPr>
      <w:r>
        <w:rPr>
          <w:rStyle w:val="SectionNumber"/>
        </w:rPr>
        <w:t xml:space="preserve">1.964</w:t>
      </w:r>
      <w:r>
        <w:tab/>
      </w:r>
      <w:r>
        <w:t xml:space="preserve">Capítulo 109 — Clasificación de la deficiencia</w:t>
      </w:r>
    </w:p>
    <w:p>
      <w:pPr>
        <w:pStyle w:val="BlockText"/>
      </w:pPr>
      <w:r>
        <w:rPr>
          <w:bCs/>
          <w:b/>
        </w:rPr>
        <w:t xml:space="preserve">Estatus legal:</w:t>
      </w:r>
      <w:r>
        <w:t xml:space="preserve"> </w:t>
      </w:r>
      <w:r>
        <w:t xml:space="preserve">Corregido Maestro de inglés para la consolidación. Este archivo controla el lenguaje de borrador anterior del Capítulo 109.</w:t>
      </w:r>
    </w:p>
    <w:bookmarkEnd w:id="1007"/>
    <w:bookmarkStart w:id="1008" w:name="requisito-107"/>
    <w:p>
      <w:pPr>
        <w:pStyle w:val="Heading2"/>
      </w:pPr>
      <w:r>
        <w:rPr>
          <w:rStyle w:val="SectionNumber"/>
        </w:rPr>
        <w:t xml:space="preserve">1.965</w:t>
      </w:r>
      <w:r>
        <w:tab/>
      </w:r>
      <w:r>
        <w:t xml:space="preserve">Requisito</w:t>
      </w:r>
    </w:p>
    <w:p>
      <w:pPr>
        <w:pStyle w:val="FirstParagraph"/>
      </w:pPr>
      <w:r>
        <w:t xml:space="preserve">Las deficiencias en el control de la IA, la falta de conformidad jurídica, las lagunas en la documentación, los incidentes y los resultados adversos deben clasificarse de manera coherente en función del impacto, la probabilidad, la importancia jurídica, las personas afectadas, la importancia crítica del sistema, la duración, el alcance, la detectabilidad y la urgencia de la rehabilitación.</w:t>
      </w:r>
    </w:p>
    <w:bookmarkEnd w:id="1008"/>
    <w:bookmarkStart w:id="1009" w:name="explicación-en-lenguaje-sencillo-104"/>
    <w:p>
      <w:pPr>
        <w:pStyle w:val="Heading2"/>
      </w:pPr>
      <w:r>
        <w:rPr>
          <w:rStyle w:val="SectionNumber"/>
        </w:rPr>
        <w:t xml:space="preserve">1.966</w:t>
      </w:r>
      <w:r>
        <w:tab/>
      </w:r>
      <w:r>
        <w:t xml:space="preserve">Explicación en lenguaje sencillo</w:t>
      </w:r>
    </w:p>
    <w:p>
      <w:pPr>
        <w:pStyle w:val="FirstParagraph"/>
      </w:pPr>
      <w:r>
        <w:t xml:space="preserve">No todos los temas tienen la misma consecuencia. Una etiqueta de documento faltante difiere de una salvaguardia fallida que afecta las decisiones de empleo. La clasificación debe apoyar la escalada rápida, la rehabilitación proporcionada, el análisis regulatorio, las decisiones de liberación, y la información transparente de la gestión.</w:t>
      </w:r>
    </w:p>
    <w:bookmarkEnd w:id="1009"/>
    <w:bookmarkStart w:id="1010" w:name="factores-de-clasificación"/>
    <w:p>
      <w:pPr>
        <w:pStyle w:val="Heading2"/>
      </w:pPr>
      <w:r>
        <w:rPr>
          <w:rStyle w:val="SectionNumber"/>
        </w:rPr>
        <w:t xml:space="preserve">1.967</w:t>
      </w:r>
      <w:r>
        <w:tab/>
      </w:r>
      <w:r>
        <w:t xml:space="preserve">Factores de clasificación</w:t>
      </w:r>
    </w:p>
    <w:p>
      <w:pPr>
        <w:pStyle w:val="FirstParagraph"/>
      </w:pPr>
      <w:r>
        <w:t xml:space="preserve">Evaluar como mínimo:</w:t>
      </w:r>
    </w:p>
    <w:p>
      <w:pPr>
        <w:numPr>
          <w:ilvl w:val="0"/>
          <w:numId w:val="1290"/>
        </w:numPr>
        <w:pStyle w:val="Compact"/>
      </w:pPr>
      <w:r>
        <w:t xml:space="preserve">obligación jurídica aplicable y agente regulado;</w:t>
      </w:r>
    </w:p>
    <w:p>
      <w:pPr>
        <w:numPr>
          <w:ilvl w:val="0"/>
          <w:numId w:val="1290"/>
        </w:numPr>
        <w:pStyle w:val="Compact"/>
      </w:pPr>
      <w:r>
        <w:t xml:space="preserve">sistema, modelo, versión, proceso y jurisdicción afectados;</w:t>
      </w:r>
    </w:p>
    <w:p>
      <w:pPr>
        <w:numPr>
          <w:ilvl w:val="0"/>
          <w:numId w:val="1290"/>
        </w:numPr>
        <w:pStyle w:val="Compact"/>
      </w:pPr>
      <w:r>
        <w:t xml:space="preserve">daños reales y potenciales a la salud, la seguridad, los derechos fundamentales, la intimidad u otros intereses protegidos;</w:t>
      </w:r>
    </w:p>
    <w:p>
      <w:pPr>
        <w:numPr>
          <w:ilvl w:val="0"/>
          <w:numId w:val="1290"/>
        </w:numPr>
        <w:pStyle w:val="Compact"/>
      </w:pPr>
      <w:r>
        <w:t xml:space="preserve">número y vulnerabilidad de las personas afectadas;</w:t>
      </w:r>
    </w:p>
    <w:p>
      <w:pPr>
        <w:numPr>
          <w:ilvl w:val="0"/>
          <w:numId w:val="1290"/>
        </w:numPr>
        <w:pStyle w:val="Compact"/>
      </w:pPr>
      <w:r>
        <w:t xml:space="preserve">duración, recurrencia y alcance geográfico;</w:t>
      </w:r>
    </w:p>
    <w:p>
      <w:pPr>
        <w:numPr>
          <w:ilvl w:val="0"/>
          <w:numId w:val="1290"/>
        </w:numPr>
        <w:pStyle w:val="Compact"/>
      </w:pPr>
      <w:r>
        <w:t xml:space="preserve">control de la criticidad y disponibilidad de los controles compensadores;</w:t>
      </w:r>
    </w:p>
    <w:p>
      <w:pPr>
        <w:numPr>
          <w:ilvl w:val="0"/>
          <w:numId w:val="1290"/>
        </w:numPr>
        <w:pStyle w:val="Compact"/>
      </w:pPr>
      <w:r>
        <w:t xml:space="preserve">integridad, seguridad, sesgo, rendimiento o consecuencias de transparencia de los datos;</w:t>
      </w:r>
    </w:p>
    <w:p>
      <w:pPr>
        <w:numPr>
          <w:ilvl w:val="0"/>
          <w:numId w:val="1290"/>
        </w:numPr>
        <w:pStyle w:val="Compact"/>
      </w:pPr>
      <w:r>
        <w:t xml:space="preserve">la notificación de incidentes, las medidas correctivas, la conformidad o las implicaciones para la notificación de la autoridad;</w:t>
      </w:r>
    </w:p>
    <w:p>
      <w:pPr>
        <w:numPr>
          <w:ilvl w:val="0"/>
          <w:numId w:val="1290"/>
        </w:numPr>
        <w:pStyle w:val="Compact"/>
      </w:pPr>
      <w:r>
        <w:t xml:space="preserve">la probabilidad de que el impacto continúe o se amplíe;</w:t>
      </w:r>
    </w:p>
    <w:p>
      <w:pPr>
        <w:numPr>
          <w:ilvl w:val="0"/>
          <w:numId w:val="1290"/>
        </w:numPr>
        <w:pStyle w:val="Compact"/>
      </w:pPr>
      <w:r>
        <w:t xml:space="preserve">complejidad de la rehabilitación y sensibilidad temporal;</w:t>
      </w:r>
    </w:p>
    <w:p>
      <w:pPr>
        <w:numPr>
          <w:ilvl w:val="0"/>
          <w:numId w:val="1290"/>
        </w:numPr>
        <w:pStyle w:val="Compact"/>
      </w:pPr>
      <w:r>
        <w:t xml:space="preserve">la sensibilización de la dirección, la ocurrencia previa y el retraso;</w:t>
      </w:r>
    </w:p>
    <w:p>
      <w:pPr>
        <w:numPr>
          <w:ilvl w:val="0"/>
          <w:numId w:val="1290"/>
        </w:numPr>
        <w:pStyle w:val="Compact"/>
      </w:pPr>
      <w:r>
        <w:t xml:space="preserve">calidad de las pruebas e incertidumbre residual.</w:t>
      </w:r>
    </w:p>
    <w:bookmarkEnd w:id="1010"/>
    <w:bookmarkStart w:id="1011" w:name="modelo-de-gravedad"/>
    <w:p>
      <w:pPr>
        <w:pStyle w:val="Heading2"/>
      </w:pPr>
      <w:r>
        <w:rPr>
          <w:rStyle w:val="SectionNumber"/>
        </w:rPr>
        <w:t xml:space="preserve">1.968</w:t>
      </w:r>
      <w:r>
        <w:tab/>
      </w:r>
      <w:r>
        <w:t xml:space="preserve">Modelo de gravedad</w:t>
      </w:r>
    </w:p>
    <w:p>
      <w:pPr>
        <w:pStyle w:val="FirstParagraph"/>
      </w:pPr>
      <w:r>
        <w:t xml:space="preserve">La organización puede utilizar categorías como críticas, altas, moderadas y bajas, pero las definiciones deben ser aprobadas, aplicadas sistemáticamente y vinculadas a reglas obligatorias de escalada, rehabilitación, validación y aceptación de riesgos.</w:t>
      </w:r>
    </w:p>
    <w:bookmarkEnd w:id="1011"/>
    <w:bookmarkStart w:id="1012" w:name="ejemplo-de-globalway-102"/>
    <w:p>
      <w:pPr>
        <w:pStyle w:val="Heading2"/>
      </w:pPr>
      <w:r>
        <w:rPr>
          <w:rStyle w:val="SectionNumber"/>
        </w:rPr>
        <w:t xml:space="preserve">1.969</w:t>
      </w:r>
      <w:r>
        <w:tab/>
      </w:r>
      <w:r>
        <w:t xml:space="preserve">Ejemplo de GlobalWay</w:t>
      </w:r>
    </w:p>
    <w:p>
      <w:pPr>
        <w:pStyle w:val="FirstParagraph"/>
      </w:pPr>
      <w:r>
        <w:t xml:space="preserve">GlobalWay clasifica la disparidad entre un subgrupo de contratación y un sistema combinado con un examen humano ineficaz como de alta gravedad porque puede afectar las oportunidades de empleo y los derechos fundamentales.El sistema está restringido mientras se evalúa la población afectada, la causa raíz y la rehabilitación.</w:t>
      </w:r>
    </w:p>
    <w:bookmarkEnd w:id="1012"/>
    <w:bookmarkStart w:id="1013" w:name="actividad-de-control-103"/>
    <w:p>
      <w:pPr>
        <w:pStyle w:val="Heading2"/>
      </w:pPr>
      <w:r>
        <w:rPr>
          <w:rStyle w:val="SectionNumber"/>
        </w:rPr>
        <w:t xml:space="preserve">1.970</w:t>
      </w:r>
      <w:r>
        <w:tab/>
      </w:r>
      <w:r>
        <w:t xml:space="preserve">Actividad de control</w:t>
      </w:r>
    </w:p>
    <w:p>
      <w:pPr>
        <w:pStyle w:val="FirstParagraph"/>
      </w:pPr>
      <w:r>
        <w:t xml:space="preserve">La gobernanza de AI, legal, riesgo, seguridad, privacidad y los propietarios de negocios relevantes deben usar una taxonomía común de deficiencia. Los problemas críticos y altos requieren una rápida escalada ejecutiva, salvaguardias provisionales documentadas, análisis de informes legales y validación de cierres independientes.</w:t>
      </w:r>
    </w:p>
    <w:bookmarkEnd w:id="1013"/>
    <w:bookmarkStart w:id="1014" w:name="pruebas-108"/>
    <w:p>
      <w:pPr>
        <w:pStyle w:val="Heading2"/>
      </w:pPr>
      <w:r>
        <w:rPr>
          <w:rStyle w:val="SectionNumber"/>
        </w:rPr>
        <w:t xml:space="preserve">1.971</w:t>
      </w:r>
      <w:r>
        <w:tab/>
      </w:r>
      <w:r>
        <w:t xml:space="preserve">Pruebas</w:t>
      </w:r>
    </w:p>
    <w:p>
      <w:pPr>
        <w:numPr>
          <w:ilvl w:val="0"/>
          <w:numId w:val="1291"/>
        </w:numPr>
        <w:pStyle w:val="Compact"/>
      </w:pPr>
      <w:r>
        <w:t xml:space="preserve">metodología de severidad aprobada;</w:t>
      </w:r>
    </w:p>
    <w:p>
      <w:pPr>
        <w:numPr>
          <w:ilvl w:val="0"/>
          <w:numId w:val="1291"/>
        </w:numPr>
        <w:pStyle w:val="Compact"/>
      </w:pPr>
      <w:r>
        <w:t xml:space="preserve">registro de deficiencias e incumplimientos;</w:t>
      </w:r>
    </w:p>
    <w:p>
      <w:pPr>
        <w:numPr>
          <w:ilvl w:val="0"/>
          <w:numId w:val="1291"/>
        </w:numPr>
        <w:pStyle w:val="Compact"/>
      </w:pPr>
      <w:r>
        <w:t xml:space="preserve">impacto y análisis jurídico;</w:t>
      </w:r>
    </w:p>
    <w:p>
      <w:pPr>
        <w:numPr>
          <w:ilvl w:val="0"/>
          <w:numId w:val="1291"/>
        </w:numPr>
        <w:pStyle w:val="Compact"/>
      </w:pPr>
      <w:r>
        <w:t xml:space="preserve">los registros del sistema afectado y de la población;</w:t>
      </w:r>
    </w:p>
    <w:p>
      <w:pPr>
        <w:numPr>
          <w:ilvl w:val="0"/>
          <w:numId w:val="1291"/>
        </w:numPr>
        <w:pStyle w:val="Compact"/>
      </w:pPr>
      <w:r>
        <w:t xml:space="preserve">las decisiones de compensación y control;</w:t>
      </w:r>
    </w:p>
    <w:p>
      <w:pPr>
        <w:numPr>
          <w:ilvl w:val="0"/>
          <w:numId w:val="1291"/>
        </w:numPr>
        <w:pStyle w:val="Compact"/>
      </w:pPr>
      <w:r>
        <w:t xml:space="preserve">los registros de escalada y notificación;</w:t>
      </w:r>
    </w:p>
    <w:p>
      <w:pPr>
        <w:numPr>
          <w:ilvl w:val="0"/>
          <w:numId w:val="1291"/>
        </w:numPr>
        <w:pStyle w:val="Compact"/>
      </w:pPr>
      <w:r>
        <w:t xml:space="preserve">planes de rehabilitación y fechas de vencimiento;</w:t>
      </w:r>
    </w:p>
    <w:p>
      <w:pPr>
        <w:numPr>
          <w:ilvl w:val="0"/>
          <w:numId w:val="1291"/>
        </w:numPr>
        <w:pStyle w:val="Compact"/>
      </w:pPr>
      <w:r>
        <w:t xml:space="preserve">pruebas y aprobaciones de cierre.</w:t>
      </w:r>
    </w:p>
    <w:bookmarkEnd w:id="1014"/>
    <w:bookmarkStart w:id="1015" w:name="prueba-de-auditoría-104"/>
    <w:p>
      <w:pPr>
        <w:pStyle w:val="Heading2"/>
      </w:pPr>
      <w:r>
        <w:rPr>
          <w:rStyle w:val="SectionNumber"/>
        </w:rPr>
        <w:t xml:space="preserve">1.972</w:t>
      </w:r>
      <w:r>
        <w:tab/>
      </w:r>
      <w:r>
        <w:t xml:space="preserve">Prueba de auditoría</w:t>
      </w:r>
    </w:p>
    <w:p>
      <w:pPr>
        <w:pStyle w:val="FirstParagraph"/>
      </w:pPr>
      <w:r>
        <w:t xml:space="preserve">Confirme que la clasificación consideró los factores requeridos, problemas similares recibieron tratamiento consistente, escalada y plazos coincidentes con la severidad, se evaluó la información legal, y el cierre fue validado independientemente cuando fue necesario.</w:t>
      </w:r>
    </w:p>
    <w:bookmarkEnd w:id="1015"/>
    <w:bookmarkStart w:id="1016" w:name="referencias-jurídicas-primarias-77"/>
    <w:p>
      <w:pPr>
        <w:pStyle w:val="Heading2"/>
      </w:pPr>
      <w:r>
        <w:rPr>
          <w:rStyle w:val="SectionNumber"/>
        </w:rPr>
        <w:t xml:space="preserve">1.973</w:t>
      </w:r>
      <w:r>
        <w:tab/>
      </w:r>
      <w:r>
        <w:t xml:space="preserve">Referencias jurídicas primarias</w:t>
      </w:r>
    </w:p>
    <w:p>
      <w:pPr>
        <w:numPr>
          <w:ilvl w:val="0"/>
          <w:numId w:val="1292"/>
        </w:numPr>
        <w:pStyle w:val="Compact"/>
      </w:pPr>
      <w:r>
        <w:t xml:space="preserve">Reglamento (UE) 2024/1689, modificado: disposiciones aplicables en materia de incumplimiento, gestión del riesgo, seguimiento, incidentes, medidas correctoras, vigilancia del mercado y sanciones.</w:t>
      </w:r>
    </w:p>
    <w:p>
      <w:pPr>
        <w:numPr>
          <w:ilvl w:val="0"/>
          <w:numId w:val="1292"/>
        </w:numPr>
        <w:pStyle w:val="Compact"/>
      </w:pPr>
      <w:r>
        <w:t xml:space="preserve">Ley aplicable de privacidad, ciberseguridad, seguridad de los productos, empleo, protección del consumidor y notificación sectorial.</w:t>
      </w:r>
    </w:p>
    <w:p>
      <w:pPr>
        <w:numPr>
          <w:ilvl w:val="0"/>
          <w:numId w:val="1292"/>
        </w:numPr>
        <w:pStyle w:val="Compact"/>
      </w:pPr>
      <w:r>
        <w:t xml:space="preserve">Los textos oficiales consolidados actuales controlan los resúmenes antiguos.</w:t>
      </w:r>
    </w:p>
    <w:bookmarkEnd w:id="1016"/>
    <w:bookmarkStart w:id="1017" w:name="X3904a032bb1ac76915ca3b502d36697a31c5bb5"/>
    <w:p>
      <w:pPr>
        <w:pStyle w:val="Heading2"/>
      </w:pPr>
      <w:r>
        <w:rPr>
          <w:rStyle w:val="SectionNumber"/>
        </w:rPr>
        <w:t xml:space="preserve">1.974</w:t>
      </w:r>
      <w:r>
        <w:tab/>
      </w:r>
      <w:r>
        <w:t xml:space="preserve">Capítulo 110 — Gestión de acciones correctivas</w:t>
      </w:r>
    </w:p>
    <w:p>
      <w:pPr>
        <w:pStyle w:val="BlockText"/>
      </w:pPr>
      <w:r>
        <w:rPr>
          <w:bCs/>
          <w:b/>
        </w:rPr>
        <w:t xml:space="preserve">Estatus legal:</w:t>
      </w:r>
      <w:r>
        <w:t xml:space="preserve"> </w:t>
      </w:r>
      <w:r>
        <w:t xml:space="preserve">Corregido Maestro de inglés para la consolidación. Este archivo controla el lenguaje de borrador anterior del Capítulo 110.</w:t>
      </w:r>
    </w:p>
    <w:bookmarkEnd w:id="1017"/>
    <w:bookmarkStart w:id="1018" w:name="requisito-108"/>
    <w:p>
      <w:pPr>
        <w:pStyle w:val="Heading2"/>
      </w:pPr>
      <w:r>
        <w:rPr>
          <w:rStyle w:val="SectionNumber"/>
        </w:rPr>
        <w:t xml:space="preserve">1.975</w:t>
      </w:r>
      <w:r>
        <w:tab/>
      </w:r>
      <w:r>
        <w:t xml:space="preserve">Requisito</w:t>
      </w:r>
    </w:p>
    <w:p>
      <w:pPr>
        <w:pStyle w:val="FirstParagraph"/>
      </w:pPr>
      <w:r>
        <w:t xml:space="preserve">Las organizaciones deben gestionar las acciones correctivas de IA a través de un proceso documentado que contenga riesgo inmediato, determine la causa raíz y el alcance afectado, asigne a los propietarios responsables, establezca plazos, valide la rehabilitación, actualice los controles y la documentación relacionados, y evite la repetición.</w:t>
      </w:r>
    </w:p>
    <w:bookmarkEnd w:id="1018"/>
    <w:bookmarkStart w:id="1019" w:name="explicación-en-lenguaje-sencillo-105"/>
    <w:p>
      <w:pPr>
        <w:pStyle w:val="Heading2"/>
      </w:pPr>
      <w:r>
        <w:rPr>
          <w:rStyle w:val="SectionNumber"/>
        </w:rPr>
        <w:t xml:space="preserve">1.976</w:t>
      </w:r>
      <w:r>
        <w:tab/>
      </w:r>
      <w:r>
        <w:t xml:space="preserve">Explicación en lenguaje sencillo</w:t>
      </w:r>
    </w:p>
    <w:p>
      <w:pPr>
        <w:pStyle w:val="FirstParagraph"/>
      </w:pPr>
      <w:r>
        <w:t xml:space="preserve">Cerrar un problema significa más que registrar que el trabajo fue completado. La organización debe mostrar que el daño o la exposición fue contenida, la verdadera causa fue tratada, los sistemas afectados y las personas fueron consideradas, la solución funcionó, y los procesos relacionados fueron actualizados.</w:t>
      </w:r>
    </w:p>
    <w:bookmarkEnd w:id="1019"/>
    <w:bookmarkStart w:id="1020" w:name="Xba0bae6e1c8f2fe8ff241ee915634050a6013ab"/>
    <w:p>
      <w:pPr>
        <w:pStyle w:val="Heading2"/>
      </w:pPr>
      <w:r>
        <w:rPr>
          <w:rStyle w:val="SectionNumber"/>
        </w:rPr>
        <w:t xml:space="preserve">1.977</w:t>
      </w:r>
      <w:r>
        <w:tab/>
      </w:r>
      <w:r>
        <w:t xml:space="preserve">Requisitos para la adopción de medidas correctivas</w:t>
      </w:r>
    </w:p>
    <w:p>
      <w:pPr>
        <w:pStyle w:val="FirstParagraph"/>
      </w:pPr>
      <w:r>
        <w:t xml:space="preserve">Cada registro de medidas debería incluir:</w:t>
      </w:r>
    </w:p>
    <w:p>
      <w:pPr>
        <w:numPr>
          <w:ilvl w:val="0"/>
          <w:numId w:val="1293"/>
        </w:numPr>
        <w:pStyle w:val="Compact"/>
      </w:pPr>
      <w:r>
        <w:t xml:space="preserve">deficiencia, incidente, queja, constatación de auditoría o activación de la regulación;</w:t>
      </w:r>
    </w:p>
    <w:p>
      <w:pPr>
        <w:numPr>
          <w:ilvl w:val="0"/>
          <w:numId w:val="1293"/>
        </w:numPr>
        <w:pStyle w:val="Compact"/>
      </w:pPr>
      <w:r>
        <w:t xml:space="preserve">sistemas, modelos, versiones, datos, proveedores, decisiones y jurisdicciones afectados;</w:t>
      </w:r>
    </w:p>
    <w:p>
      <w:pPr>
        <w:numPr>
          <w:ilvl w:val="0"/>
          <w:numId w:val="1293"/>
        </w:numPr>
        <w:pStyle w:val="Compact"/>
      </w:pPr>
      <w:r>
        <w:t xml:space="preserve">la contención inmediata y las salvaguardias provisionales;</w:t>
      </w:r>
    </w:p>
    <w:p>
      <w:pPr>
        <w:numPr>
          <w:ilvl w:val="0"/>
          <w:numId w:val="1293"/>
        </w:numPr>
        <w:pStyle w:val="Compact"/>
      </w:pPr>
      <w:r>
        <w:t xml:space="preserve">información jurídica, notificación, conformidad y análisis de las personas afectadas;</w:t>
      </w:r>
    </w:p>
    <w:p>
      <w:pPr>
        <w:numPr>
          <w:ilvl w:val="0"/>
          <w:numId w:val="1293"/>
        </w:numPr>
        <w:pStyle w:val="Compact"/>
      </w:pPr>
      <w:r>
        <w:t xml:space="preserve">análisis de causas raíz y factores contribuyentes;</w:t>
      </w:r>
    </w:p>
    <w:p>
      <w:pPr>
        <w:numPr>
          <w:ilvl w:val="0"/>
          <w:numId w:val="1293"/>
        </w:numPr>
        <w:pStyle w:val="Compact"/>
      </w:pPr>
      <w:r>
        <w:t xml:space="preserve">tareas de rehabilitación, responsables propietarios, recursos y plazos;</w:t>
      </w:r>
    </w:p>
    <w:p>
      <w:pPr>
        <w:numPr>
          <w:ilvl w:val="0"/>
          <w:numId w:val="1293"/>
        </w:numPr>
        <w:pStyle w:val="Compact"/>
      </w:pPr>
      <w:r>
        <w:t xml:space="preserve">criterios de validación y revisor independiente;</w:t>
      </w:r>
    </w:p>
    <w:p>
      <w:pPr>
        <w:numPr>
          <w:ilvl w:val="0"/>
          <w:numId w:val="1293"/>
        </w:numPr>
        <w:pStyle w:val="Compact"/>
      </w:pPr>
      <w:r>
        <w:t xml:space="preserve">regresión, sesgo, seguridad, privacidad, seguridad y pruebas de rendimiento, según proceda;</w:t>
      </w:r>
    </w:p>
    <w:p>
      <w:pPr>
        <w:numPr>
          <w:ilvl w:val="0"/>
          <w:numId w:val="1293"/>
        </w:numPr>
        <w:pStyle w:val="Compact"/>
      </w:pPr>
      <w:r>
        <w:t xml:space="preserve">actualizaciones de las evaluaciones de riesgos, documentación técnica, controles, procedimientos, formación, avisos y contratos;</w:t>
      </w:r>
    </w:p>
    <w:p>
      <w:pPr>
        <w:numPr>
          <w:ilvl w:val="0"/>
          <w:numId w:val="1293"/>
        </w:numPr>
        <w:pStyle w:val="Compact"/>
      </w:pPr>
      <w:r>
        <w:t xml:space="preserve">decisión sobre el riesgo residual y la aceptación del riesgo;</w:t>
      </w:r>
    </w:p>
    <w:p>
      <w:pPr>
        <w:numPr>
          <w:ilvl w:val="0"/>
          <w:numId w:val="1293"/>
        </w:numPr>
        <w:pStyle w:val="Compact"/>
      </w:pPr>
      <w:r>
        <w:t xml:space="preserve">el reensayo, la aprobación del cierre y el período de seguimiento;</w:t>
      </w:r>
    </w:p>
    <w:p>
      <w:pPr>
        <w:numPr>
          <w:ilvl w:val="0"/>
          <w:numId w:val="1293"/>
        </w:numPr>
        <w:pStyle w:val="Compact"/>
      </w:pPr>
      <w:r>
        <w:t xml:space="preserve">lecciones aprendidas y prevención de recurrencias.</w:t>
      </w:r>
    </w:p>
    <w:bookmarkEnd w:id="1020"/>
    <w:bookmarkStart w:id="1021" w:name="ejemplo-de-globalway-103"/>
    <w:p>
      <w:pPr>
        <w:pStyle w:val="Heading2"/>
      </w:pPr>
      <w:r>
        <w:rPr>
          <w:rStyle w:val="SectionNumber"/>
        </w:rPr>
        <w:t xml:space="preserve">1.978</w:t>
      </w:r>
      <w:r>
        <w:tab/>
      </w:r>
      <w:r>
        <w:t xml:space="preserve">Ejemplo de GlobalWay</w:t>
      </w:r>
    </w:p>
    <w:p>
      <w:pPr>
        <w:pStyle w:val="FirstParagraph"/>
      </w:pPr>
      <w:r>
        <w:t xml:space="preserve">Después de identificar disparidades de clasificación inexplicadas en un sistema de contratación, GlobalWay suspende las recomendaciones automatizadas, conserva las pruebas, evalúa a los solicitantes afectados, corrige los datos y los problemas de modelos, refuerza la revisión humana, vuelve a probar los resultados de subgrupos, actualiza la documentación y la capacitación, y supervisa la liberación remediada antes de la restauración completa.</w:t>
      </w:r>
    </w:p>
    <w:bookmarkEnd w:id="1021"/>
    <w:bookmarkStart w:id="1022" w:name="actividad-de-control-104"/>
    <w:p>
      <w:pPr>
        <w:pStyle w:val="Heading2"/>
      </w:pPr>
      <w:r>
        <w:rPr>
          <w:rStyle w:val="SectionNumber"/>
        </w:rPr>
        <w:t xml:space="preserve">1.979</w:t>
      </w:r>
      <w:r>
        <w:tab/>
      </w:r>
      <w:r>
        <w:t xml:space="preserve">Actividad de control</w:t>
      </w:r>
    </w:p>
    <w:p>
      <w:pPr>
        <w:pStyle w:val="FirstParagraph"/>
      </w:pPr>
      <w:r>
        <w:t xml:space="preserve">El proceso de acción correctiva debe dar prioridad a las cuestiones por gravedad, prohibir las prórrogas de plazos no justificadas, intensificar las medidas de alto riesgo pendientes, exigir el cierre basado en pruebas y reabrir las acciones cuando la validación falla o se repite.</w:t>
      </w:r>
    </w:p>
    <w:bookmarkEnd w:id="1022"/>
    <w:bookmarkStart w:id="1023" w:name="pruebas-109"/>
    <w:p>
      <w:pPr>
        <w:pStyle w:val="Heading2"/>
      </w:pPr>
      <w:r>
        <w:rPr>
          <w:rStyle w:val="SectionNumber"/>
        </w:rPr>
        <w:t xml:space="preserve">1.980</w:t>
      </w:r>
      <w:r>
        <w:tab/>
      </w:r>
      <w:r>
        <w:t xml:space="preserve">Pruebas</w:t>
      </w:r>
    </w:p>
    <w:p>
      <w:pPr>
        <w:numPr>
          <w:ilvl w:val="0"/>
          <w:numId w:val="1294"/>
        </w:numPr>
        <w:pStyle w:val="Compact"/>
      </w:pPr>
      <w:r>
        <w:t xml:space="preserve">registro de medidas correctoras;</w:t>
      </w:r>
    </w:p>
    <w:p>
      <w:pPr>
        <w:numPr>
          <w:ilvl w:val="0"/>
          <w:numId w:val="1294"/>
        </w:numPr>
        <w:pStyle w:val="Compact"/>
      </w:pPr>
      <w:r>
        <w:t xml:space="preserve">registros de contención y de impacto;</w:t>
      </w:r>
    </w:p>
    <w:p>
      <w:pPr>
        <w:numPr>
          <w:ilvl w:val="0"/>
          <w:numId w:val="1294"/>
        </w:numPr>
        <w:pStyle w:val="Compact"/>
      </w:pPr>
      <w:r>
        <w:t xml:space="preserve">análisis de la causa raíz;</w:t>
      </w:r>
    </w:p>
    <w:p>
      <w:pPr>
        <w:numPr>
          <w:ilvl w:val="0"/>
          <w:numId w:val="1294"/>
        </w:numPr>
        <w:pStyle w:val="Compact"/>
      </w:pPr>
      <w:r>
        <w:t xml:space="preserve">Plan de rehabilitación y propiedad;</w:t>
      </w:r>
    </w:p>
    <w:p>
      <w:pPr>
        <w:numPr>
          <w:ilvl w:val="0"/>
          <w:numId w:val="1294"/>
        </w:numPr>
        <w:pStyle w:val="Compact"/>
      </w:pPr>
      <w:r>
        <w:t xml:space="preserve">pruebas de ensayo y validación;</w:t>
      </w:r>
    </w:p>
    <w:p>
      <w:pPr>
        <w:numPr>
          <w:ilvl w:val="0"/>
          <w:numId w:val="1294"/>
        </w:numPr>
        <w:pStyle w:val="Compact"/>
      </w:pPr>
      <w:r>
        <w:t xml:space="preserve">documentación y controles actualizados;</w:t>
      </w:r>
    </w:p>
    <w:p>
      <w:pPr>
        <w:numPr>
          <w:ilvl w:val="0"/>
          <w:numId w:val="1294"/>
        </w:numPr>
        <w:pStyle w:val="Compact"/>
      </w:pPr>
      <w:r>
        <w:t xml:space="preserve">los registros de aceptación de riesgos y aprobación;</w:t>
      </w:r>
    </w:p>
    <w:p>
      <w:pPr>
        <w:numPr>
          <w:ilvl w:val="0"/>
          <w:numId w:val="1294"/>
        </w:numPr>
        <w:pStyle w:val="Compact"/>
      </w:pPr>
      <w:r>
        <w:t xml:space="preserve">cierre y seguimiento posterior a la reparación.</w:t>
      </w:r>
    </w:p>
    <w:bookmarkEnd w:id="1023"/>
    <w:bookmarkStart w:id="1024" w:name="prueba-de-auditoría-105"/>
    <w:p>
      <w:pPr>
        <w:pStyle w:val="Heading2"/>
      </w:pPr>
      <w:r>
        <w:rPr>
          <w:rStyle w:val="SectionNumber"/>
        </w:rPr>
        <w:t xml:space="preserve">1.981</w:t>
      </w:r>
      <w:r>
        <w:tab/>
      </w:r>
      <w:r>
        <w:t xml:space="preserve">Prueba de auditoría</w:t>
      </w:r>
    </w:p>
    <w:p>
      <w:pPr>
        <w:pStyle w:val="FirstParagraph"/>
      </w:pPr>
      <w:r>
        <w:t xml:space="preserve">Algunas medidas correctivas, incluidos los artículos atrasados y cerrados, confirman que la contención fue oportuna, que la causa raíz fue soportable, que el alcance fue completo, que la reparación abordó la causa, que se actualizaron las pruebas de eficacia verificada, que se actualizaron los artefactos relacionados y que la autoridad de cierre fue apropiada.</w:t>
      </w:r>
    </w:p>
    <w:bookmarkEnd w:id="1024"/>
    <w:bookmarkStart w:id="1025" w:name="referencias-jurídicas-primarias-78"/>
    <w:p>
      <w:pPr>
        <w:pStyle w:val="Heading2"/>
      </w:pPr>
      <w:r>
        <w:rPr>
          <w:rStyle w:val="SectionNumber"/>
        </w:rPr>
        <w:t xml:space="preserve">1.982</w:t>
      </w:r>
      <w:r>
        <w:tab/>
      </w:r>
      <w:r>
        <w:t xml:space="preserve">Referencias jurídicas primarias</w:t>
      </w:r>
    </w:p>
    <w:p>
      <w:pPr>
        <w:numPr>
          <w:ilvl w:val="0"/>
          <w:numId w:val="1295"/>
        </w:numPr>
        <w:pStyle w:val="Compact"/>
      </w:pPr>
      <w:r>
        <w:t xml:space="preserve">Reglamento (UE) 2024/1689, en su versión modificada: disposiciones aplicables en materia de proveedor, despliegue, supervisión, incidentes graves, medidas correctoras, retirada, retirada, vigilancia del mercado, gestión de la calidad y documentación.</w:t>
      </w:r>
    </w:p>
    <w:p>
      <w:pPr>
        <w:numPr>
          <w:ilvl w:val="0"/>
          <w:numId w:val="1295"/>
        </w:numPr>
        <w:pStyle w:val="Compact"/>
      </w:pPr>
      <w:r>
        <w:t xml:space="preserve">Privacidad aplicable, ciberseguridad, seguridad de los productos, empleo, protección del consumidor y requisitos sectoriales.</w:t>
      </w:r>
    </w:p>
    <w:p>
      <w:pPr>
        <w:numPr>
          <w:ilvl w:val="0"/>
          <w:numId w:val="1295"/>
        </w:numPr>
        <w:pStyle w:val="Compact"/>
      </w:pPr>
      <w:r>
        <w:t xml:space="preserve">Los textos oficiales consolidados actuales controlan los resúmenes antiguos.</w:t>
      </w:r>
    </w:p>
    <w:bookmarkEnd w:id="1025"/>
    <w:bookmarkStart w:id="1026" w:name="X7cebf177ce87667f60b43d8e4fb8dc61a7bab97"/>
    <w:p>
      <w:pPr>
        <w:pStyle w:val="Heading2"/>
      </w:pPr>
      <w:r>
        <w:rPr>
          <w:rStyle w:val="SectionNumber"/>
        </w:rPr>
        <w:t xml:space="preserve">1.983</w:t>
      </w:r>
      <w:r>
        <w:tab/>
      </w:r>
      <w:r>
        <w:t xml:space="preserve">Capítulo 111 — Seguimiento continuo del cumplimiento</w:t>
      </w:r>
    </w:p>
    <w:p>
      <w:pPr>
        <w:pStyle w:val="BlockText"/>
      </w:pPr>
      <w:r>
        <w:rPr>
          <w:bCs/>
          <w:b/>
        </w:rPr>
        <w:t xml:space="preserve">Estatus legal:</w:t>
      </w:r>
      <w:r>
        <w:t xml:space="preserve"> </w:t>
      </w:r>
      <w:r>
        <w:t xml:space="preserve">Corregido Maestro Inglés para la consolidación. Este archivo controla el lenguaje de borrador anterior del Capítulo 111.</w:t>
      </w:r>
    </w:p>
    <w:bookmarkEnd w:id="1026"/>
    <w:bookmarkStart w:id="1027" w:name="requisito-109"/>
    <w:p>
      <w:pPr>
        <w:pStyle w:val="Heading2"/>
      </w:pPr>
      <w:r>
        <w:rPr>
          <w:rStyle w:val="SectionNumber"/>
        </w:rPr>
        <w:t xml:space="preserve">1.984</w:t>
      </w:r>
      <w:r>
        <w:tab/>
      </w:r>
      <w:r>
        <w:t xml:space="preserve">Requisito</w:t>
      </w:r>
    </w:p>
    <w:p>
      <w:pPr>
        <w:pStyle w:val="FirstParagraph"/>
      </w:pPr>
      <w:r>
        <w:t xml:space="preserve">Las organizaciones deben supervisar continuamente los sistemas, modelos, controles, proveedores, obligaciones jurídicas y resultados operacionales de IA de material, de modo que se identifiquen y aborden con prontitud las nuevas deficiencias de seguridad y los cambios normativos.</w:t>
      </w:r>
    </w:p>
    <w:bookmarkEnd w:id="1027"/>
    <w:bookmarkStart w:id="1028" w:name="explicación-en-lenguaje-sencillo-106"/>
    <w:p>
      <w:pPr>
        <w:pStyle w:val="Heading2"/>
      </w:pPr>
      <w:r>
        <w:rPr>
          <w:rStyle w:val="SectionNumber"/>
        </w:rPr>
        <w:t xml:space="preserve">1.985</w:t>
      </w:r>
      <w:r>
        <w:tab/>
      </w:r>
      <w:r>
        <w:t xml:space="preserve">Explicación en lenguaje sencillo</w:t>
      </w:r>
    </w:p>
    <w:p>
      <w:pPr>
        <w:pStyle w:val="FirstParagraph"/>
      </w:pPr>
      <w:r>
        <w:t xml:space="preserve">El cumplimiento no es una aprobación única. Los sistemas de IA, datos, modelos, usuarios, proveedores y leyes cambian. Por lo tanto, el monitoreo debe detectar cuando las suposiciones aprobadas ya no coincidan con el funcionamiento real.</w:t>
      </w:r>
    </w:p>
    <w:bookmarkEnd w:id="1028"/>
    <w:bookmarkStart w:id="1029" w:name="requisitos-de-supervisión"/>
    <w:p>
      <w:pPr>
        <w:pStyle w:val="Heading2"/>
      </w:pPr>
      <w:r>
        <w:rPr>
          <w:rStyle w:val="SectionNumber"/>
        </w:rPr>
        <w:t xml:space="preserve">1.986</w:t>
      </w:r>
      <w:r>
        <w:tab/>
      </w:r>
      <w:r>
        <w:t xml:space="preserve">Requisitos de supervisión</w:t>
      </w:r>
    </w:p>
    <w:p>
      <w:pPr>
        <w:pStyle w:val="FirstParagraph"/>
      </w:pPr>
      <w:r>
        <w:t xml:space="preserve">El marco de seguimiento debería abarcar:</w:t>
      </w:r>
    </w:p>
    <w:p>
      <w:pPr>
        <w:numPr>
          <w:ilvl w:val="0"/>
          <w:numId w:val="1296"/>
        </w:numPr>
        <w:pStyle w:val="Compact"/>
      </w:pPr>
      <w:r>
        <w:t xml:space="preserve">la versión del sistema y modelo, la configuración y los cambios de propósito previsto;</w:t>
      </w:r>
    </w:p>
    <w:p>
      <w:pPr>
        <w:numPr>
          <w:ilvl w:val="0"/>
          <w:numId w:val="1296"/>
        </w:numPr>
        <w:pStyle w:val="Compact"/>
      </w:pPr>
      <w:r>
        <w:t xml:space="preserve">rendimiento, precisión, robustez, seguridad, sesgo y resultados de subgrupos;</w:t>
      </w:r>
    </w:p>
    <w:p>
      <w:pPr>
        <w:numPr>
          <w:ilvl w:val="0"/>
          <w:numId w:val="1296"/>
        </w:numPr>
        <w:pStyle w:val="Compact"/>
      </w:pPr>
      <w:r>
        <w:t xml:space="preserve">actividad de supervisión humana, anulaciones, escaladas y anulación de la eficacia;</w:t>
      </w:r>
    </w:p>
    <w:p>
      <w:pPr>
        <w:numPr>
          <w:ilvl w:val="0"/>
          <w:numId w:val="1296"/>
        </w:numPr>
        <w:pStyle w:val="Compact"/>
      </w:pPr>
      <w:r>
        <w:t xml:space="preserve">los avisos de transparencia, la comprensión de los usuarios, las quejas y la impugnabilidad;</w:t>
      </w:r>
    </w:p>
    <w:p>
      <w:pPr>
        <w:numPr>
          <w:ilvl w:val="0"/>
          <w:numId w:val="1296"/>
        </w:numPr>
        <w:pStyle w:val="Compact"/>
      </w:pPr>
      <w:r>
        <w:t xml:space="preserve">privacidad, calidad de los datos, retención, seguridad, vulnerabilidades y anomalías de acceso;</w:t>
      </w:r>
    </w:p>
    <w:p>
      <w:pPr>
        <w:numPr>
          <w:ilvl w:val="0"/>
          <w:numId w:val="1296"/>
        </w:numPr>
        <w:pStyle w:val="Compact"/>
      </w:pPr>
      <w:r>
        <w:t xml:space="preserve">cambios en el proveedor, incidentes, resultados de garantía y deterioro del servicio;</w:t>
      </w:r>
    </w:p>
    <w:p>
      <w:pPr>
        <w:numPr>
          <w:ilvl w:val="0"/>
          <w:numId w:val="1296"/>
        </w:numPr>
        <w:pStyle w:val="Compact"/>
      </w:pPr>
      <w:r>
        <w:t xml:space="preserve">la integridad del registro, la integridad de las pruebas y la conservación de los registros;</w:t>
      </w:r>
    </w:p>
    <w:p>
      <w:pPr>
        <w:numPr>
          <w:ilvl w:val="0"/>
          <w:numId w:val="1296"/>
        </w:numPr>
        <w:pStyle w:val="Compact"/>
      </w:pPr>
      <w:r>
        <w:t xml:space="preserve">cambios jurídicos, reglamentarios, normativos y de orientación;</w:t>
      </w:r>
    </w:p>
    <w:p>
      <w:pPr>
        <w:numPr>
          <w:ilvl w:val="0"/>
          <w:numId w:val="1296"/>
        </w:numPr>
        <w:pStyle w:val="Compact"/>
      </w:pPr>
      <w:r>
        <w:t xml:space="preserve">operación de control, excepciones, acciones atrasadas y fracasos repetidos;</w:t>
      </w:r>
    </w:p>
    <w:p>
      <w:pPr>
        <w:numPr>
          <w:ilvl w:val="0"/>
          <w:numId w:val="1296"/>
        </w:numPr>
        <w:pStyle w:val="Compact"/>
      </w:pPr>
      <w:r>
        <w:t xml:space="preserve">datos posteriores a la comercialización, incidentes, fallos cercanos y eficacia de las medidas correctoras.</w:t>
      </w:r>
    </w:p>
    <w:bookmarkEnd w:id="1029"/>
    <w:bookmarkStart w:id="1030" w:name="ejemplo-de-globalway-104"/>
    <w:p>
      <w:pPr>
        <w:pStyle w:val="Heading2"/>
      </w:pPr>
      <w:r>
        <w:rPr>
          <w:rStyle w:val="SectionNumber"/>
        </w:rPr>
        <w:t xml:space="preserve">1.987</w:t>
      </w:r>
      <w:r>
        <w:tab/>
      </w:r>
      <w:r>
        <w:t xml:space="preserve">Ejemplo de GlobalWay</w:t>
      </w:r>
    </w:p>
    <w:p>
      <w:pPr>
        <w:pStyle w:val="FirstParagraph"/>
      </w:pPr>
      <w:r>
        <w:t xml:space="preserve">GlobalWay supervisa su servicio de selección de contrataciones para detectar la deriva de resultados de subgrupos, patrones de anulación de revisores, cambios en los modelos de proveedores, tendencias de quejas, fallos de registro, eventos de seguridad y cambios en los requisitos legales.</w:t>
      </w:r>
    </w:p>
    <w:bookmarkEnd w:id="1030"/>
    <w:bookmarkStart w:id="1031" w:name="actividad-de-control-105"/>
    <w:p>
      <w:pPr>
        <w:pStyle w:val="Heading2"/>
      </w:pPr>
      <w:r>
        <w:rPr>
          <w:rStyle w:val="SectionNumber"/>
        </w:rPr>
        <w:t xml:space="preserve">1.988</w:t>
      </w:r>
      <w:r>
        <w:tab/>
      </w:r>
      <w:r>
        <w:t xml:space="preserve">Actividad de control</w:t>
      </w:r>
    </w:p>
    <w:p>
      <w:pPr>
        <w:pStyle w:val="FirstParagraph"/>
      </w:pPr>
      <w:r>
        <w:t xml:space="preserve">Cada sistema de IA de material debe tener indicadores de monitoreo aprobados, umbrales, propietarios, frecuencia de revisión, fuentes de datos, rutas de escalada y acciones de respuesta.</w:t>
      </w:r>
    </w:p>
    <w:bookmarkEnd w:id="1031"/>
    <w:bookmarkStart w:id="1032" w:name="pruebas-110"/>
    <w:p>
      <w:pPr>
        <w:pStyle w:val="Heading2"/>
      </w:pPr>
      <w:r>
        <w:rPr>
          <w:rStyle w:val="SectionNumber"/>
        </w:rPr>
        <w:t xml:space="preserve">1.989</w:t>
      </w:r>
      <w:r>
        <w:tab/>
      </w:r>
      <w:r>
        <w:t xml:space="preserve">Pruebas</w:t>
      </w:r>
    </w:p>
    <w:p>
      <w:pPr>
        <w:numPr>
          <w:ilvl w:val="0"/>
          <w:numId w:val="1297"/>
        </w:numPr>
        <w:pStyle w:val="Compact"/>
      </w:pPr>
      <w:r>
        <w:t xml:space="preserve">el plan de seguimiento y el catálogo métrico;</w:t>
      </w:r>
    </w:p>
    <w:p>
      <w:pPr>
        <w:numPr>
          <w:ilvl w:val="0"/>
          <w:numId w:val="1297"/>
        </w:numPr>
        <w:pStyle w:val="Compact"/>
      </w:pPr>
      <w:r>
        <w:t xml:space="preserve">tableros de mando y registros de datos de origen;</w:t>
      </w:r>
    </w:p>
    <w:p>
      <w:pPr>
        <w:numPr>
          <w:ilvl w:val="0"/>
          <w:numId w:val="1297"/>
        </w:numPr>
        <w:pStyle w:val="Compact"/>
      </w:pPr>
      <w:r>
        <w:t xml:space="preserve">la configuración de umbral y alerta;</w:t>
      </w:r>
    </w:p>
    <w:p>
      <w:pPr>
        <w:numPr>
          <w:ilvl w:val="0"/>
          <w:numId w:val="1297"/>
        </w:numPr>
        <w:pStyle w:val="Compact"/>
      </w:pPr>
      <w:r>
        <w:t xml:space="preserve">los registros de revisión y escalada;</w:t>
      </w:r>
    </w:p>
    <w:p>
      <w:pPr>
        <w:numPr>
          <w:ilvl w:val="0"/>
          <w:numId w:val="1297"/>
        </w:numPr>
        <w:pStyle w:val="Compact"/>
      </w:pPr>
      <w:r>
        <w:t xml:space="preserve">incidentes, quejas y registros casi fallidos;</w:t>
      </w:r>
    </w:p>
    <w:p>
      <w:pPr>
        <w:numPr>
          <w:ilvl w:val="0"/>
          <w:numId w:val="1297"/>
        </w:numPr>
        <w:pStyle w:val="Compact"/>
      </w:pPr>
      <w:r>
        <w:t xml:space="preserve">la supervisión de los cambios reglamentarios y de los proveedores;</w:t>
      </w:r>
    </w:p>
    <w:p>
      <w:pPr>
        <w:numPr>
          <w:ilvl w:val="0"/>
          <w:numId w:val="1297"/>
        </w:numPr>
        <w:pStyle w:val="Compact"/>
      </w:pPr>
      <w:r>
        <w:t xml:space="preserve">medidas correctoras y validación;</w:t>
      </w:r>
    </w:p>
    <w:p>
      <w:pPr>
        <w:numPr>
          <w:ilvl w:val="0"/>
          <w:numId w:val="1297"/>
        </w:numPr>
        <w:pStyle w:val="Compact"/>
      </w:pPr>
      <w:r>
        <w:t xml:space="preserve">control periódico-examen de la eficacia.</w:t>
      </w:r>
    </w:p>
    <w:bookmarkEnd w:id="1032"/>
    <w:bookmarkStart w:id="1033" w:name="prueba-de-auditoría-106"/>
    <w:p>
      <w:pPr>
        <w:pStyle w:val="Heading2"/>
      </w:pPr>
      <w:r>
        <w:rPr>
          <w:rStyle w:val="SectionNumber"/>
        </w:rPr>
        <w:t xml:space="preserve">1.990</w:t>
      </w:r>
      <w:r>
        <w:tab/>
      </w:r>
      <w:r>
        <w:t xml:space="preserve">Prueba de auditoría</w:t>
      </w:r>
    </w:p>
    <w:p>
      <w:pPr>
        <w:pStyle w:val="FirstParagraph"/>
      </w:pPr>
      <w:r>
        <w:t xml:space="preserve">Comprobar que el monitoreo cubre el riesgo legal y operativo, los datos son confiables y están vinculados a versiones, los umbrales están justificados, las alertas son revisadas rápidamente, las escaladas son documentadas y los problemas identificados resultan en acciones apropiadas.</w:t>
      </w:r>
    </w:p>
    <w:bookmarkEnd w:id="1033"/>
    <w:bookmarkStart w:id="1034" w:name="referencias-jurídicas-primarias-79"/>
    <w:p>
      <w:pPr>
        <w:pStyle w:val="Heading2"/>
      </w:pPr>
      <w:r>
        <w:rPr>
          <w:rStyle w:val="SectionNumber"/>
        </w:rPr>
        <w:t xml:space="preserve">1.991</w:t>
      </w:r>
      <w:r>
        <w:tab/>
      </w:r>
      <w:r>
        <w:t xml:space="preserve">Referencias jurídicas primarias</w:t>
      </w:r>
    </w:p>
    <w:p>
      <w:pPr>
        <w:numPr>
          <w:ilvl w:val="0"/>
          <w:numId w:val="1298"/>
        </w:numPr>
        <w:pStyle w:val="Compact"/>
      </w:pPr>
      <w:r>
        <w:t xml:space="preserve">Reglamento (UE) 2024/1689, modificado: disposiciones aplicables en materia de gestión de la calidad, gestión de riesgos, tala, despliegue, proveedor, seguimiento posterior al mercado, incidentes graves, medidas correctoras y vigilancia del mercado.</w:t>
      </w:r>
    </w:p>
    <w:p>
      <w:pPr>
        <w:numPr>
          <w:ilvl w:val="0"/>
          <w:numId w:val="1298"/>
        </w:numPr>
        <w:pStyle w:val="Compact"/>
      </w:pPr>
      <w:r>
        <w:t xml:space="preserve">Los textos oficiales consolidados actuales controlan los resúmenes antiguos.</w:t>
      </w:r>
    </w:p>
    <w:bookmarkEnd w:id="1034"/>
    <w:bookmarkStart w:id="1035" w:name="Xdf7b2fc768a6800fa45eba493d4531acaa3797c"/>
    <w:p>
      <w:pPr>
        <w:pStyle w:val="Heading2"/>
      </w:pPr>
      <w:r>
        <w:rPr>
          <w:rStyle w:val="SectionNumber"/>
        </w:rPr>
        <w:t xml:space="preserve">1.992</w:t>
      </w:r>
      <w:r>
        <w:tab/>
      </w:r>
      <w:r>
        <w:t xml:space="preserve">Capítulo 112 — Planificación de la auditoría</w:t>
      </w:r>
    </w:p>
    <w:p>
      <w:pPr>
        <w:pStyle w:val="BlockText"/>
      </w:pPr>
      <w:r>
        <w:rPr>
          <w:bCs/>
          <w:b/>
        </w:rPr>
        <w:t xml:space="preserve">Estatus legal:</w:t>
      </w:r>
      <w:r>
        <w:t xml:space="preserve"> </w:t>
      </w:r>
      <w:r>
        <w:t xml:space="preserve">Corregido Maestro Inglés para la consolidación. Este archivo controla el lenguaje de borrador anterior del Capítulo 112.</w:t>
      </w:r>
    </w:p>
    <w:bookmarkEnd w:id="1035"/>
    <w:bookmarkStart w:id="1036" w:name="requisito-110"/>
    <w:p>
      <w:pPr>
        <w:pStyle w:val="Heading2"/>
      </w:pPr>
      <w:r>
        <w:rPr>
          <w:rStyle w:val="SectionNumber"/>
        </w:rPr>
        <w:t xml:space="preserve">1.993</w:t>
      </w:r>
      <w:r>
        <w:tab/>
      </w:r>
      <w:r>
        <w:t xml:space="preserve">Requisito</w:t>
      </w:r>
    </w:p>
    <w:p>
      <w:pPr>
        <w:pStyle w:val="FirstParagraph"/>
      </w:pPr>
      <w:r>
        <w:t xml:space="preserve">La planificación de las auditorías de IA debe basarse en los riesgos, ser independiente, estar basada en pruebas y ajustarse a las obligaciones jurídicas aplicables, las funciones de los agentes, las clasificaciones de los sistemas, las etapas del ciclo de vida, las jurisdicciones, los proveedores, los incidentes y las conclusiones previas.</w:t>
      </w:r>
    </w:p>
    <w:bookmarkEnd w:id="1036"/>
    <w:bookmarkStart w:id="1037" w:name="explicación-en-lenguaje-sencillo-107"/>
    <w:p>
      <w:pPr>
        <w:pStyle w:val="Heading2"/>
      </w:pPr>
      <w:r>
        <w:rPr>
          <w:rStyle w:val="SectionNumber"/>
        </w:rPr>
        <w:t xml:space="preserve">1.994</w:t>
      </w:r>
      <w:r>
        <w:tab/>
      </w:r>
      <w:r>
        <w:t xml:space="preserve">Explicación en lenguaje sencillo</w:t>
      </w:r>
    </w:p>
    <w:p>
      <w:pPr>
        <w:pStyle w:val="FirstParagraph"/>
      </w:pPr>
      <w:r>
        <w:t xml:space="preserve">Un plan de auditoría eficaz responde a lo que se examinará, por qué importa, qué criterios jurídicos y operacionales se aplican, qué pruebas se necesitan, quién realizará el trabajo y cómo se gestionarán las lagunas en la cobertura.</w:t>
      </w:r>
    </w:p>
    <w:bookmarkEnd w:id="1037"/>
    <w:bookmarkStart w:id="1038" w:name="necesidades-de-planificación"/>
    <w:p>
      <w:pPr>
        <w:pStyle w:val="Heading2"/>
      </w:pPr>
      <w:r>
        <w:rPr>
          <w:rStyle w:val="SectionNumber"/>
        </w:rPr>
        <w:t xml:space="preserve">1.995</w:t>
      </w:r>
      <w:r>
        <w:tab/>
      </w:r>
      <w:r>
        <w:t xml:space="preserve">Necesidades de planificación</w:t>
      </w:r>
    </w:p>
    <w:p>
      <w:pPr>
        <w:pStyle w:val="FirstParagraph"/>
      </w:pPr>
      <w:r>
        <w:t xml:space="preserve">El plan de auditoría debería definir:</w:t>
      </w:r>
    </w:p>
    <w:p>
      <w:pPr>
        <w:numPr>
          <w:ilvl w:val="0"/>
          <w:numId w:val="1299"/>
        </w:numPr>
        <w:pStyle w:val="Compact"/>
      </w:pPr>
      <w:r>
        <w:t xml:space="preserve">el universo de auditoría de IA y el vínculo entre el inventario del sistema;</w:t>
      </w:r>
    </w:p>
    <w:p>
      <w:pPr>
        <w:numPr>
          <w:ilvl w:val="0"/>
          <w:numId w:val="1299"/>
        </w:numPr>
        <w:pStyle w:val="Compact"/>
      </w:pPr>
      <w:r>
        <w:t xml:space="preserve">funciones legales, clasificaciones, jurisdicciones y requisitos aplicables;</w:t>
      </w:r>
    </w:p>
    <w:p>
      <w:pPr>
        <w:numPr>
          <w:ilvl w:val="0"/>
          <w:numId w:val="1299"/>
        </w:numPr>
        <w:pStyle w:val="Compact"/>
      </w:pPr>
      <w:r>
        <w:t xml:space="preserve">riesgos inherentes y residuales, materialidad y resultados de garantía previa;</w:t>
      </w:r>
    </w:p>
    <w:p>
      <w:pPr>
        <w:numPr>
          <w:ilvl w:val="0"/>
          <w:numId w:val="1299"/>
        </w:numPr>
        <w:pStyle w:val="Compact"/>
      </w:pPr>
      <w:r>
        <w:t xml:space="preserve">ámbito, objetivos, criterios, exclusiones y limitaciones;</w:t>
      </w:r>
    </w:p>
    <w:p>
      <w:pPr>
        <w:numPr>
          <w:ilvl w:val="0"/>
          <w:numId w:val="1299"/>
        </w:numPr>
        <w:pStyle w:val="Compact"/>
      </w:pPr>
      <w:r>
        <w:t xml:space="preserve">fases del ciclo de vida, versiones, proveedores y flujos de datos en el ámbito de aplicación;</w:t>
      </w:r>
    </w:p>
    <w:p>
      <w:pPr>
        <w:numPr>
          <w:ilvl w:val="0"/>
          <w:numId w:val="1299"/>
        </w:numPr>
        <w:pStyle w:val="Compact"/>
      </w:pPr>
      <w:r>
        <w:t xml:space="preserve">las competencias técnicas, jurídicas, de privacidad, de seguridad y operativas requeridas;</w:t>
      </w:r>
    </w:p>
    <w:p>
      <w:pPr>
        <w:numPr>
          <w:ilvl w:val="0"/>
          <w:numId w:val="1299"/>
        </w:numPr>
        <w:pStyle w:val="Compact"/>
      </w:pPr>
      <w:r>
        <w:t xml:space="preserve">independencia, conflictos y uso de especialistas;</w:t>
      </w:r>
    </w:p>
    <w:p>
      <w:pPr>
        <w:numPr>
          <w:ilvl w:val="0"/>
          <w:numId w:val="1299"/>
        </w:numPr>
        <w:pStyle w:val="Compact"/>
      </w:pPr>
      <w:r>
        <w:t xml:space="preserve">estrategia de muestreo, fuentes de pruebas y métodos de ensayo;</w:t>
      </w:r>
    </w:p>
    <w:p>
      <w:pPr>
        <w:numPr>
          <w:ilvl w:val="0"/>
          <w:numId w:val="1299"/>
        </w:numPr>
        <w:pStyle w:val="Compact"/>
      </w:pPr>
      <w:r>
        <w:t xml:space="preserve">calendario, hitos, rutas de notificación y desencadenantes de escalada;</w:t>
      </w:r>
    </w:p>
    <w:p>
      <w:pPr>
        <w:numPr>
          <w:ilvl w:val="0"/>
          <w:numId w:val="1299"/>
        </w:numPr>
        <w:pStyle w:val="Compact"/>
      </w:pPr>
      <w:r>
        <w:t xml:space="preserve">la coordinación con la evaluación de la conformidad, la revisión normativa, la privacidad, la seguridad y la garantía externa;</w:t>
      </w:r>
    </w:p>
    <w:p>
      <w:pPr>
        <w:numPr>
          <w:ilvl w:val="0"/>
          <w:numId w:val="1299"/>
        </w:numPr>
        <w:pStyle w:val="Compact"/>
      </w:pPr>
      <w:r>
        <w:t xml:space="preserve">tratamiento de cuestiones abiertas, incidentes, quejas y cambios reglamentarios;</w:t>
      </w:r>
    </w:p>
    <w:p>
      <w:pPr>
        <w:numPr>
          <w:ilvl w:val="0"/>
          <w:numId w:val="1299"/>
        </w:numPr>
        <w:pStyle w:val="Compact"/>
      </w:pPr>
      <w:r>
        <w:t xml:space="preserve">revisión de la calidad y aprobación del programa de auditoría.</w:t>
      </w:r>
    </w:p>
    <w:bookmarkEnd w:id="1038"/>
    <w:bookmarkStart w:id="1039" w:name="ejemplo-de-globalway-105"/>
    <w:p>
      <w:pPr>
        <w:pStyle w:val="Heading2"/>
      </w:pPr>
      <w:r>
        <w:rPr>
          <w:rStyle w:val="SectionNumber"/>
        </w:rPr>
        <w:t xml:space="preserve">1.996</w:t>
      </w:r>
      <w:r>
        <w:tab/>
      </w:r>
      <w:r>
        <w:t xml:space="preserve">Ejemplo de GlobalWay</w:t>
      </w:r>
    </w:p>
    <w:p>
      <w:pPr>
        <w:pStyle w:val="FirstParagraph"/>
      </w:pPr>
      <w:r>
        <w:t xml:space="preserve">GlobalWay prioriza las auditorías de los sistemas de reclutamiento, asistencia a viajeros y detección de fraudes basados en la clasificación, impacto de las personas afectadas, dependencia de los proveedores, historial de incidentes, cambio de modelo y madurez de control.El plan asigna especialistas legales, de privacidad, seguridad y ciencia de datos cuando sea necesario.</w:t>
      </w:r>
    </w:p>
    <w:bookmarkEnd w:id="1039"/>
    <w:bookmarkStart w:id="1040" w:name="actividad-de-control-106"/>
    <w:p>
      <w:pPr>
        <w:pStyle w:val="Heading2"/>
      </w:pPr>
      <w:r>
        <w:rPr>
          <w:rStyle w:val="SectionNumber"/>
        </w:rPr>
        <w:t xml:space="preserve">1.997</w:t>
      </w:r>
      <w:r>
        <w:tab/>
      </w:r>
      <w:r>
        <w:t xml:space="preserve">Actividad de control</w:t>
      </w:r>
    </w:p>
    <w:p>
      <w:pPr>
        <w:pStyle w:val="FirstParagraph"/>
      </w:pPr>
      <w:r>
        <w:t xml:space="preserve">La auditoría interna debe mantener un programa de auditoría de IA documentado y aprobado por la gobernanza adecuada. Las decisiones de cobertura y los aplazamientos deben estar justificados, los riesgos deben aceptarse cuando sea necesario y deben revisarse después de incidentes graves, cambios materiales o desarrollos legales.</w:t>
      </w:r>
    </w:p>
    <w:bookmarkEnd w:id="1040"/>
    <w:bookmarkStart w:id="1041" w:name="pruebas-111"/>
    <w:p>
      <w:pPr>
        <w:pStyle w:val="Heading2"/>
      </w:pPr>
      <w:r>
        <w:rPr>
          <w:rStyle w:val="SectionNumber"/>
        </w:rPr>
        <w:t xml:space="preserve">1.998</w:t>
      </w:r>
      <w:r>
        <w:tab/>
      </w:r>
      <w:r>
        <w:t xml:space="preserve">Pruebas</w:t>
      </w:r>
    </w:p>
    <w:p>
      <w:pPr>
        <w:numPr>
          <w:ilvl w:val="0"/>
          <w:numId w:val="1300"/>
        </w:numPr>
        <w:pStyle w:val="Compact"/>
      </w:pPr>
      <w:r>
        <w:t xml:space="preserve">universo de auditoría de IA;</w:t>
      </w:r>
    </w:p>
    <w:p>
      <w:pPr>
        <w:numPr>
          <w:ilvl w:val="0"/>
          <w:numId w:val="1300"/>
        </w:numPr>
        <w:pStyle w:val="Compact"/>
      </w:pPr>
      <w:r>
        <w:t xml:space="preserve">la evaluación de riesgos y el modelo de priorización;</w:t>
      </w:r>
    </w:p>
    <w:p>
      <w:pPr>
        <w:numPr>
          <w:ilvl w:val="0"/>
          <w:numId w:val="1300"/>
        </w:numPr>
        <w:pStyle w:val="Compact"/>
      </w:pPr>
      <w:r>
        <w:t xml:space="preserve">los planes de auditoría anuales y renovables aprobados;</w:t>
      </w:r>
    </w:p>
    <w:p>
      <w:pPr>
        <w:numPr>
          <w:ilvl w:val="0"/>
          <w:numId w:val="1300"/>
        </w:numPr>
        <w:pStyle w:val="Compact"/>
      </w:pPr>
      <w:r>
        <w:t xml:space="preserve">el alcance y los criterios del compromiso;</w:t>
      </w:r>
    </w:p>
    <w:p>
      <w:pPr>
        <w:numPr>
          <w:ilvl w:val="0"/>
          <w:numId w:val="1300"/>
        </w:numPr>
        <w:pStyle w:val="Compact"/>
      </w:pPr>
      <w:r>
        <w:t xml:space="preserve">los registros de competencia e independencia;</w:t>
      </w:r>
    </w:p>
    <w:p>
      <w:pPr>
        <w:numPr>
          <w:ilvl w:val="0"/>
          <w:numId w:val="1300"/>
        </w:numPr>
        <w:pStyle w:val="Compact"/>
      </w:pPr>
      <w:r>
        <w:t xml:space="preserve">estrategia de muestreo y ensayo;</w:t>
      </w:r>
    </w:p>
    <w:p>
      <w:pPr>
        <w:numPr>
          <w:ilvl w:val="0"/>
          <w:numId w:val="1300"/>
        </w:numPr>
        <w:pStyle w:val="Compact"/>
      </w:pPr>
      <w:r>
        <w:t xml:space="preserve">evaluaciones de coordinación y dependencia;</w:t>
      </w:r>
    </w:p>
    <w:p>
      <w:pPr>
        <w:numPr>
          <w:ilvl w:val="0"/>
          <w:numId w:val="1300"/>
        </w:numPr>
        <w:pStyle w:val="Compact"/>
      </w:pPr>
      <w:r>
        <w:t xml:space="preserve">las aprobaciones de cobertura y aplazamiento.</w:t>
      </w:r>
    </w:p>
    <w:bookmarkEnd w:id="1041"/>
    <w:bookmarkStart w:id="1042" w:name="prueba-de-auditoría-107"/>
    <w:p>
      <w:pPr>
        <w:pStyle w:val="Heading2"/>
      </w:pPr>
      <w:r>
        <w:rPr>
          <w:rStyle w:val="SectionNumber"/>
        </w:rPr>
        <w:t xml:space="preserve">1.999</w:t>
      </w:r>
      <w:r>
        <w:tab/>
      </w:r>
      <w:r>
        <w:t xml:space="preserve">Prueba de auditoría</w:t>
      </w:r>
    </w:p>
    <w:p>
      <w:pPr>
        <w:pStyle w:val="FirstParagraph"/>
      </w:pPr>
      <w:r>
        <w:t xml:space="preserve">Revisar el proceso de planificación de la auditoría. Confirmar que el universo está completo, priorizar refleja el riesgo real de IA, los vínculos de alcance a los criterios legales y versiones del sistema, la competencia requerida está disponible, las exclusiones están justificadas y las brechas materiales se intensifican.</w:t>
      </w:r>
    </w:p>
    <w:bookmarkEnd w:id="1042"/>
    <w:bookmarkStart w:id="1043" w:name="referencias-jurídicas-primarias-80"/>
    <w:p>
      <w:pPr>
        <w:pStyle w:val="Heading2"/>
      </w:pPr>
      <w:r>
        <w:rPr>
          <w:rStyle w:val="SectionNumber"/>
        </w:rPr>
        <w:t xml:space="preserve">1.1000</w:t>
      </w:r>
      <w:r>
        <w:tab/>
      </w:r>
      <w:r>
        <w:t xml:space="preserve">Referencias jurídicas primarias</w:t>
      </w:r>
    </w:p>
    <w:p>
      <w:pPr>
        <w:numPr>
          <w:ilvl w:val="0"/>
          <w:numId w:val="1301"/>
        </w:numPr>
        <w:pStyle w:val="Compact"/>
      </w:pPr>
      <w:r>
        <w:t xml:space="preserve">Reglamento (UE) 2024/1689, en su versión modificada: disposiciones aplicables sobre gobernanza, gestión de la calidad, conformidad, documentación, seguimiento, incidentes, medidas correctoras y revisión de la autoridad.</w:t>
      </w:r>
    </w:p>
    <w:p>
      <w:pPr>
        <w:numPr>
          <w:ilvl w:val="0"/>
          <w:numId w:val="1301"/>
        </w:numPr>
        <w:pStyle w:val="Compact"/>
      </w:pPr>
      <w:r>
        <w:t xml:space="preserve">La auditoría interna no sustituye la evaluación de la conformidad exigida por la ley, la participación del organismo notificado o la revisión de la autoridad competente.</w:t>
      </w:r>
    </w:p>
    <w:bookmarkEnd w:id="1043"/>
    <w:bookmarkStart w:id="1044" w:name="X9f36bcc085851bf6696634b3295c147fce9900d"/>
    <w:p>
      <w:pPr>
        <w:pStyle w:val="Heading2"/>
      </w:pPr>
      <w:r>
        <w:rPr>
          <w:rStyle w:val="SectionNumber"/>
        </w:rPr>
        <w:t xml:space="preserve">1.1001</w:t>
      </w:r>
      <w:r>
        <w:tab/>
      </w:r>
      <w:r>
        <w:t xml:space="preserve">Capítulo 113 — Pruebas de la eficacia del diseño</w:t>
      </w:r>
    </w:p>
    <w:p>
      <w:pPr>
        <w:pStyle w:val="BlockText"/>
      </w:pPr>
      <w:r>
        <w:rPr>
          <w:bCs/>
          <w:b/>
        </w:rPr>
        <w:t xml:space="preserve">Estatus legal:</w:t>
      </w:r>
      <w:r>
        <w:t xml:space="preserve"> </w:t>
      </w:r>
      <w:r>
        <w:t xml:space="preserve">Corregido Maestro Inglés para la consolidación. Este archivo controla el lenguaje de borrador anterior del Capítulo 113 en conflicto.</w:t>
      </w:r>
    </w:p>
    <w:bookmarkEnd w:id="1044"/>
    <w:bookmarkStart w:id="1045" w:name="requisito-111"/>
    <w:p>
      <w:pPr>
        <w:pStyle w:val="Heading2"/>
      </w:pPr>
      <w:r>
        <w:rPr>
          <w:rStyle w:val="SectionNumber"/>
        </w:rPr>
        <w:t xml:space="preserve">1.1002</w:t>
      </w:r>
      <w:r>
        <w:tab/>
      </w:r>
      <w:r>
        <w:t xml:space="preserve">Requisito</w:t>
      </w:r>
    </w:p>
    <w:p>
      <w:pPr>
        <w:pStyle w:val="FirstParagraph"/>
      </w:pPr>
      <w:r>
        <w:t xml:space="preserve">Las pruebas de eficacia del diseño deben determinar si cada control de la IA, individual y colectivamente, está diseñado adecuadamente para prevenir, detectar, corregir o aumentar el riesgo jurídico y operativo pertinente cuando se implementa según lo previsto.</w:t>
      </w:r>
    </w:p>
    <w:bookmarkEnd w:id="1045"/>
    <w:bookmarkStart w:id="1046" w:name="explicación-en-lenguaje-sencillo-108"/>
    <w:p>
      <w:pPr>
        <w:pStyle w:val="Heading2"/>
      </w:pPr>
      <w:r>
        <w:rPr>
          <w:rStyle w:val="SectionNumber"/>
        </w:rPr>
        <w:t xml:space="preserve">1.1003</w:t>
      </w:r>
      <w:r>
        <w:tab/>
      </w:r>
      <w:r>
        <w:t xml:space="preserve">Explicación en lenguaje sencillo</w:t>
      </w:r>
    </w:p>
    <w:p>
      <w:pPr>
        <w:pStyle w:val="FirstParagraph"/>
      </w:pPr>
      <w:r>
        <w:t xml:space="preserve">Un control puede existir en el papel y todavía ser incapaz de lograr su propósito. Pruebas de diseño examina si el control tiene el gatillo correcto, propietario, autoridad, entradas, lógica, frecuencia, evidencia, escalada y relación con otros controles.</w:t>
      </w:r>
    </w:p>
    <w:bookmarkEnd w:id="1046"/>
    <w:bookmarkStart w:id="1047" w:name="requisitos-de-ensayo-del-diseño"/>
    <w:p>
      <w:pPr>
        <w:pStyle w:val="Heading2"/>
      </w:pPr>
      <w:r>
        <w:rPr>
          <w:rStyle w:val="SectionNumber"/>
        </w:rPr>
        <w:t xml:space="preserve">1.1004</w:t>
      </w:r>
      <w:r>
        <w:tab/>
      </w:r>
      <w:r>
        <w:t xml:space="preserve">Requisitos de ensayo del diseño</w:t>
      </w:r>
    </w:p>
    <w:p>
      <w:pPr>
        <w:pStyle w:val="FirstParagraph"/>
      </w:pPr>
      <w:r>
        <w:t xml:space="preserve">Para cada control, evaluar:</w:t>
      </w:r>
    </w:p>
    <w:p>
      <w:pPr>
        <w:numPr>
          <w:ilvl w:val="0"/>
          <w:numId w:val="1302"/>
        </w:numPr>
        <w:pStyle w:val="Compact"/>
      </w:pPr>
      <w:r>
        <w:t xml:space="preserve">el deber jurídico, el riesgo u objetivo abordado;</w:t>
      </w:r>
    </w:p>
    <w:p>
      <w:pPr>
        <w:numPr>
          <w:ilvl w:val="0"/>
          <w:numId w:val="1302"/>
        </w:numPr>
        <w:pStyle w:val="Compact"/>
      </w:pPr>
      <w:r>
        <w:t xml:space="preserve">alcance entre sistemas, modelos, versiones, actores y jurisdicciones;</w:t>
      </w:r>
    </w:p>
    <w:p>
      <w:pPr>
        <w:numPr>
          <w:ilvl w:val="0"/>
          <w:numId w:val="1302"/>
        </w:numPr>
        <w:pStyle w:val="Compact"/>
      </w:pPr>
      <w:r>
        <w:t xml:space="preserve">la activación, la frecuencia, el momento y la naturaleza preventiva o detective;</w:t>
      </w:r>
    </w:p>
    <w:p>
      <w:pPr>
        <w:numPr>
          <w:ilvl w:val="0"/>
          <w:numId w:val="1302"/>
        </w:numPr>
        <w:pStyle w:val="Compact"/>
      </w:pPr>
      <w:r>
        <w:t xml:space="preserve">propietario responsable, competencia, autoridad y separación de funciones;</w:t>
      </w:r>
    </w:p>
    <w:p>
      <w:pPr>
        <w:numPr>
          <w:ilvl w:val="0"/>
          <w:numId w:val="1302"/>
        </w:numPr>
        <w:pStyle w:val="Compact"/>
      </w:pPr>
      <w:r>
        <w:t xml:space="preserve">los insumos requeridos, la calidad de los datos, las herramientas y las dependencias;</w:t>
      </w:r>
    </w:p>
    <w:p>
      <w:pPr>
        <w:numPr>
          <w:ilvl w:val="0"/>
          <w:numId w:val="1302"/>
        </w:numPr>
        <w:pStyle w:val="Compact"/>
      </w:pPr>
      <w:r>
        <w:t xml:space="preserve">criterios de decisión, umbrales, excepciones y vías de escalada;</w:t>
      </w:r>
    </w:p>
    <w:p>
      <w:pPr>
        <w:numPr>
          <w:ilvl w:val="0"/>
          <w:numId w:val="1302"/>
        </w:numPr>
        <w:pStyle w:val="Compact"/>
      </w:pPr>
      <w:r>
        <w:t xml:space="preserve">pruebas conservadas y trazabilidad;</w:t>
      </w:r>
    </w:p>
    <w:p>
      <w:pPr>
        <w:numPr>
          <w:ilvl w:val="0"/>
          <w:numId w:val="1302"/>
        </w:numPr>
        <w:pStyle w:val="Compact"/>
      </w:pPr>
      <w:r>
        <w:t xml:space="preserve">vinculación con los controles anteriores y posteriores;</w:t>
      </w:r>
    </w:p>
    <w:p>
      <w:pPr>
        <w:numPr>
          <w:ilvl w:val="0"/>
          <w:numId w:val="1302"/>
        </w:numPr>
        <w:pStyle w:val="Compact"/>
      </w:pPr>
      <w:r>
        <w:t xml:space="preserve">capacidad para hacer frente al uso indebido previsible, el cambio, el fracaso y las condiciones de incidente;</w:t>
      </w:r>
    </w:p>
    <w:p>
      <w:pPr>
        <w:numPr>
          <w:ilvl w:val="0"/>
          <w:numId w:val="1302"/>
        </w:numPr>
        <w:pStyle w:val="Compact"/>
      </w:pPr>
      <w:r>
        <w:t xml:space="preserve">alineación con políticas, documentación técnica, contratos y procedimientos operativos.</w:t>
      </w:r>
    </w:p>
    <w:bookmarkEnd w:id="1047"/>
    <w:bookmarkStart w:id="1048" w:name="ejemplo-de-globalway-106"/>
    <w:p>
      <w:pPr>
        <w:pStyle w:val="Heading2"/>
      </w:pPr>
      <w:r>
        <w:rPr>
          <w:rStyle w:val="SectionNumber"/>
        </w:rPr>
        <w:t xml:space="preserve">1.1005</w:t>
      </w:r>
      <w:r>
        <w:tab/>
      </w:r>
      <w:r>
        <w:t xml:space="preserve">Ejemplo de GlobalWay</w:t>
      </w:r>
    </w:p>
    <w:p>
      <w:pPr>
        <w:pStyle w:val="FirstParagraph"/>
      </w:pPr>
      <w:r>
        <w:t xml:space="preserve">El examen confirma que la clasificación, la gestión de riesgos, la gobernanza de los datos, la supervisión humana, las pruebas, las pruebas de proveedores y la aprobación legal son insumos obligatorios y que las cuestiones críticas no resueltas bloquean el despliegue.</w:t>
      </w:r>
    </w:p>
    <w:bookmarkEnd w:id="1048"/>
    <w:bookmarkStart w:id="1049" w:name="actividad-de-control-107"/>
    <w:p>
      <w:pPr>
        <w:pStyle w:val="Heading2"/>
      </w:pPr>
      <w:r>
        <w:rPr>
          <w:rStyle w:val="SectionNumber"/>
        </w:rPr>
        <w:t xml:space="preserve">1.1006</w:t>
      </w:r>
      <w:r>
        <w:tab/>
      </w:r>
      <w:r>
        <w:t xml:space="preserve">Actividad de control</w:t>
      </w:r>
    </w:p>
    <w:p>
      <w:pPr>
        <w:pStyle w:val="FirstParagraph"/>
      </w:pPr>
      <w:r>
        <w:t xml:space="preserve">Los propietarios de control deben documentar los objetivos de control y los atributos de diseño antes de la implementación. Los revisores independientes deben cuestionar si el control podría lograr el resultado deseado en condiciones normales, cambiadas y fallas.</w:t>
      </w:r>
    </w:p>
    <w:bookmarkEnd w:id="1049"/>
    <w:bookmarkStart w:id="1050" w:name="pruebas-112"/>
    <w:p>
      <w:pPr>
        <w:pStyle w:val="Heading2"/>
      </w:pPr>
      <w:r>
        <w:rPr>
          <w:rStyle w:val="SectionNumber"/>
        </w:rPr>
        <w:t xml:space="preserve">1.1007</w:t>
      </w:r>
      <w:r>
        <w:tab/>
      </w:r>
      <w:r>
        <w:t xml:space="preserve">Pruebas</w:t>
      </w:r>
    </w:p>
    <w:p>
      <w:pPr>
        <w:numPr>
          <w:ilvl w:val="0"/>
          <w:numId w:val="1303"/>
        </w:numPr>
        <w:pStyle w:val="Compact"/>
      </w:pPr>
      <w:r>
        <w:t xml:space="preserve">descripción y objetivo del control;</w:t>
      </w:r>
    </w:p>
    <w:p>
      <w:pPr>
        <w:numPr>
          <w:ilvl w:val="0"/>
          <w:numId w:val="1303"/>
        </w:numPr>
        <w:pStyle w:val="Compact"/>
      </w:pPr>
      <w:r>
        <w:t xml:space="preserve">la cartografía jurídica y de riesgos;</w:t>
      </w:r>
    </w:p>
    <w:p>
      <w:pPr>
        <w:numPr>
          <w:ilvl w:val="0"/>
          <w:numId w:val="1303"/>
        </w:numPr>
        <w:pStyle w:val="Compact"/>
      </w:pPr>
      <w:r>
        <w:t xml:space="preserve">flujo de proceso y lógica de decisión;</w:t>
      </w:r>
    </w:p>
    <w:p>
      <w:pPr>
        <w:numPr>
          <w:ilvl w:val="0"/>
          <w:numId w:val="1303"/>
        </w:numPr>
        <w:pStyle w:val="Compact"/>
      </w:pPr>
      <w:r>
        <w:t xml:space="preserve">los requisitos de competencia y de RACI;</w:t>
      </w:r>
    </w:p>
    <w:p>
      <w:pPr>
        <w:numPr>
          <w:ilvl w:val="0"/>
          <w:numId w:val="1303"/>
        </w:numPr>
        <w:pStyle w:val="Compact"/>
      </w:pPr>
      <w:r>
        <w:t xml:space="preserve">los umbrales y el diseño de la escalada;</w:t>
      </w:r>
    </w:p>
    <w:p>
      <w:pPr>
        <w:numPr>
          <w:ilvl w:val="0"/>
          <w:numId w:val="1303"/>
        </w:numPr>
        <w:pStyle w:val="Compact"/>
      </w:pPr>
      <w:r>
        <w:t xml:space="preserve">especificación de la prueba;</w:t>
      </w:r>
    </w:p>
    <w:p>
      <w:pPr>
        <w:numPr>
          <w:ilvl w:val="0"/>
          <w:numId w:val="1303"/>
        </w:numPr>
        <w:pStyle w:val="Compact"/>
      </w:pPr>
      <w:r>
        <w:t xml:space="preserve">análisis de la dependencia y del modo de fallo;</w:t>
      </w:r>
    </w:p>
    <w:p>
      <w:pPr>
        <w:numPr>
          <w:ilvl w:val="0"/>
          <w:numId w:val="1303"/>
        </w:numPr>
        <w:pStyle w:val="Compact"/>
      </w:pPr>
      <w:r>
        <w:t xml:space="preserve">revisión y aprobación del diseño.</w:t>
      </w:r>
    </w:p>
    <w:bookmarkEnd w:id="1050"/>
    <w:bookmarkStart w:id="1051" w:name="prueba-de-auditoría-108"/>
    <w:p>
      <w:pPr>
        <w:pStyle w:val="Heading2"/>
      </w:pPr>
      <w:r>
        <w:rPr>
          <w:rStyle w:val="SectionNumber"/>
        </w:rPr>
        <w:t xml:space="preserve">1.1008</w:t>
      </w:r>
      <w:r>
        <w:tab/>
      </w:r>
      <w:r>
        <w:t xml:space="preserve">Prueba de auditoría</w:t>
      </w:r>
    </w:p>
    <w:p>
      <w:pPr>
        <w:pStyle w:val="FirstParagraph"/>
      </w:pPr>
      <w:r>
        <w:t xml:space="preserve">Seleccione controles clave. Trace cada uno al deber y riesgo legal relevante, inspeccione el diseño documentado, camine a través de escenarios normales y de excepción, y determine si el control podría razonablemente lograr su objetivo declarado si funciona como diseñado.</w:t>
      </w:r>
    </w:p>
    <w:bookmarkEnd w:id="1051"/>
    <w:bookmarkStart w:id="1052" w:name="referencias-jurídicas-primarias-81"/>
    <w:p>
      <w:pPr>
        <w:pStyle w:val="Heading2"/>
      </w:pPr>
      <w:r>
        <w:rPr>
          <w:rStyle w:val="SectionNumber"/>
        </w:rPr>
        <w:t xml:space="preserve">1.1009</w:t>
      </w:r>
      <w:r>
        <w:tab/>
      </w:r>
      <w:r>
        <w:t xml:space="preserve">Referencias jurídicas primarias</w:t>
      </w:r>
    </w:p>
    <w:p>
      <w:pPr>
        <w:numPr>
          <w:ilvl w:val="0"/>
          <w:numId w:val="1304"/>
        </w:numPr>
        <w:pStyle w:val="Compact"/>
      </w:pPr>
      <w:r>
        <w:t xml:space="preserve">Reglamento (UE) 2024/1689, modificado: disposiciones aplicables en materia de gestión de la calidad, gestión de riesgos, gobernanza de los datos, documentación, supervisión humana, precisión, robustez, seguridad cibernética, vigilancia, incidentes y medidas correctoras.</w:t>
      </w:r>
    </w:p>
    <w:p>
      <w:pPr>
        <w:numPr>
          <w:ilvl w:val="0"/>
          <w:numId w:val="1304"/>
        </w:numPr>
        <w:pStyle w:val="Compact"/>
      </w:pPr>
      <w:r>
        <w:t xml:space="preserve">Los textos oficiales consolidados actuales controlan los resúmenes antiguos.</w:t>
      </w:r>
    </w:p>
    <w:bookmarkEnd w:id="1052"/>
    <w:bookmarkStart w:id="1053" w:name="X62db699a993959e07ed2a0a64aea5f0c11ee24d"/>
    <w:p>
      <w:pPr>
        <w:pStyle w:val="Heading2"/>
      </w:pPr>
      <w:r>
        <w:rPr>
          <w:rStyle w:val="SectionNumber"/>
        </w:rPr>
        <w:t xml:space="preserve">1.1010</w:t>
      </w:r>
      <w:r>
        <w:tab/>
      </w:r>
      <w:r>
        <w:t xml:space="preserve">Capítulo 114 — Ensayos de eficacia de funcionamiento</w:t>
      </w:r>
    </w:p>
    <w:p>
      <w:pPr>
        <w:pStyle w:val="BlockText"/>
      </w:pPr>
      <w:r>
        <w:rPr>
          <w:bCs/>
          <w:b/>
        </w:rPr>
        <w:t xml:space="preserve">Estatus legal:</w:t>
      </w:r>
      <w:r>
        <w:t xml:space="preserve"> </w:t>
      </w:r>
      <w:r>
        <w:t xml:space="preserve">Corregido Maestro Inglés para la consolidación. Este archivo controla el lenguaje de borrador anterior del Capítulo 114.</w:t>
      </w:r>
    </w:p>
    <w:bookmarkEnd w:id="1053"/>
    <w:bookmarkStart w:id="1054" w:name="requisito-112"/>
    <w:p>
      <w:pPr>
        <w:pStyle w:val="Heading2"/>
      </w:pPr>
      <w:r>
        <w:rPr>
          <w:rStyle w:val="SectionNumber"/>
        </w:rPr>
        <w:t xml:space="preserve">1.1011</w:t>
      </w:r>
      <w:r>
        <w:tab/>
      </w:r>
      <w:r>
        <w:t xml:space="preserve">Requisito</w:t>
      </w:r>
    </w:p>
    <w:p>
      <w:pPr>
        <w:pStyle w:val="FirstParagraph"/>
      </w:pPr>
      <w:r>
        <w:t xml:space="preserve">Las pruebas de eficacia operativa deben determinar si los controles de la IA funcionaron de manera coherente, completa, precisa, oportuna y por personal competente autorizado durante todo el período que se examina.</w:t>
      </w:r>
    </w:p>
    <w:bookmarkEnd w:id="1054"/>
    <w:bookmarkStart w:id="1055" w:name="explicación-en-lenguaje-sencillo-109"/>
    <w:p>
      <w:pPr>
        <w:pStyle w:val="Heading2"/>
      </w:pPr>
      <w:r>
        <w:rPr>
          <w:rStyle w:val="SectionNumber"/>
        </w:rPr>
        <w:t xml:space="preserve">1.1012</w:t>
      </w:r>
      <w:r>
        <w:tab/>
      </w:r>
      <w:r>
        <w:t xml:space="preserve">Explicación en lenguaje sencillo</w:t>
      </w:r>
    </w:p>
    <w:p>
      <w:pPr>
        <w:pStyle w:val="FirstParagraph"/>
      </w:pPr>
      <w:r>
        <w:t xml:space="preserve">Un control bien diseñado puede fallar en la práctica. Las pruebas de funcionamiento examinan transacciones reales, liberaciones, decisiones, incidentes, cambios y registros para confirmar que el control funcionó repetidamente y que las excepciones se manejaron correctamente.</w:t>
      </w:r>
    </w:p>
    <w:bookmarkEnd w:id="1055"/>
    <w:bookmarkStart w:id="1056" w:name="requisitos-de-ensayo-1"/>
    <w:p>
      <w:pPr>
        <w:pStyle w:val="Heading2"/>
      </w:pPr>
      <w:r>
        <w:rPr>
          <w:rStyle w:val="SectionNumber"/>
        </w:rPr>
        <w:t xml:space="preserve">1.1013</w:t>
      </w:r>
      <w:r>
        <w:tab/>
      </w:r>
      <w:r>
        <w:t xml:space="preserve">Requisitos de ensayo</w:t>
      </w:r>
    </w:p>
    <w:p>
      <w:pPr>
        <w:pStyle w:val="FirstParagraph"/>
      </w:pPr>
      <w:r>
        <w:t xml:space="preserve">El evaluador debe evaluar:</w:t>
      </w:r>
    </w:p>
    <w:p>
      <w:pPr>
        <w:numPr>
          <w:ilvl w:val="0"/>
          <w:numId w:val="1305"/>
        </w:numPr>
        <w:pStyle w:val="Compact"/>
      </w:pPr>
      <w:r>
        <w:t xml:space="preserve">el período de revisión definido y la población pertinente;</w:t>
      </w:r>
    </w:p>
    <w:p>
      <w:pPr>
        <w:numPr>
          <w:ilvl w:val="0"/>
          <w:numId w:val="1305"/>
        </w:numPr>
        <w:pStyle w:val="Compact"/>
      </w:pPr>
      <w:r>
        <w:t xml:space="preserve">integridad y fiabilidad de la población utilizada para el muestreo;</w:t>
      </w:r>
    </w:p>
    <w:p>
      <w:pPr>
        <w:numPr>
          <w:ilvl w:val="0"/>
          <w:numId w:val="1305"/>
        </w:numPr>
        <w:pStyle w:val="Compact"/>
      </w:pPr>
      <w:r>
        <w:t xml:space="preserve">pruebas de que el control funciona a la frecuencia requerida;</w:t>
      </w:r>
    </w:p>
    <w:p>
      <w:pPr>
        <w:numPr>
          <w:ilvl w:val="0"/>
          <w:numId w:val="1305"/>
        </w:numPr>
        <w:pStyle w:val="Compact"/>
      </w:pPr>
      <w:r>
        <w:t xml:space="preserve">puntualidad, exactitud y exhaustividad de la ejecución;</w:t>
      </w:r>
    </w:p>
    <w:p>
      <w:pPr>
        <w:numPr>
          <w:ilvl w:val="0"/>
          <w:numId w:val="1305"/>
        </w:numPr>
        <w:pStyle w:val="Compact"/>
      </w:pPr>
      <w:r>
        <w:t xml:space="preserve">autorización, competencia e independencia del ejecutante;</w:t>
      </w:r>
    </w:p>
    <w:p>
      <w:pPr>
        <w:numPr>
          <w:ilvl w:val="0"/>
          <w:numId w:val="1305"/>
        </w:numPr>
        <w:pStyle w:val="Compact"/>
      </w:pPr>
      <w:r>
        <w:t xml:space="preserve">aplicación de umbrales, aprobaciones y normas de escalamiento;</w:t>
      </w:r>
    </w:p>
    <w:p>
      <w:pPr>
        <w:numPr>
          <w:ilvl w:val="0"/>
          <w:numId w:val="1305"/>
        </w:numPr>
        <w:pStyle w:val="Compact"/>
      </w:pPr>
      <w:r>
        <w:t xml:space="preserve">tratamiento de las excepciones, anulaciones, fallos y falta de pruebas;</w:t>
      </w:r>
    </w:p>
    <w:p>
      <w:pPr>
        <w:numPr>
          <w:ilvl w:val="0"/>
          <w:numId w:val="1305"/>
        </w:numPr>
        <w:pStyle w:val="Compact"/>
      </w:pPr>
      <w:r>
        <w:t xml:space="preserve">coherencia entre sistemas, modelos, versiones, proveedores y jurisdicciones;</w:t>
      </w:r>
    </w:p>
    <w:p>
      <w:pPr>
        <w:numPr>
          <w:ilvl w:val="0"/>
          <w:numId w:val="1305"/>
        </w:numPr>
        <w:pStyle w:val="Compact"/>
      </w:pPr>
      <w:r>
        <w:t xml:space="preserve">la rehabilitación y el nuevo ensayo de los fallos detectados;</w:t>
      </w:r>
    </w:p>
    <w:p>
      <w:pPr>
        <w:numPr>
          <w:ilvl w:val="0"/>
          <w:numId w:val="1305"/>
        </w:numPr>
        <w:pStyle w:val="Compact"/>
      </w:pPr>
      <w:r>
        <w:t xml:space="preserve">si los controles de compensación funcionaron en caso de fallo del control primario.</w:t>
      </w:r>
    </w:p>
    <w:bookmarkEnd w:id="1056"/>
    <w:bookmarkStart w:id="1057" w:name="ejemplo-de-globalway-107"/>
    <w:p>
      <w:pPr>
        <w:pStyle w:val="Heading2"/>
      </w:pPr>
      <w:r>
        <w:rPr>
          <w:rStyle w:val="SectionNumber"/>
        </w:rPr>
        <w:t xml:space="preserve">1.1014</w:t>
      </w:r>
      <w:r>
        <w:tab/>
      </w:r>
      <w:r>
        <w:t xml:space="preserve">Ejemplo de GlobalWay</w:t>
      </w:r>
    </w:p>
    <w:p>
      <w:pPr>
        <w:pStyle w:val="FirstParagraph"/>
      </w:pPr>
      <w:r>
        <w:t xml:space="preserve">GlobalWay prueba una muestra de aprobaciones de liberaciones de IA durante seis meses. El verificador verifica que cada versión de la muestra utilizó la versión aprobada del modelo, completó revisiones legales y técnicas necesarias, resolvió problemas de bloqueo, obtuvo la aprobación autorizada y retuvo pruebas antes del despliegue de la producción.</w:t>
      </w:r>
    </w:p>
    <w:bookmarkEnd w:id="1057"/>
    <w:bookmarkStart w:id="1058" w:name="actividad-de-control-108"/>
    <w:p>
      <w:pPr>
        <w:pStyle w:val="Heading2"/>
      </w:pPr>
      <w:r>
        <w:rPr>
          <w:rStyle w:val="SectionNumber"/>
        </w:rPr>
        <w:t xml:space="preserve">1.1015</w:t>
      </w:r>
      <w:r>
        <w:tab/>
      </w:r>
      <w:r>
        <w:t xml:space="preserve">Actividad de control</w:t>
      </w:r>
    </w:p>
    <w:p>
      <w:pPr>
        <w:pStyle w:val="FirstParagraph"/>
      </w:pPr>
      <w:r>
        <w:t xml:space="preserve">Los propietarios del control deben conservar pruebas suficientes para reconstruir el funcionamiento. Los evaluadores independientes deben utilizar poblaciones confiables, muestras defendibles, criterios claros de excepción y conclusiones documentadas respaldadas por la evidencia revisada.</w:t>
      </w:r>
    </w:p>
    <w:bookmarkEnd w:id="1058"/>
    <w:bookmarkStart w:id="1059" w:name="pruebas-113"/>
    <w:p>
      <w:pPr>
        <w:pStyle w:val="Heading2"/>
      </w:pPr>
      <w:r>
        <w:rPr>
          <w:rStyle w:val="SectionNumber"/>
        </w:rPr>
        <w:t xml:space="preserve">1.1016</w:t>
      </w:r>
      <w:r>
        <w:tab/>
      </w:r>
      <w:r>
        <w:t xml:space="preserve">Pruebas</w:t>
      </w:r>
    </w:p>
    <w:p>
      <w:pPr>
        <w:numPr>
          <w:ilvl w:val="0"/>
          <w:numId w:val="1306"/>
        </w:numPr>
        <w:pStyle w:val="Compact"/>
      </w:pPr>
      <w:r>
        <w:t xml:space="preserve">validación de la población y la integridad;</w:t>
      </w:r>
    </w:p>
    <w:p>
      <w:pPr>
        <w:numPr>
          <w:ilvl w:val="0"/>
          <w:numId w:val="1306"/>
        </w:numPr>
        <w:pStyle w:val="Compact"/>
      </w:pPr>
      <w:r>
        <w:t xml:space="preserve">registro de selección de muestras;</w:t>
      </w:r>
    </w:p>
    <w:p>
      <w:pPr>
        <w:numPr>
          <w:ilvl w:val="0"/>
          <w:numId w:val="1306"/>
        </w:numPr>
        <w:pStyle w:val="Compact"/>
      </w:pPr>
      <w:r>
        <w:t xml:space="preserve">pruebas de control ejecutadas;</w:t>
      </w:r>
    </w:p>
    <w:p>
      <w:pPr>
        <w:numPr>
          <w:ilvl w:val="0"/>
          <w:numId w:val="1306"/>
        </w:numPr>
        <w:pStyle w:val="Compact"/>
      </w:pPr>
      <w:r>
        <w:t xml:space="preserve">marcas de tiempo, aprobaciones e identidad del revisor;</w:t>
      </w:r>
    </w:p>
    <w:p>
      <w:pPr>
        <w:numPr>
          <w:ilvl w:val="0"/>
          <w:numId w:val="1306"/>
        </w:numPr>
        <w:pStyle w:val="Compact"/>
      </w:pPr>
      <w:r>
        <w:t xml:space="preserve">los registros de excepción y escalada;</w:t>
      </w:r>
    </w:p>
    <w:p>
      <w:pPr>
        <w:numPr>
          <w:ilvl w:val="0"/>
          <w:numId w:val="1306"/>
        </w:numPr>
        <w:pStyle w:val="Compact"/>
      </w:pPr>
      <w:r>
        <w:t xml:space="preserve">pruebas de control compensatorio;</w:t>
      </w:r>
    </w:p>
    <w:p>
      <w:pPr>
        <w:numPr>
          <w:ilvl w:val="0"/>
          <w:numId w:val="1306"/>
        </w:numPr>
        <w:pStyle w:val="Compact"/>
      </w:pPr>
      <w:r>
        <w:t xml:space="preserve">resultados de remediación y reprueba;</w:t>
      </w:r>
    </w:p>
    <w:p>
      <w:pPr>
        <w:numPr>
          <w:ilvl w:val="0"/>
          <w:numId w:val="1306"/>
        </w:numPr>
        <w:pStyle w:val="Compact"/>
      </w:pPr>
      <w:r>
        <w:t xml:space="preserve">conclusión de la prueba y revisión de la calidad.</w:t>
      </w:r>
    </w:p>
    <w:bookmarkEnd w:id="1059"/>
    <w:bookmarkStart w:id="1060" w:name="prueba-de-auditoría-109"/>
    <w:p>
      <w:pPr>
        <w:pStyle w:val="Heading2"/>
      </w:pPr>
      <w:r>
        <w:rPr>
          <w:rStyle w:val="SectionNumber"/>
        </w:rPr>
        <w:t xml:space="preserve">1.1017</w:t>
      </w:r>
      <w:r>
        <w:tab/>
      </w:r>
      <w:r>
        <w:t xml:space="preserve">Prueba de auditoría</w:t>
      </w:r>
    </w:p>
    <w:p>
      <w:pPr>
        <w:pStyle w:val="FirstParagraph"/>
      </w:pPr>
      <w:r>
        <w:t xml:space="preserve">Seleccione controles clave y valide independientemente a la población. Pruebe una muestra basada en el riesgo durante el período de revisión, documente todas las desviaciones, evalúe si los fallos son aislados o sistémicos y determine si el control funciona eficazmente.</w:t>
      </w:r>
    </w:p>
    <w:bookmarkEnd w:id="1060"/>
    <w:bookmarkStart w:id="1061" w:name="referencias-jurídicas-primarias-82"/>
    <w:p>
      <w:pPr>
        <w:pStyle w:val="Heading2"/>
      </w:pPr>
      <w:r>
        <w:rPr>
          <w:rStyle w:val="SectionNumber"/>
        </w:rPr>
        <w:t xml:space="preserve">1.1018</w:t>
      </w:r>
      <w:r>
        <w:tab/>
      </w:r>
      <w:r>
        <w:t xml:space="preserve">Referencias jurídicas primarias</w:t>
      </w:r>
    </w:p>
    <w:p>
      <w:pPr>
        <w:numPr>
          <w:ilvl w:val="0"/>
          <w:numId w:val="1307"/>
        </w:numPr>
        <w:pStyle w:val="Compact"/>
      </w:pPr>
      <w:r>
        <w:t xml:space="preserve">Reglamento (UE) 2024/1689, modificado: disposiciones aplicables en materia de gestión de la calidad, documentación, mantenimiento de registros, gestión de riesgos, supervisión, incidentes, medidas correctivas y gobernanza.</w:t>
      </w:r>
    </w:p>
    <w:p>
      <w:pPr>
        <w:numPr>
          <w:ilvl w:val="0"/>
          <w:numId w:val="1307"/>
        </w:numPr>
        <w:pStyle w:val="Compact"/>
      </w:pPr>
      <w:r>
        <w:t xml:space="preserve">Los textos oficiales consolidados actuales controlan los resúmenes antiguos.</w:t>
      </w:r>
    </w:p>
    <w:bookmarkEnd w:id="1061"/>
    <w:bookmarkStart w:id="1062" w:name="X59f95fbc73301367cdf5a68446aab175a05cf44"/>
    <w:p>
      <w:pPr>
        <w:pStyle w:val="Heading2"/>
      </w:pPr>
      <w:r>
        <w:rPr>
          <w:rStyle w:val="SectionNumber"/>
        </w:rPr>
        <w:t xml:space="preserve">1.1019</w:t>
      </w:r>
      <w:r>
        <w:tab/>
      </w:r>
      <w:r>
        <w:t xml:space="preserve">Capítulo 115 — Evaluación de muestras y pruebas</w:t>
      </w:r>
    </w:p>
    <w:p>
      <w:pPr>
        <w:pStyle w:val="BlockText"/>
      </w:pPr>
      <w:r>
        <w:rPr>
          <w:bCs/>
          <w:b/>
        </w:rPr>
        <w:t xml:space="preserve">Estatus legal:</w:t>
      </w:r>
      <w:r>
        <w:t xml:space="preserve"> </w:t>
      </w:r>
      <w:r>
        <w:t xml:space="preserve">Corregido Maestro Inglés para la consolidación. Este archivo controla el lenguaje de borrador del Capítulo 115 anterior en conflicto.</w:t>
      </w:r>
    </w:p>
    <w:bookmarkEnd w:id="1062"/>
    <w:bookmarkStart w:id="1063" w:name="requisito-113"/>
    <w:p>
      <w:pPr>
        <w:pStyle w:val="Heading2"/>
      </w:pPr>
      <w:r>
        <w:rPr>
          <w:rStyle w:val="SectionNumber"/>
        </w:rPr>
        <w:t xml:space="preserve">1.1020</w:t>
      </w:r>
      <w:r>
        <w:tab/>
      </w:r>
      <w:r>
        <w:t xml:space="preserve">Requisito</w:t>
      </w:r>
    </w:p>
    <w:p>
      <w:pPr>
        <w:pStyle w:val="FirstParagraph"/>
      </w:pPr>
      <w:r>
        <w:t xml:space="preserve">Las organizaciones que realicen auditorías internas, pruebas de cumplimiento, garantías de control, examen de la conformidad o pruebas de respuesta a la reglamentación deben utilizar una metodología documentada basada en el riesgo y la evaluación de las pruebas que pueda proporcionar apoyo suficiente, fiable, pertinente y reproducible para sus conclusiones. Cuando el muestreo apoye una obligación legal, una evaluación de la conformidad, un examen de los organismos notificados, una solicitud de autoridad competente u otra actividad de garantía exigida por la ley, la metodología debe ser apropiada a tal fin y no debe restringir el acceso a los registros exigidos por la ley.</w:t>
      </w:r>
    </w:p>
    <w:bookmarkEnd w:id="1063"/>
    <w:bookmarkStart w:id="1064" w:name="explicación-en-lenguaje-sencillo-110"/>
    <w:p>
      <w:pPr>
        <w:pStyle w:val="Heading2"/>
      </w:pPr>
      <w:r>
        <w:rPr>
          <w:rStyle w:val="SectionNumber"/>
        </w:rPr>
        <w:t xml:space="preserve">1.1021</w:t>
      </w:r>
      <w:r>
        <w:tab/>
      </w:r>
      <w:r>
        <w:t xml:space="preserve">Explicación en lenguaje sencillo</w:t>
      </w:r>
    </w:p>
    <w:p>
      <w:pPr>
        <w:pStyle w:val="FirstParagraph"/>
      </w:pPr>
      <w:r>
        <w:t xml:space="preserve">Una muestra pequeña o conveniente puede crear una falsa confianza.El revisor debe entender a toda la población, seleccionar los elementos utilizando un método defendible, evaluar la calidad de la evidencia, y considerar si las desviaciones identificadas indican un fracaso más amplio.Los métodos de muestreo detallados en este capítulo son prácticas de garantía; no se presentan como una fórmula de muestreo independiente impuesta directamente por la Ley de IA de la UE.</w:t>
      </w:r>
    </w:p>
    <w:bookmarkEnd w:id="1064"/>
    <w:bookmarkStart w:id="1065" w:name="requisitos-de-muestreo"/>
    <w:p>
      <w:pPr>
        <w:pStyle w:val="Heading2"/>
      </w:pPr>
      <w:r>
        <w:rPr>
          <w:rStyle w:val="SectionNumber"/>
        </w:rPr>
        <w:t xml:space="preserve">1.1022</w:t>
      </w:r>
      <w:r>
        <w:tab/>
      </w:r>
      <w:r>
        <w:t xml:space="preserve">Requisitos de muestreo</w:t>
      </w:r>
    </w:p>
    <w:p>
      <w:pPr>
        <w:pStyle w:val="FirstParagraph"/>
      </w:pPr>
      <w:r>
        <w:t xml:space="preserve">La metodología debería abordar:</w:t>
      </w:r>
    </w:p>
    <w:p>
      <w:pPr>
        <w:numPr>
          <w:ilvl w:val="0"/>
          <w:numId w:val="1308"/>
        </w:numPr>
        <w:pStyle w:val="Compact"/>
      </w:pPr>
      <w:r>
        <w:t xml:space="preserve">el objetivo de la auditoría, el deber jurídico, el control y la afirmación que se están probando;</w:t>
      </w:r>
    </w:p>
    <w:p>
      <w:pPr>
        <w:numPr>
          <w:ilvl w:val="0"/>
          <w:numId w:val="1308"/>
        </w:numPr>
        <w:pStyle w:val="Compact"/>
      </w:pPr>
      <w:r>
        <w:t xml:space="preserve">definición, exhaustividad y exactitud de la población;</w:t>
      </w:r>
    </w:p>
    <w:p>
      <w:pPr>
        <w:numPr>
          <w:ilvl w:val="0"/>
          <w:numId w:val="1308"/>
        </w:numPr>
        <w:pStyle w:val="Compact"/>
      </w:pPr>
      <w:r>
        <w:t xml:space="preserve">plazo, sistemas, modelos, versiones, funciones, jurisdicciones, proveedores, incidentes y excepciones conocidas cubiertas;</w:t>
      </w:r>
    </w:p>
    <w:p>
      <w:pPr>
        <w:numPr>
          <w:ilvl w:val="0"/>
          <w:numId w:val="1308"/>
        </w:numPr>
        <w:pStyle w:val="Compact"/>
      </w:pPr>
      <w:r>
        <w:t xml:space="preserve">método de selección basado en el riesgo, estadístico, aleatorio, selectivo o crítico;</w:t>
      </w:r>
    </w:p>
    <w:p>
      <w:pPr>
        <w:numPr>
          <w:ilvl w:val="0"/>
          <w:numId w:val="1308"/>
        </w:numPr>
        <w:pStyle w:val="Compact"/>
      </w:pPr>
      <w:r>
        <w:t xml:space="preserve">tamaño de la muestra y justificación;</w:t>
      </w:r>
    </w:p>
    <w:p>
      <w:pPr>
        <w:numPr>
          <w:ilvl w:val="0"/>
          <w:numId w:val="1308"/>
        </w:numPr>
        <w:pStyle w:val="Compact"/>
      </w:pPr>
      <w:r>
        <w:t xml:space="preserve">inclusión de artículos de alto riesgo, inusuales, fallidos, modificados, anulados, denunciados o relacionados con incidentes;</w:t>
      </w:r>
    </w:p>
    <w:p>
      <w:pPr>
        <w:numPr>
          <w:ilvl w:val="0"/>
          <w:numId w:val="1308"/>
        </w:numPr>
        <w:pStyle w:val="Compact"/>
      </w:pPr>
      <w:r>
        <w:t xml:space="preserve">tratamiento de pruebas desaparecidas, contradictorias, alteradas, inaccesibles o no verificables;</w:t>
      </w:r>
    </w:p>
    <w:p>
      <w:pPr>
        <w:numPr>
          <w:ilvl w:val="0"/>
          <w:numId w:val="1308"/>
        </w:numPr>
        <w:pStyle w:val="Compact"/>
      </w:pPr>
      <w:r>
        <w:t xml:space="preserve">límites de extrapolación y evaluación de las tasas de desviación;</w:t>
      </w:r>
    </w:p>
    <w:p>
      <w:pPr>
        <w:numPr>
          <w:ilvl w:val="0"/>
          <w:numId w:val="1308"/>
        </w:numPr>
        <w:pStyle w:val="Compact"/>
      </w:pPr>
      <w:r>
        <w:t xml:space="preserve">criterios de expansión cuando se detectan fallos o no se puede establecer la fiabilidad de la población;</w:t>
      </w:r>
    </w:p>
    <w:p>
      <w:pPr>
        <w:numPr>
          <w:ilvl w:val="0"/>
          <w:numId w:val="1308"/>
        </w:numPr>
        <w:pStyle w:val="Compact"/>
      </w:pPr>
      <w:r>
        <w:t xml:space="preserve">documentación suficiente para un rendimiento independiente;</w:t>
      </w:r>
    </w:p>
    <w:p>
      <w:pPr>
        <w:numPr>
          <w:ilvl w:val="0"/>
          <w:numId w:val="1308"/>
        </w:numPr>
        <w:pStyle w:val="Compact"/>
      </w:pPr>
      <w:r>
        <w:t xml:space="preserve">conservación de pruebas de origen y vinculación de versiones;</w:t>
      </w:r>
    </w:p>
    <w:p>
      <w:pPr>
        <w:numPr>
          <w:ilvl w:val="0"/>
          <w:numId w:val="1308"/>
        </w:numPr>
        <w:pStyle w:val="Compact"/>
      </w:pPr>
      <w:r>
        <w:t xml:space="preserve">aumento en caso de que la muestra no pueda apoyar la conclusión prevista.</w:t>
      </w:r>
    </w:p>
    <w:bookmarkEnd w:id="1065"/>
    <w:bookmarkStart w:id="1066" w:name="criterios-de-calidad-de-las-pruebas-1"/>
    <w:p>
      <w:pPr>
        <w:pStyle w:val="Heading2"/>
      </w:pPr>
      <w:r>
        <w:rPr>
          <w:rStyle w:val="SectionNumber"/>
        </w:rPr>
        <w:t xml:space="preserve">1.1023</w:t>
      </w:r>
      <w:r>
        <w:tab/>
      </w:r>
      <w:r>
        <w:t xml:space="preserve">Criterios de calidad de las pruebas</w:t>
      </w:r>
    </w:p>
    <w:p>
      <w:pPr>
        <w:pStyle w:val="FirstParagraph"/>
      </w:pPr>
      <w:r>
        <w:t xml:space="preserve">Las pruebas deben evaluarse para determinar la fuente, autenticidad, integridad, fecha, vinculación de versiones, integridad, coherencia, independencia del revisor, pertinencia para el control o declaración legal probada y reproducibilidad. Las pruebas retenidas para fines jurídicos, de conformidad, incidentes, vigilancia o acceso a la autoridad también deben satisfacer los requisitos aplicables de mantenimiento de registros, accesibilidad, retención y confidencialidad.</w:t>
      </w:r>
    </w:p>
    <w:bookmarkEnd w:id="1066"/>
    <w:bookmarkStart w:id="1067" w:name="ejemplo-de-globalway-108"/>
    <w:p>
      <w:pPr>
        <w:pStyle w:val="Heading2"/>
      </w:pPr>
      <w:r>
        <w:rPr>
          <w:rStyle w:val="SectionNumber"/>
        </w:rPr>
        <w:t xml:space="preserve">1.1024</w:t>
      </w:r>
      <w:r>
        <w:tab/>
      </w:r>
      <w:r>
        <w:t xml:space="preserve">Ejemplo de GlobalWay</w:t>
      </w:r>
    </w:p>
    <w:p>
      <w:pPr>
        <w:pStyle w:val="FirstParagraph"/>
      </w:pPr>
      <w:r>
        <w:t xml:space="preserve">La muestra incluye aprobaciones rutinarias, anulaciones, resultados adversos, quejas, diferentes versiones de modelos, múltiples unidades de negocio y decisiones tomadas después de una actualización del proveedor. Cuando dos excepciones revelan que una nueva versión del modelo evitó la regla de escalada aprobada, GlobalWay expande la muestra, preserva los registros relevantes, suspende el flujo de trabajo afectado e inicia acciones correctivas.</w:t>
      </w:r>
    </w:p>
    <w:bookmarkEnd w:id="1067"/>
    <w:bookmarkStart w:id="1068" w:name="actividad-de-control-109"/>
    <w:p>
      <w:pPr>
        <w:pStyle w:val="Heading2"/>
      </w:pPr>
      <w:r>
        <w:rPr>
          <w:rStyle w:val="SectionNumber"/>
        </w:rPr>
        <w:t xml:space="preserve">1.1025</w:t>
      </w:r>
      <w:r>
        <w:tab/>
      </w:r>
      <w:r>
        <w:t xml:space="preserve">Actividad de control</w:t>
      </w:r>
    </w:p>
    <w:p>
      <w:pPr>
        <w:pStyle w:val="FirstParagraph"/>
      </w:pPr>
      <w:r>
        <w:t xml:space="preserve">Los equipos de garantía deben validar las poblaciones antes del muestreo, la lógica de selección de documentos, preservar las pruebas de origen y ampliar las pruebas cuando las excepciones sugieren debilidad sistémica o cuando no se puede establecer la fiabilidad de la población. El muestreo nunca debe utilizarse para evitar la producción de registros que una autoridad competente, un organismo notificado, una autoridad de vigilancia del mercado u otro revisor legalmente autorizado puedan requerir.</w:t>
      </w:r>
    </w:p>
    <w:bookmarkEnd w:id="1068"/>
    <w:bookmarkStart w:id="1069" w:name="pruebas-114"/>
    <w:p>
      <w:pPr>
        <w:pStyle w:val="Heading2"/>
      </w:pPr>
      <w:r>
        <w:rPr>
          <w:rStyle w:val="SectionNumber"/>
        </w:rPr>
        <w:t xml:space="preserve">1.1026</w:t>
      </w:r>
      <w:r>
        <w:tab/>
      </w:r>
      <w:r>
        <w:t xml:space="preserve">Pruebas</w:t>
      </w:r>
    </w:p>
    <w:p>
      <w:pPr>
        <w:numPr>
          <w:ilvl w:val="0"/>
          <w:numId w:val="1309"/>
        </w:numPr>
        <w:pStyle w:val="Compact"/>
      </w:pPr>
      <w:r>
        <w:t xml:space="preserve">definición y validación de la población;</w:t>
      </w:r>
    </w:p>
    <w:p>
      <w:pPr>
        <w:numPr>
          <w:ilvl w:val="0"/>
          <w:numId w:val="1309"/>
        </w:numPr>
        <w:pStyle w:val="Compact"/>
      </w:pPr>
      <w:r>
        <w:t xml:space="preserve">plan de muestreo y justificación;</w:t>
      </w:r>
    </w:p>
    <w:p>
      <w:pPr>
        <w:numPr>
          <w:ilvl w:val="0"/>
          <w:numId w:val="1309"/>
        </w:numPr>
        <w:pStyle w:val="Compact"/>
      </w:pPr>
      <w:r>
        <w:t xml:space="preserve">lista de elementos seleccionados;</w:t>
      </w:r>
    </w:p>
    <w:p>
      <w:pPr>
        <w:numPr>
          <w:ilvl w:val="0"/>
          <w:numId w:val="1309"/>
        </w:numPr>
        <w:pStyle w:val="Compact"/>
      </w:pPr>
      <w:r>
        <w:t xml:space="preserve">pruebas de origen y controles de integridad;</w:t>
      </w:r>
    </w:p>
    <w:p>
      <w:pPr>
        <w:numPr>
          <w:ilvl w:val="0"/>
          <w:numId w:val="1309"/>
        </w:numPr>
        <w:pStyle w:val="Compact"/>
      </w:pPr>
      <w:r>
        <w:t xml:space="preserve">versión y enlace de liberación;</w:t>
      </w:r>
    </w:p>
    <w:p>
      <w:pPr>
        <w:numPr>
          <w:ilvl w:val="0"/>
          <w:numId w:val="1309"/>
        </w:numPr>
        <w:pStyle w:val="Compact"/>
      </w:pPr>
      <w:r>
        <w:t xml:space="preserve">la excepción y el análisis de la causa raíz;</w:t>
      </w:r>
    </w:p>
    <w:p>
      <w:pPr>
        <w:numPr>
          <w:ilvl w:val="0"/>
          <w:numId w:val="1309"/>
        </w:numPr>
        <w:pStyle w:val="Compact"/>
      </w:pPr>
      <w:r>
        <w:t xml:space="preserve">ensayos ampliados cuando sea necesario;</w:t>
      </w:r>
    </w:p>
    <w:p>
      <w:pPr>
        <w:numPr>
          <w:ilvl w:val="0"/>
          <w:numId w:val="1309"/>
        </w:numPr>
        <w:pStyle w:val="Compact"/>
      </w:pPr>
      <w:r>
        <w:t xml:space="preserve">conclusión y firma del revisor;</w:t>
      </w:r>
    </w:p>
    <w:p>
      <w:pPr>
        <w:numPr>
          <w:ilvl w:val="0"/>
          <w:numId w:val="1309"/>
        </w:numPr>
        <w:pStyle w:val="Compact"/>
      </w:pPr>
      <w:r>
        <w:t xml:space="preserve">examen de la calidad de los documentos de trabajo;</w:t>
      </w:r>
    </w:p>
    <w:p>
      <w:pPr>
        <w:numPr>
          <w:ilvl w:val="0"/>
          <w:numId w:val="1309"/>
        </w:numPr>
        <w:pStyle w:val="Compact"/>
      </w:pPr>
      <w:r>
        <w:t xml:space="preserve">Registros de escalada y medidas correctivas.</w:t>
      </w:r>
    </w:p>
    <w:bookmarkEnd w:id="1069"/>
    <w:bookmarkStart w:id="1070" w:name="prueba-de-auditoría-110"/>
    <w:p>
      <w:pPr>
        <w:pStyle w:val="Heading2"/>
      </w:pPr>
      <w:r>
        <w:rPr>
          <w:rStyle w:val="SectionNumber"/>
        </w:rPr>
        <w:t xml:space="preserve">1.1027</w:t>
      </w:r>
      <w:r>
        <w:tab/>
      </w:r>
      <w:r>
        <w:t xml:space="preserve">Prueba de auditoría</w:t>
      </w:r>
    </w:p>
    <w:p>
      <w:pPr>
        <w:pStyle w:val="FirstParagraph"/>
      </w:pPr>
      <w:r>
        <w:t xml:space="preserve">Inspeccione un compromiso de garantía basado en muestras. Confirme que la población estaba completa, que el método de selección coincidía con el riesgo y el objetivo, que la evidencia era fiable y vinculada a la versión, que las excepciones se evaluaban y ampliaban adecuadamente, que las conclusiones no superaban las pruebas y que la metodología no limitaba el acceso a los registros legalmente requerido.</w:t>
      </w:r>
    </w:p>
    <w:bookmarkEnd w:id="1070"/>
    <w:bookmarkStart w:id="1071" w:name="referencias-jurídicas-primarias-83"/>
    <w:p>
      <w:pPr>
        <w:pStyle w:val="Heading2"/>
      </w:pPr>
      <w:r>
        <w:rPr>
          <w:rStyle w:val="SectionNumber"/>
        </w:rPr>
        <w:t xml:space="preserve">1.1028</w:t>
      </w:r>
      <w:r>
        <w:tab/>
      </w:r>
      <w:r>
        <w:t xml:space="preserve">Referencias jurídicas primarias</w:t>
      </w:r>
    </w:p>
    <w:p>
      <w:pPr>
        <w:numPr>
          <w:ilvl w:val="0"/>
          <w:numId w:val="1310"/>
        </w:numPr>
        <w:pStyle w:val="Compact"/>
      </w:pPr>
      <w:r>
        <w:t xml:space="preserve">Reglamento (UE) 2024/1689, en su versión modificada, incluidos los artículos 11, 12, 17, 18, 19, 43, 72, 74, 78 y 79, y el anexo IV, en su versión aplicable al actor, sistema, actividad de garantía y activación legal.</w:t>
      </w:r>
    </w:p>
    <w:p>
      <w:pPr>
        <w:numPr>
          <w:ilvl w:val="0"/>
          <w:numId w:val="1310"/>
        </w:numPr>
        <w:pStyle w:val="Compact"/>
      </w:pPr>
      <w:r>
        <w:t xml:space="preserve">Reglamento (UE) 2026/1744, cuando sus modificaciones afecten a las obligaciones, fechas o procedimientos aplicables de la Ley de IA.</w:t>
      </w:r>
    </w:p>
    <w:p>
      <w:pPr>
        <w:numPr>
          <w:ilvl w:val="0"/>
          <w:numId w:val="1310"/>
        </w:numPr>
        <w:pStyle w:val="Compact"/>
      </w:pPr>
      <w:r>
        <w:t xml:space="preserve">Evaluación de la conformidad aplicable, organismo notificado, vigilancia del mercado, autoridad competente, privacidad, ciberseguridad, seguridad de los productos, empleo, protección de los consumidores y requisitos específicos del sector.</w:t>
      </w:r>
    </w:p>
    <w:p>
      <w:pPr>
        <w:numPr>
          <w:ilvl w:val="0"/>
          <w:numId w:val="1310"/>
        </w:numPr>
        <w:pStyle w:val="Compact"/>
      </w:pPr>
      <w:r>
        <w:t xml:space="preserve">La metodología de muestreo de este capítulo es una práctica de garantía y no es una fórmula de muestreo legal independiente prescrita por la Ley de IA.</w:t>
      </w:r>
    </w:p>
    <w:p>
      <w:pPr>
        <w:numPr>
          <w:ilvl w:val="0"/>
          <w:numId w:val="1310"/>
        </w:numPr>
        <w:pStyle w:val="Compact"/>
      </w:pPr>
      <w:r>
        <w:t xml:space="preserve">Los actuales controles consolidados de texto EUR-Lex sobre resúmenes y borradores antiguos.</w:t>
      </w:r>
    </w:p>
    <w:bookmarkEnd w:id="1071"/>
    <w:bookmarkStart w:id="1072" w:name="capítulo-116-validación-técnica"/>
    <w:p>
      <w:pPr>
        <w:pStyle w:val="Heading2"/>
      </w:pPr>
      <w:r>
        <w:rPr>
          <w:rStyle w:val="SectionNumber"/>
        </w:rPr>
        <w:t xml:space="preserve">1.1029</w:t>
      </w:r>
      <w:r>
        <w:tab/>
      </w:r>
      <w:r>
        <w:t xml:space="preserve">Capítulo 116 — Validación técnica</w:t>
      </w:r>
    </w:p>
    <w:p>
      <w:pPr>
        <w:pStyle w:val="BlockText"/>
      </w:pPr>
      <w:r>
        <w:rPr>
          <w:bCs/>
          <w:b/>
        </w:rPr>
        <w:t xml:space="preserve">Estatus legal:</w:t>
      </w:r>
      <w:r>
        <w:t xml:space="preserve"> </w:t>
      </w:r>
      <w:r>
        <w:t xml:space="preserve">Corregido Maestro Inglés para la consolidación. Este archivo controla el lenguaje de borrador del Capítulo 116 anterior en conflicto.</w:t>
      </w:r>
    </w:p>
    <w:bookmarkEnd w:id="1072"/>
    <w:bookmarkStart w:id="1073" w:name="requisito-114"/>
    <w:p>
      <w:pPr>
        <w:pStyle w:val="Heading2"/>
      </w:pPr>
      <w:r>
        <w:rPr>
          <w:rStyle w:val="SectionNumber"/>
        </w:rPr>
        <w:t xml:space="preserve">1.1030</w:t>
      </w:r>
      <w:r>
        <w:tab/>
      </w:r>
      <w:r>
        <w:t xml:space="preserve">Requisito</w:t>
      </w:r>
    </w:p>
    <w:p>
      <w:pPr>
        <w:pStyle w:val="FirstParagraph"/>
      </w:pPr>
      <w:r>
        <w:t xml:space="preserve">Los proveedores de sistemas de IA de alto riesgo deben establecer y documentar la validación y las pruebas adecuadas al propósito y los riesgos previstos del sistema, incluida la información requerida por el artículo 11 y el anexo IV y los requisitos de rendimiento, robustez, seguridad cibernética y supervisión humana aplicables al sistema. Otras organizaciones que desarrollen, adquieran, integren o desplieguen sistemas de IA de materiales deben aplicar una validación técnica proporcionada antes de la liberación y después del cambio de material para que puedan demostrar que la configuración de producción opera dentro de los límites aprobados y que pueden cumplir sus propias obligaciones legales y operativas.</w:t>
      </w:r>
    </w:p>
    <w:bookmarkEnd w:id="1073"/>
    <w:bookmarkStart w:id="1074" w:name="explicación-en-lenguaje-sencillo-111"/>
    <w:p>
      <w:pPr>
        <w:pStyle w:val="Heading2"/>
      </w:pPr>
      <w:r>
        <w:rPr>
          <w:rStyle w:val="SectionNumber"/>
        </w:rPr>
        <w:t xml:space="preserve">1.1031</w:t>
      </w:r>
      <w:r>
        <w:tab/>
      </w:r>
      <w:r>
        <w:t xml:space="preserve">Explicación en lenguaje sencillo</w:t>
      </w:r>
    </w:p>
    <w:p>
      <w:pPr>
        <w:pStyle w:val="FirstParagraph"/>
      </w:pPr>
      <w:r>
        <w:t xml:space="preserve">La Ley de IA de la UE no impone un procedimiento de validación universal a todos los sistemas y actores de IA. El deber exacto depende de la clasificación y el papel. Para los sistemas de IA de alto riesgo, los proveedores deben mantener la gestión de riesgos, documentación técnica, pruebas, precisión, robustez, seguridad cibernética y pruebas de gestión de calidad. Los empleados y otros agentes de la cadena de valor necesitan pruebas de validación suficientes para utilizar el sistema de acuerdo con las instrucciones, ejercer supervisión, supervisar el funcionamiento y reevaluar los cambios.</w:t>
      </w:r>
    </w:p>
    <w:bookmarkEnd w:id="1074"/>
    <w:bookmarkStart w:id="1075" w:name="requisitos-de-validación"/>
    <w:p>
      <w:pPr>
        <w:pStyle w:val="Heading2"/>
      </w:pPr>
      <w:r>
        <w:rPr>
          <w:rStyle w:val="SectionNumber"/>
        </w:rPr>
        <w:t xml:space="preserve">1.1032</w:t>
      </w:r>
      <w:r>
        <w:tab/>
      </w:r>
      <w:r>
        <w:t xml:space="preserve">Requisitos de validación</w:t>
      </w:r>
    </w:p>
    <w:p>
      <w:pPr>
        <w:pStyle w:val="FirstParagraph"/>
      </w:pPr>
      <w:r>
        <w:t xml:space="preserve">El plan de validación debe abordar, según proceda:</w:t>
      </w:r>
    </w:p>
    <w:p>
      <w:pPr>
        <w:numPr>
          <w:ilvl w:val="0"/>
          <w:numId w:val="1311"/>
        </w:numPr>
        <w:pStyle w:val="Compact"/>
      </w:pPr>
      <w:r>
        <w:t xml:space="preserve">el agente regulado, la clasificación, la finalidad prevista y la activación legal;</w:t>
      </w:r>
    </w:p>
    <w:p>
      <w:pPr>
        <w:numPr>
          <w:ilvl w:val="0"/>
          <w:numId w:val="1311"/>
        </w:numPr>
        <w:pStyle w:val="Compact"/>
      </w:pPr>
      <w:r>
        <w:t xml:space="preserve">sistema, modelo, datos, prompt, herramienta, software, firmware y versión de configuración;</w:t>
      </w:r>
    </w:p>
    <w:p>
      <w:pPr>
        <w:numPr>
          <w:ilvl w:val="0"/>
          <w:numId w:val="1311"/>
        </w:numPr>
        <w:pStyle w:val="Compact"/>
      </w:pPr>
      <w:r>
        <w:t xml:space="preserve">uso indebido previsible y condiciones de funcionamiento razonablemente previsibles;</w:t>
      </w:r>
    </w:p>
    <w:p>
      <w:pPr>
        <w:numPr>
          <w:ilvl w:val="0"/>
          <w:numId w:val="1311"/>
        </w:numPr>
        <w:pStyle w:val="Compact"/>
      </w:pPr>
      <w:r>
        <w:t xml:space="preserve">precisión, robustez, fiabilidad, consistencia y límites de error;</w:t>
      </w:r>
    </w:p>
    <w:p>
      <w:pPr>
        <w:numPr>
          <w:ilvl w:val="0"/>
          <w:numId w:val="1311"/>
        </w:numPr>
        <w:pStyle w:val="Compact"/>
      </w:pPr>
      <w:r>
        <w:t xml:space="preserve">datos de ensayo representativos y adecuados al contexto y métricas de rendimiento;</w:t>
      </w:r>
    </w:p>
    <w:p>
      <w:pPr>
        <w:numPr>
          <w:ilvl w:val="0"/>
          <w:numId w:val="1311"/>
        </w:numPr>
        <w:pStyle w:val="Compact"/>
      </w:pPr>
      <w:r>
        <w:t xml:space="preserve">subgrupo, accesibilidad y rendimiento específico para cada contexto, cuando proceda;</w:t>
      </w:r>
    </w:p>
    <w:p>
      <w:pPr>
        <w:numPr>
          <w:ilvl w:val="0"/>
          <w:numId w:val="1311"/>
        </w:numPr>
        <w:pStyle w:val="Compact"/>
      </w:pPr>
      <w:r>
        <w:t xml:space="preserve">control de la supervisón humana, anulación, parada, escalada y seguridad;</w:t>
      </w:r>
    </w:p>
    <w:p>
      <w:pPr>
        <w:numPr>
          <w:ilvl w:val="0"/>
          <w:numId w:val="1311"/>
        </w:numPr>
        <w:pStyle w:val="Compact"/>
      </w:pPr>
      <w:r>
        <w:t xml:space="preserve">seguridad cibernética, abuso, fugas, manipulación y resistencia a la dependencia;</w:t>
      </w:r>
    </w:p>
    <w:p>
      <w:pPr>
        <w:numPr>
          <w:ilvl w:val="0"/>
          <w:numId w:val="1311"/>
        </w:numPr>
        <w:pStyle w:val="Compact"/>
      </w:pPr>
      <w:r>
        <w:t xml:space="preserve">registro, trazabilidad, seguimiento, captura de pruebas y vinculación de versiones;</w:t>
      </w:r>
    </w:p>
    <w:p>
      <w:pPr>
        <w:numPr>
          <w:ilvl w:val="0"/>
          <w:numId w:val="1311"/>
        </w:numPr>
        <w:pStyle w:val="Compact"/>
      </w:pPr>
      <w:r>
        <w:t xml:space="preserve">integración, latencia, disponibilidad, failover y comportamiento en modo degradado;</w:t>
      </w:r>
    </w:p>
    <w:p>
      <w:pPr>
        <w:numPr>
          <w:ilvl w:val="0"/>
          <w:numId w:val="1311"/>
        </w:numPr>
        <w:pStyle w:val="Compact"/>
      </w:pPr>
      <w:r>
        <w:t xml:space="preserve">criterios de aceptación, limitaciones no resueltas, medidas correctivas y riesgo residual;</w:t>
      </w:r>
    </w:p>
    <w:p>
      <w:pPr>
        <w:numPr>
          <w:ilvl w:val="0"/>
          <w:numId w:val="1311"/>
        </w:numPr>
        <w:pStyle w:val="Compact"/>
      </w:pPr>
      <w:r>
        <w:t xml:space="preserve">revisión independiente y decisión de liberación autorizada.</w:t>
      </w:r>
    </w:p>
    <w:bookmarkEnd w:id="1075"/>
    <w:bookmarkStart w:id="1076" w:name="ejemplo-de-globalway-109"/>
    <w:p>
      <w:pPr>
        <w:pStyle w:val="Heading2"/>
      </w:pPr>
      <w:r>
        <w:rPr>
          <w:rStyle w:val="SectionNumber"/>
        </w:rPr>
        <w:t xml:space="preserve">1.1033</w:t>
      </w:r>
      <w:r>
        <w:tab/>
      </w:r>
      <w:r>
        <w:t xml:space="preserve">Ejemplo de GlobalWay</w:t>
      </w:r>
    </w:p>
    <w:p>
      <w:pPr>
        <w:pStyle w:val="FirstParagraph"/>
      </w:pPr>
      <w:r>
        <w:t xml:space="preserve">GlobalWay valida un sistema de recomendaciones de interrupción de viajes utilizando datos equivalentes a la producción, condiciones de red degradadas, itinerarios inusuales, entradas multilingües, escenarios de sobrecarga humana y simulaciones de falla del proveedor. Registra los roles del proveedor y el implementador, la versión de producción probada, instrucciones aplicables, limitaciones, criterios de aceptación, desviaciones sin resolver y la base para la liberación.</w:t>
      </w:r>
    </w:p>
    <w:bookmarkEnd w:id="1076"/>
    <w:bookmarkStart w:id="1077" w:name="actividad-de-control-110"/>
    <w:p>
      <w:pPr>
        <w:pStyle w:val="Heading2"/>
      </w:pPr>
      <w:r>
        <w:rPr>
          <w:rStyle w:val="SectionNumber"/>
        </w:rPr>
        <w:t xml:space="preserve">1.1034</w:t>
      </w:r>
      <w:r>
        <w:tab/>
      </w:r>
      <w:r>
        <w:t xml:space="preserve">Actividad de control</w:t>
      </w:r>
    </w:p>
    <w:p>
      <w:pPr>
        <w:pStyle w:val="FirstParagraph"/>
      </w:pPr>
      <w:r>
        <w:t xml:space="preserve">Un sistema de IA de alto riesgo no debe ser liberado por su proveedor hasta que se cumplan los requisitos aplicables de gestión de riesgos, documentación, pruebas, conformidad y gestión de calidad. GlobalWay no debe poner en producción ningún sistema de IA de material hasta que haya obtenido y evaluado pruebas de validación suficientes para su papel real, uso previsto, responsabilidades de supervisión y riesgo.</w:t>
      </w:r>
    </w:p>
    <w:bookmarkEnd w:id="1077"/>
    <w:bookmarkStart w:id="1078" w:name="pruebas-115"/>
    <w:p>
      <w:pPr>
        <w:pStyle w:val="Heading2"/>
      </w:pPr>
      <w:r>
        <w:rPr>
          <w:rStyle w:val="SectionNumber"/>
        </w:rPr>
        <w:t xml:space="preserve">1.1035</w:t>
      </w:r>
      <w:r>
        <w:tab/>
      </w:r>
      <w:r>
        <w:t xml:space="preserve">Pruebas</w:t>
      </w:r>
    </w:p>
    <w:p>
      <w:pPr>
        <w:numPr>
          <w:ilvl w:val="0"/>
          <w:numId w:val="1312"/>
        </w:numPr>
        <w:pStyle w:val="Compact"/>
      </w:pPr>
      <w:r>
        <w:t xml:space="preserve">evaluación de las funciones jurídicas y de clasificación;</w:t>
      </w:r>
    </w:p>
    <w:p>
      <w:pPr>
        <w:numPr>
          <w:ilvl w:val="0"/>
          <w:numId w:val="1312"/>
        </w:numPr>
        <w:pStyle w:val="Compact"/>
      </w:pPr>
      <w:r>
        <w:t xml:space="preserve">plan de validación aprobado;</w:t>
      </w:r>
    </w:p>
    <w:p>
      <w:pPr>
        <w:numPr>
          <w:ilvl w:val="0"/>
          <w:numId w:val="1312"/>
        </w:numPr>
        <w:pStyle w:val="Compact"/>
      </w:pPr>
      <w:r>
        <w:t xml:space="preserve">versión y registro de configuración;</w:t>
      </w:r>
    </w:p>
    <w:p>
      <w:pPr>
        <w:numPr>
          <w:ilvl w:val="0"/>
          <w:numId w:val="1312"/>
        </w:numPr>
        <w:pStyle w:val="Compact"/>
      </w:pPr>
      <w:r>
        <w:t xml:space="preserve">datos de ensayo, justificación de la representatividad y descripción del entorno;</w:t>
      </w:r>
    </w:p>
    <w:p>
      <w:pPr>
        <w:numPr>
          <w:ilvl w:val="0"/>
          <w:numId w:val="1312"/>
        </w:numPr>
        <w:pStyle w:val="Compact"/>
      </w:pPr>
      <w:r>
        <w:t xml:space="preserve">métricas, resultados de las pruebas, registros y registros de defectos;</w:t>
      </w:r>
    </w:p>
    <w:p>
      <w:pPr>
        <w:numPr>
          <w:ilvl w:val="0"/>
          <w:numId w:val="1312"/>
        </w:numPr>
        <w:pStyle w:val="Compact"/>
      </w:pPr>
      <w:r>
        <w:t xml:space="preserve">criterios de aceptación, limitaciones y excepciones;</w:t>
      </w:r>
    </w:p>
    <w:p>
      <w:pPr>
        <w:numPr>
          <w:ilvl w:val="0"/>
          <w:numId w:val="1312"/>
        </w:numPr>
        <w:pStyle w:val="Compact"/>
      </w:pPr>
      <w:r>
        <w:t xml:space="preserve">el examen y la aprobación independientes;</w:t>
      </w:r>
    </w:p>
    <w:p>
      <w:pPr>
        <w:numPr>
          <w:ilvl w:val="0"/>
          <w:numId w:val="1312"/>
        </w:numPr>
        <w:pStyle w:val="Compact"/>
      </w:pPr>
      <w:r>
        <w:t xml:space="preserve">las pruebas de conformidad y liberación, cuando proceda;</w:t>
      </w:r>
    </w:p>
    <w:p>
      <w:pPr>
        <w:numPr>
          <w:ilvl w:val="0"/>
          <w:numId w:val="1312"/>
        </w:numPr>
        <w:pStyle w:val="Compact"/>
      </w:pPr>
      <w:r>
        <w:t xml:space="preserve">registros de seguimiento y revalidación posteriores a la liberación.</w:t>
      </w:r>
    </w:p>
    <w:bookmarkEnd w:id="1078"/>
    <w:bookmarkStart w:id="1079" w:name="prueba-de-auditoría-111"/>
    <w:p>
      <w:pPr>
        <w:pStyle w:val="Heading2"/>
      </w:pPr>
      <w:r>
        <w:rPr>
          <w:rStyle w:val="SectionNumber"/>
        </w:rPr>
        <w:t xml:space="preserve">1.1036</w:t>
      </w:r>
      <w:r>
        <w:tab/>
      </w:r>
      <w:r>
        <w:t xml:space="preserve">Prueba de auditoría</w:t>
      </w:r>
    </w:p>
    <w:p>
      <w:pPr>
        <w:pStyle w:val="FirstParagraph"/>
      </w:pPr>
      <w:r>
        <w:t xml:space="preserve">Confirme que la validación abarcó la versión de producción real, coincidió con el actor y la clasificación, utilizó datos y métricas apropiados, probó los riesgos legales y operativos pertinentes, las limitaciones y desviaciones documentadas, y vinculó los resultados a las decisiones de conformidad, liberación, monitoreo y reevaluación, según proceda.</w:t>
      </w:r>
    </w:p>
    <w:bookmarkEnd w:id="1079"/>
    <w:bookmarkStart w:id="1080" w:name="referencias-jurídicas-primarias-84"/>
    <w:p>
      <w:pPr>
        <w:pStyle w:val="Heading2"/>
      </w:pPr>
      <w:r>
        <w:rPr>
          <w:rStyle w:val="SectionNumber"/>
        </w:rPr>
        <w:t xml:space="preserve">1.1037</w:t>
      </w:r>
      <w:r>
        <w:tab/>
      </w:r>
      <w:r>
        <w:t xml:space="preserve">Referencias jurídicas primarias</w:t>
      </w:r>
    </w:p>
    <w:p>
      <w:pPr>
        <w:numPr>
          <w:ilvl w:val="0"/>
          <w:numId w:val="1313"/>
        </w:numPr>
        <w:pStyle w:val="Compact"/>
      </w:pPr>
      <w:r>
        <w:t xml:space="preserve">Reglamento (UE) 2024/1689, modificado, incluidos los artículos 9 a 15, 16 a 18, 26, 43, 72 y el anexo IV, según proceda.</w:t>
      </w:r>
    </w:p>
    <w:p>
      <w:pPr>
        <w:numPr>
          <w:ilvl w:val="0"/>
          <w:numId w:val="1313"/>
        </w:numPr>
        <w:pStyle w:val="Compact"/>
      </w:pPr>
      <w:r>
        <w:t xml:space="preserve">Reglamento (UE) 2026/1744, cuando sus modificaciones afecten a los requisitos, fechas de aplicación o procedimientos pertinentes.</w:t>
      </w:r>
    </w:p>
    <w:p>
      <w:pPr>
        <w:numPr>
          <w:ilvl w:val="0"/>
          <w:numId w:val="1313"/>
        </w:numPr>
        <w:pStyle w:val="Compact"/>
      </w:pPr>
      <w:r>
        <w:t xml:space="preserve">Normas armonizadas aplicables y especificaciones comunes, cuando estén legalmente disponibles y sean pertinentes; de lo contrario, no deben describirse como leyes vinculantes simplemente porque son referencias de validación útiles.</w:t>
      </w:r>
    </w:p>
    <w:p>
      <w:pPr>
        <w:numPr>
          <w:ilvl w:val="0"/>
          <w:numId w:val="1313"/>
        </w:numPr>
        <w:pStyle w:val="Compact"/>
      </w:pPr>
      <w:r>
        <w:t xml:space="preserve">Los actuales controles consolidados de texto EUR-Lex sobre resúmenes y borradores antiguos.</w:t>
      </w:r>
    </w:p>
    <w:bookmarkEnd w:id="1080"/>
    <w:bookmarkStart w:id="1081" w:name="X350f552de2d45f0d0c11c53fe29abd43e3cf1ff"/>
    <w:p>
      <w:pPr>
        <w:pStyle w:val="Heading2"/>
      </w:pPr>
      <w:r>
        <w:rPr>
          <w:rStyle w:val="SectionNumber"/>
        </w:rPr>
        <w:t xml:space="preserve">1.1038</w:t>
      </w:r>
      <w:r>
        <w:tab/>
      </w:r>
      <w:r>
        <w:t xml:space="preserve">Capítulo 117 — Ensayos de sesgo, supervisión y transparencia</w:t>
      </w:r>
    </w:p>
    <w:p>
      <w:pPr>
        <w:pStyle w:val="BlockText"/>
      </w:pPr>
      <w:r>
        <w:rPr>
          <w:bCs/>
          <w:b/>
        </w:rPr>
        <w:t xml:space="preserve">Estatus legal:</w:t>
      </w:r>
      <w:r>
        <w:t xml:space="preserve"> </w:t>
      </w:r>
      <w:r>
        <w:t xml:space="preserve">Corregido Maestro de inglés para la consolidación. Este archivo controla el lenguaje de borrador anterior del Capítulo 117.</w:t>
      </w:r>
    </w:p>
    <w:bookmarkEnd w:id="1081"/>
    <w:bookmarkStart w:id="1082" w:name="requisito-115"/>
    <w:p>
      <w:pPr>
        <w:pStyle w:val="Heading2"/>
      </w:pPr>
      <w:r>
        <w:rPr>
          <w:rStyle w:val="SectionNumber"/>
        </w:rPr>
        <w:t xml:space="preserve">1.1039</w:t>
      </w:r>
      <w:r>
        <w:tab/>
      </w:r>
      <w:r>
        <w:t xml:space="preserve">Requisito</w:t>
      </w:r>
    </w:p>
    <w:p>
      <w:pPr>
        <w:pStyle w:val="FirstParagraph"/>
      </w:pPr>
      <w:r>
        <w:t xml:space="preserve">Las organizaciones deben probar el sesgo, la supervisión humana y la transparencia en la medida requerida por su función legal, la clasificación del sistema de IA, el propósito previsto, las personas afectadas y la ley aplicable. Los proveedores de sistemas de IA de alto riesgo deben abordar la gobernanza de datos, la gestión de riesgos, la exactitud, la supervisión humana, la transparencia y las obligaciones de documentación técnica. Los empleados deben operar los sistemas de acuerdo con las instrucciones, asignar supervisión humana competente, supervisar el uso, conservar registros pertinentes cuando proceda, y cumplir con cualquier obligación de transparencia, derechos fundamentales, empleo, igualdad, accesibilidad, protección del consumidor y protección de datos que se aplique al caso de uso.</w:t>
      </w:r>
    </w:p>
    <w:bookmarkEnd w:id="1082"/>
    <w:bookmarkStart w:id="1083" w:name="explicación-en-lenguaje-sencillo-112"/>
    <w:p>
      <w:pPr>
        <w:pStyle w:val="Heading2"/>
      </w:pPr>
      <w:r>
        <w:rPr>
          <w:rStyle w:val="SectionNumber"/>
        </w:rPr>
        <w:t xml:space="preserve">1.1040</w:t>
      </w:r>
      <w:r>
        <w:tab/>
      </w:r>
      <w:r>
        <w:t xml:space="preserve">Explicación en lenguaje sencillo</w:t>
      </w:r>
    </w:p>
    <w:p>
      <w:pPr>
        <w:pStyle w:val="FirstParagraph"/>
      </w:pPr>
      <w:r>
        <w:t xml:space="preserve">La Ley de IA de la UE no crea una única</w:t>
      </w:r>
      <w:r>
        <w:t xml:space="preserve"> </w:t>
      </w:r>
      <w:r>
        <w:t xml:space="preserve">“</w:t>
      </w:r>
      <w:r>
        <w:t xml:space="preserve">prueba de imparcialidad</w:t>
      </w:r>
      <w:r>
        <w:t xml:space="preserve">”</w:t>
      </w:r>
      <w:r>
        <w:t xml:space="preserve"> </w:t>
      </w:r>
      <w:r>
        <w:t xml:space="preserve">universal para cada sistema de IA. Requiere diferentes controles según el actor y el riesgo. Un sistema puede parecer exacto en general mientras funciona mal para determinados grupos o contextos. La revisión humana puede existir en el papel, pero falla porque los revisores carecen de tiempo, autoridad, información, competencia o capacidad práctica para intervenir. La transparencia también puede fallar si los avisos son inexactos, tardíos, inaccesibles o incompatibles con el comportamiento real del sistema.</w:t>
      </w:r>
    </w:p>
    <w:bookmarkEnd w:id="1083"/>
    <w:bookmarkStart w:id="1084" w:name="requisitos-de-ensayo-2"/>
    <w:p>
      <w:pPr>
        <w:pStyle w:val="Heading2"/>
      </w:pPr>
      <w:r>
        <w:rPr>
          <w:rStyle w:val="SectionNumber"/>
        </w:rPr>
        <w:t xml:space="preserve">1.1041</w:t>
      </w:r>
      <w:r>
        <w:tab/>
      </w:r>
      <w:r>
        <w:t xml:space="preserve">Requisitos de ensayo</w:t>
      </w:r>
    </w:p>
    <w:p>
      <w:pPr>
        <w:pStyle w:val="FirstParagraph"/>
      </w:pPr>
      <w:r>
        <w:t xml:space="preserve">Ensayo, según proceda:</w:t>
      </w:r>
    </w:p>
    <w:p>
      <w:pPr>
        <w:numPr>
          <w:ilvl w:val="0"/>
          <w:numId w:val="1314"/>
        </w:numPr>
        <w:pStyle w:val="Compact"/>
      </w:pPr>
      <w:r>
        <w:t xml:space="preserve">el actor, la clasificación, la finalidad prevista, la población y el desencadenante legal;</w:t>
      </w:r>
    </w:p>
    <w:p>
      <w:pPr>
        <w:numPr>
          <w:ilvl w:val="0"/>
          <w:numId w:val="1314"/>
        </w:numPr>
        <w:pStyle w:val="Compact"/>
      </w:pPr>
      <w:r>
        <w:t xml:space="preserve">pertinencia, representatividad, exhaustividad e idoneidad de los datos y las poblaciones de ensayo;</w:t>
      </w:r>
    </w:p>
    <w:p>
      <w:pPr>
        <w:numPr>
          <w:ilvl w:val="0"/>
          <w:numId w:val="1314"/>
        </w:numPr>
        <w:pStyle w:val="Compact"/>
      </w:pPr>
      <w:r>
        <w:t xml:space="preserve">resultados globales y de subgrupos, distribución de errores y fracasos específicos del contexto;</w:t>
      </w:r>
    </w:p>
    <w:p>
      <w:pPr>
        <w:numPr>
          <w:ilvl w:val="0"/>
          <w:numId w:val="1314"/>
        </w:numPr>
        <w:pStyle w:val="Compact"/>
      </w:pPr>
      <w:r>
        <w:t xml:space="preserve">variables indirectas, discriminación indirecta, barreras de accesibilidad e impacto dispar previsible;</w:t>
      </w:r>
    </w:p>
    <w:p>
      <w:pPr>
        <w:numPr>
          <w:ilvl w:val="0"/>
          <w:numId w:val="1314"/>
        </w:numPr>
        <w:pStyle w:val="Compact"/>
      </w:pPr>
      <w:r>
        <w:t xml:space="preserve">competencia del revisor, carga de trabajo, información, autoridad, sesgo de automatización y conflictos;</w:t>
      </w:r>
    </w:p>
    <w:p>
      <w:pPr>
        <w:numPr>
          <w:ilvl w:val="0"/>
          <w:numId w:val="1314"/>
        </w:numPr>
        <w:pStyle w:val="Compact"/>
      </w:pPr>
      <w:r>
        <w:t xml:space="preserve">la anulación, la escalada, la detención, la apelación, la impugnabilidad y los mecanismos de seguridad;</w:t>
      </w:r>
    </w:p>
    <w:p>
      <w:pPr>
        <w:numPr>
          <w:ilvl w:val="0"/>
          <w:numId w:val="1314"/>
        </w:numPr>
        <w:pStyle w:val="Compact"/>
      </w:pPr>
      <w:r>
        <w:t xml:space="preserve">tiempo de divulgación, redacción, idioma, accesibilidad y canal de entrega;</w:t>
      </w:r>
    </w:p>
    <w:p>
      <w:pPr>
        <w:numPr>
          <w:ilvl w:val="0"/>
          <w:numId w:val="1314"/>
        </w:numPr>
        <w:pStyle w:val="Compact"/>
      </w:pPr>
      <w:r>
        <w:t xml:space="preserve">coherencia entre los avisos, las instrucciones de uso, la documentación técnica, el funcionamiento real y los registros;</w:t>
      </w:r>
    </w:p>
    <w:p>
      <w:pPr>
        <w:numPr>
          <w:ilvl w:val="0"/>
          <w:numId w:val="1314"/>
        </w:numPr>
        <w:pStyle w:val="Compact"/>
      </w:pPr>
      <w:r>
        <w:t xml:space="preserve">limitaciones materiales, uso indebido previsible y usos no justificados;</w:t>
      </w:r>
    </w:p>
    <w:p>
      <w:pPr>
        <w:numPr>
          <w:ilvl w:val="0"/>
          <w:numId w:val="1314"/>
        </w:numPr>
        <w:pStyle w:val="Compact"/>
      </w:pPr>
      <w:r>
        <w:t xml:space="preserve">rehabilitación, repruebas, tratamiento de riesgo residual y decisiones de liberación o uso continuado.</w:t>
      </w:r>
    </w:p>
    <w:bookmarkEnd w:id="1084"/>
    <w:bookmarkStart w:id="1085" w:name="ejemplo-de-globalway-110"/>
    <w:p>
      <w:pPr>
        <w:pStyle w:val="Heading2"/>
      </w:pPr>
      <w:r>
        <w:rPr>
          <w:rStyle w:val="SectionNumber"/>
        </w:rPr>
        <w:t xml:space="preserve">1.1042</w:t>
      </w:r>
      <w:r>
        <w:tab/>
      </w:r>
      <w:r>
        <w:t xml:space="preserve">Ejemplo de GlobalWay</w:t>
      </w:r>
    </w:p>
    <w:p>
      <w:pPr>
        <w:pStyle w:val="FirstParagraph"/>
      </w:pPr>
      <w:r>
        <w:t xml:space="preserve">GlobalWay prueba un sistema de selección de reclutamiento en familias de empleo, idiomas, edades, alojamientos relacionados con la discapacidad y grupos de solicitantes relevantes. También observa si los reclutadores entienden las limitaciones del sistema, desafían las recomendaciones cuando sea apropiado, usan las rutas de anulación y escalada, y proporcionan a los solicitantes información legal apropiada y un proceso de revisión práctica. GlobalWay evalúa por separado si se aplican los requisitos de GDPR, igualdad, empleo y accesibilidad.</w:t>
      </w:r>
    </w:p>
    <w:bookmarkEnd w:id="1085"/>
    <w:bookmarkStart w:id="1086" w:name="actividad-de-control-111"/>
    <w:p>
      <w:pPr>
        <w:pStyle w:val="Heading2"/>
      </w:pPr>
      <w:r>
        <w:rPr>
          <w:rStyle w:val="SectionNumber"/>
        </w:rPr>
        <w:t xml:space="preserve">1.1043</w:t>
      </w:r>
      <w:r>
        <w:tab/>
      </w:r>
      <w:r>
        <w:t xml:space="preserve">Actividad de control</w:t>
      </w:r>
    </w:p>
    <w:p>
      <w:pPr>
        <w:pStyle w:val="FirstParagraph"/>
      </w:pPr>
      <w:r>
        <w:t xml:space="preserve">GlobalWay requiere pruebas documentadas de sesgo, supervisión y transparencia antes de la liberación o el despliegue de sistemas con impacto en los derechos humanos o fundamentales del material y después de cambios significativos en los datos, el modelo, el propósito, la población, el flujo de trabajo, las instrucciones o el diseño de avisos. Una prueba fallida debe desencadenar contención, acción correctiva, reevaluación y reprueba antes de la liberación o el uso continuado a menos que se documente una medida provisional autorizada y legalmente soportable.</w:t>
      </w:r>
    </w:p>
    <w:bookmarkEnd w:id="1086"/>
    <w:bookmarkStart w:id="1087" w:name="pruebas-116"/>
    <w:p>
      <w:pPr>
        <w:pStyle w:val="Heading2"/>
      </w:pPr>
      <w:r>
        <w:rPr>
          <w:rStyle w:val="SectionNumber"/>
        </w:rPr>
        <w:t xml:space="preserve">1.1044</w:t>
      </w:r>
      <w:r>
        <w:tab/>
      </w:r>
      <w:r>
        <w:t xml:space="preserve">Pruebas</w:t>
      </w:r>
    </w:p>
    <w:p>
      <w:pPr>
        <w:numPr>
          <w:ilvl w:val="0"/>
          <w:numId w:val="1315"/>
        </w:numPr>
        <w:pStyle w:val="Compact"/>
      </w:pPr>
      <w:r>
        <w:t xml:space="preserve">función jurídica, clasificación y evaluación de casos de uso;</w:t>
      </w:r>
    </w:p>
    <w:p>
      <w:pPr>
        <w:numPr>
          <w:ilvl w:val="0"/>
          <w:numId w:val="1315"/>
        </w:numPr>
        <w:pStyle w:val="Compact"/>
      </w:pPr>
      <w:r>
        <w:t xml:space="preserve">plan de ensayo y justificación de la población;</w:t>
      </w:r>
    </w:p>
    <w:p>
      <w:pPr>
        <w:numPr>
          <w:ilvl w:val="0"/>
          <w:numId w:val="1315"/>
        </w:numPr>
        <w:pStyle w:val="Compact"/>
      </w:pPr>
      <w:r>
        <w:t xml:space="preserve">pruebas de calidad y representatividad de los datos;</w:t>
      </w:r>
    </w:p>
    <w:p>
      <w:pPr>
        <w:numPr>
          <w:ilvl w:val="0"/>
          <w:numId w:val="1315"/>
        </w:numPr>
        <w:pStyle w:val="Compact"/>
      </w:pPr>
      <w:r>
        <w:t xml:space="preserve">métricas globales, de subgrupos y de resultados;</w:t>
      </w:r>
    </w:p>
    <w:p>
      <w:pPr>
        <w:numPr>
          <w:ilvl w:val="0"/>
          <w:numId w:val="1315"/>
        </w:numPr>
        <w:pStyle w:val="Compact"/>
      </w:pPr>
      <w:r>
        <w:t xml:space="preserve">simulaciones de supervisión y observaciones operativas;</w:t>
      </w:r>
    </w:p>
    <w:p>
      <w:pPr>
        <w:numPr>
          <w:ilvl w:val="0"/>
          <w:numId w:val="1315"/>
        </w:numPr>
        <w:pStyle w:val="Compact"/>
      </w:pPr>
      <w:r>
        <w:t xml:space="preserve">notificación, instrucción, accesibilidad y pruebas de comprensión;</w:t>
      </w:r>
    </w:p>
    <w:p>
      <w:pPr>
        <w:numPr>
          <w:ilvl w:val="0"/>
          <w:numId w:val="1315"/>
        </w:numPr>
        <w:pStyle w:val="Compact"/>
      </w:pPr>
      <w:r>
        <w:t xml:space="preserve">limitaciones, excepciones y quejas;</w:t>
      </w:r>
    </w:p>
    <w:p>
      <w:pPr>
        <w:numPr>
          <w:ilvl w:val="0"/>
          <w:numId w:val="1315"/>
        </w:numPr>
        <w:pStyle w:val="Compact"/>
      </w:pPr>
      <w:r>
        <w:t xml:space="preserve">resultados de remediación y reprueba;</w:t>
      </w:r>
    </w:p>
    <w:p>
      <w:pPr>
        <w:numPr>
          <w:ilvl w:val="0"/>
          <w:numId w:val="1315"/>
        </w:numPr>
        <w:pStyle w:val="Compact"/>
      </w:pPr>
      <w:r>
        <w:t xml:space="preserve">aprobación, escalada y registros de riesgos residuales.</w:t>
      </w:r>
    </w:p>
    <w:bookmarkEnd w:id="1087"/>
    <w:bookmarkStart w:id="1088" w:name="prueba-de-auditoría-112"/>
    <w:p>
      <w:pPr>
        <w:pStyle w:val="Heading2"/>
      </w:pPr>
      <w:r>
        <w:rPr>
          <w:rStyle w:val="SectionNumber"/>
        </w:rPr>
        <w:t xml:space="preserve">1.1045</w:t>
      </w:r>
      <w:r>
        <w:tab/>
      </w:r>
      <w:r>
        <w:t xml:space="preserve">Prueba de auditoría</w:t>
      </w:r>
    </w:p>
    <w:p>
      <w:pPr>
        <w:pStyle w:val="FirstParagraph"/>
      </w:pPr>
      <w:r>
        <w:t xml:space="preserve">Confirme que las pruebas coincidieron con el actor y el desencadenante legal, utilizó poblaciones y escenarios relevantes, evaluó la eficacia operativa en lugar de diseñar solo, documentó disparidades y fallas de supervisión, puso a prueba la transparencia y accesibilidad requeridas legalmente, y verificó la rehabilitación antes de su liberación o uso continuado.</w:t>
      </w:r>
    </w:p>
    <w:bookmarkEnd w:id="1088"/>
    <w:bookmarkStart w:id="1089" w:name="referencias-jurídicas-primarias-85"/>
    <w:p>
      <w:pPr>
        <w:pStyle w:val="Heading2"/>
      </w:pPr>
      <w:r>
        <w:rPr>
          <w:rStyle w:val="SectionNumber"/>
        </w:rPr>
        <w:t xml:space="preserve">1.1046</w:t>
      </w:r>
      <w:r>
        <w:tab/>
      </w:r>
      <w:r>
        <w:t xml:space="preserve">Referencias jurídicas primarias</w:t>
      </w:r>
    </w:p>
    <w:p>
      <w:pPr>
        <w:numPr>
          <w:ilvl w:val="0"/>
          <w:numId w:val="1316"/>
        </w:numPr>
        <w:pStyle w:val="Compact"/>
      </w:pPr>
      <w:r>
        <w:t xml:space="preserve">Reglamento (UE) 2024/1689, modificado, incluidos los artículos 4, 9, 10, 13 a 15, 26, 27, 50, 72 y 86, según proceda.</w:t>
      </w:r>
    </w:p>
    <w:p>
      <w:pPr>
        <w:numPr>
          <w:ilvl w:val="0"/>
          <w:numId w:val="1316"/>
        </w:numPr>
        <w:pStyle w:val="Compact"/>
      </w:pPr>
      <w:r>
        <w:t xml:space="preserve">Reglamento (UE) 2016/679, incluidos los artículos 5, 12 a 15, 21, 22, 25 y 35 a 36, cuando se trate de datos personales, perfiles o toma de decisiones automatizada.</w:t>
      </w:r>
    </w:p>
    <w:p>
      <w:pPr>
        <w:numPr>
          <w:ilvl w:val="0"/>
          <w:numId w:val="1316"/>
        </w:numPr>
        <w:pStyle w:val="Compact"/>
      </w:pPr>
      <w:r>
        <w:t xml:space="preserve">Igualdad aplicable, empleo, accesibilidad, protección del consumidor y legislación sectorial.</w:t>
      </w:r>
    </w:p>
    <w:p>
      <w:pPr>
        <w:numPr>
          <w:ilvl w:val="0"/>
          <w:numId w:val="1316"/>
        </w:numPr>
        <w:pStyle w:val="Compact"/>
      </w:pPr>
      <w:r>
        <w:t xml:space="preserve">Reglamento (UE) 2026/1744, cuando sus modificaciones afecten a las obligaciones o fechas de aplicación pertinentes de la Ley de IA.</w:t>
      </w:r>
    </w:p>
    <w:p>
      <w:pPr>
        <w:numPr>
          <w:ilvl w:val="0"/>
          <w:numId w:val="1316"/>
        </w:numPr>
        <w:pStyle w:val="Compact"/>
      </w:pPr>
      <w:r>
        <w:t xml:space="preserve">Los métodos de ensayo de este capítulo son prácticas de garantía operacional y no deben ser tergiversados como una fórmula de prueba legal universal.</w:t>
      </w:r>
    </w:p>
    <w:p>
      <w:pPr>
        <w:numPr>
          <w:ilvl w:val="0"/>
          <w:numId w:val="1316"/>
        </w:numPr>
        <w:pStyle w:val="Compact"/>
      </w:pPr>
      <w:r>
        <w:t xml:space="preserve">Los textos oficiales consolidados actuales controlan los resúmenes y borradores antiguos.</w:t>
      </w:r>
    </w:p>
    <w:bookmarkEnd w:id="1089"/>
    <w:bookmarkStart w:id="1090" w:name="Xc3cdbe36af383dcdf1c3a6c5704a930ce5cf048"/>
    <w:p>
      <w:pPr>
        <w:pStyle w:val="Heading2"/>
      </w:pPr>
      <w:r>
        <w:rPr>
          <w:rStyle w:val="SectionNumber"/>
        </w:rPr>
        <w:t xml:space="preserve">1.1047</w:t>
      </w:r>
      <w:r>
        <w:tab/>
      </w:r>
      <w:r>
        <w:t xml:space="preserve">Capítulo 118 — Revisión de la preparación para la conformidad</w:t>
      </w:r>
    </w:p>
    <w:p>
      <w:pPr>
        <w:pStyle w:val="BlockText"/>
      </w:pPr>
      <w:r>
        <w:rPr>
          <w:bCs/>
          <w:b/>
        </w:rPr>
        <w:t xml:space="preserve">Estatus legal:</w:t>
      </w:r>
      <w:r>
        <w:t xml:space="preserve"> </w:t>
      </w:r>
      <w:r>
        <w:t xml:space="preserve">Corregido Maestro de inglés para la consolidación. Este archivo controla el lenguaje de borrador anterior del Capítulo 118.</w:t>
      </w:r>
    </w:p>
    <w:bookmarkEnd w:id="1090"/>
    <w:bookmarkStart w:id="1091" w:name="requisito-116"/>
    <w:p>
      <w:pPr>
        <w:pStyle w:val="Heading2"/>
      </w:pPr>
      <w:r>
        <w:rPr>
          <w:rStyle w:val="SectionNumber"/>
        </w:rPr>
        <w:t xml:space="preserve">1.1048</w:t>
      </w:r>
      <w:r>
        <w:tab/>
      </w:r>
      <w:r>
        <w:t xml:space="preserve">Requisito</w:t>
      </w:r>
    </w:p>
    <w:p>
      <w:pPr>
        <w:pStyle w:val="FirstParagraph"/>
      </w:pPr>
      <w:r>
        <w:t xml:space="preserve">Los proveedores de sistemas de IA de alto riesgo deben completar el procedimiento de evaluación de la conformidad aplicable al sistema antes de comercializarlo o ponerlo en servicio, con sujeción a las fechas de aplicación pertinentes y a las normas transitorias. Las revisiones internas de la conformidad deben verificar que el proveedor ha identificado la ruta legal correcta y ha reunido pruebas completas, actuales y vinculadas a versiones para los requisitos aplicables de alto riesgo, el sistema de gestión de la calidad, la documentación técnica, la declaración, el registro, el marcado, el seguimiento posterior a la comercialización y las obligaciones de cadena de valor.</w:t>
      </w:r>
    </w:p>
    <w:bookmarkEnd w:id="1091"/>
    <w:bookmarkStart w:id="1092" w:name="explicación-en-lenguaje-sencillo-113"/>
    <w:p>
      <w:pPr>
        <w:pStyle w:val="Heading2"/>
      </w:pPr>
      <w:r>
        <w:rPr>
          <w:rStyle w:val="SectionNumber"/>
        </w:rPr>
        <w:t xml:space="preserve">1.1049</w:t>
      </w:r>
      <w:r>
        <w:tab/>
      </w:r>
      <w:r>
        <w:t xml:space="preserve">Explicación en lenguaje sencillo</w:t>
      </w:r>
    </w:p>
    <w:p>
      <w:pPr>
        <w:pStyle w:val="FirstParagraph"/>
      </w:pPr>
      <w:r>
        <w:t xml:space="preserve">Una revisión de la preparación es un control interno que no sustituye a la evaluación de la conformidad exigida por la ley, la participación de los organismos notificados, el procedimiento del sector de productos, la revisión de la vigilancia del mercado o la decisión de la autoridad competente. Su objetivo es identificar las lagunas antes de la evaluación formal o la liberación e impedir que un sistema se presente como conforme cuando no se haya completado el proceso jurídico aplicable.</w:t>
      </w:r>
    </w:p>
    <w:bookmarkEnd w:id="1092"/>
    <w:bookmarkStart w:id="1093" w:name="requisitos-de-revisión"/>
    <w:p>
      <w:pPr>
        <w:pStyle w:val="Heading2"/>
      </w:pPr>
      <w:r>
        <w:rPr>
          <w:rStyle w:val="SectionNumber"/>
        </w:rPr>
        <w:t xml:space="preserve">1.1050</w:t>
      </w:r>
      <w:r>
        <w:tab/>
      </w:r>
      <w:r>
        <w:t xml:space="preserve">Requisitos de revisión</w:t>
      </w:r>
    </w:p>
    <w:p>
      <w:pPr>
        <w:pStyle w:val="FirstParagraph"/>
      </w:pPr>
      <w:r>
        <w:t xml:space="preserve">Confirme, según proceda:</w:t>
      </w:r>
    </w:p>
    <w:p>
      <w:pPr>
        <w:numPr>
          <w:ilvl w:val="0"/>
          <w:numId w:val="1317"/>
        </w:numPr>
        <w:pStyle w:val="Compact"/>
      </w:pPr>
      <w:r>
        <w:t xml:space="preserve">la identidad del proveedor, el representante autorizado, el fabricante del producto, el importador, el distribuidor y otras funciones pertinentes;</w:t>
      </w:r>
    </w:p>
    <w:p>
      <w:pPr>
        <w:numPr>
          <w:ilvl w:val="0"/>
          <w:numId w:val="1317"/>
        </w:numPr>
        <w:pStyle w:val="Compact"/>
      </w:pPr>
      <w:r>
        <w:t xml:space="preserve">la finalidad prevista, la versión del sistema, la clasificación de alto riesgo y si se aplica el artículo 6, apartado 1, el artículo 6, apartado 2, el anexo I o el anexo III;</w:t>
      </w:r>
    </w:p>
    <w:p>
      <w:pPr>
        <w:numPr>
          <w:ilvl w:val="0"/>
          <w:numId w:val="1317"/>
        </w:numPr>
        <w:pStyle w:val="Compact"/>
      </w:pPr>
      <w:r>
        <w:t xml:space="preserve">la ruta de conformidad aplicable con arreglo al artículo 43, en particular si se aplica la legislación sectorial sobre productos o la participación de los organismos notificados;</w:t>
      </w:r>
    </w:p>
    <w:p>
      <w:pPr>
        <w:numPr>
          <w:ilvl w:val="0"/>
          <w:numId w:val="1317"/>
        </w:numPr>
        <w:pStyle w:val="Compact"/>
      </w:pPr>
      <w:r>
        <w:t xml:space="preserve">la fecha, la transición y la posición de modificación aplicables con arreglo al artículo 113 y al Reglamento (UE) 2026/1744;</w:t>
      </w:r>
    </w:p>
    <w:p>
      <w:pPr>
        <w:numPr>
          <w:ilvl w:val="0"/>
          <w:numId w:val="1317"/>
        </w:numPr>
        <w:pStyle w:val="Compact"/>
      </w:pPr>
      <w:r>
        <w:t xml:space="preserve">el cumplimiento de los artículos 9 a 15 y de las obligaciones del proveedor establecidas en los artículos 16 a 18, cuando proceda;</w:t>
      </w:r>
    </w:p>
    <w:p>
      <w:pPr>
        <w:numPr>
          <w:ilvl w:val="0"/>
          <w:numId w:val="1317"/>
        </w:numPr>
        <w:pStyle w:val="Compact"/>
      </w:pPr>
      <w:r>
        <w:t xml:space="preserve">gestión de calidad, gestión de riesgos, gobernanza de datos, documentación técnica, registro, instrucciones, supervisión, precisión, robustez y pruebas de ciberseguridad;</w:t>
      </w:r>
    </w:p>
    <w:p>
      <w:pPr>
        <w:numPr>
          <w:ilvl w:val="0"/>
          <w:numId w:val="1317"/>
        </w:numPr>
        <w:pStyle w:val="Compact"/>
      </w:pPr>
      <w:r>
        <w:t xml:space="preserve">validación y pruebas relacionadas con la versión de producción;</w:t>
      </w:r>
    </w:p>
    <w:p>
      <w:pPr>
        <w:numPr>
          <w:ilvl w:val="0"/>
          <w:numId w:val="1317"/>
        </w:numPr>
        <w:pStyle w:val="Compact"/>
      </w:pPr>
      <w:r>
        <w:t xml:space="preserve">la declaración UE de conformidad, el marcado CE y la preparación para el registro cuando así lo exija la legislación;</w:t>
      </w:r>
    </w:p>
    <w:p>
      <w:pPr>
        <w:numPr>
          <w:ilvl w:val="0"/>
          <w:numId w:val="1317"/>
        </w:numPr>
        <w:pStyle w:val="Compact"/>
      </w:pPr>
      <w:r>
        <w:t xml:space="preserve">seguimiento posterior a la comercialización, incidentes graves, medidas correctoras y medidas de conservación de registros;</w:t>
      </w:r>
    </w:p>
    <w:p>
      <w:pPr>
        <w:numPr>
          <w:ilvl w:val="0"/>
          <w:numId w:val="1317"/>
        </w:numPr>
        <w:pStyle w:val="Compact"/>
      </w:pPr>
      <w:r>
        <w:t xml:space="preserve">información sobre la cadena de valor, apoyo contractual y pruebas representativas autorizadas;</w:t>
      </w:r>
    </w:p>
    <w:p>
      <w:pPr>
        <w:numPr>
          <w:ilvl w:val="0"/>
          <w:numId w:val="1317"/>
        </w:numPr>
        <w:pStyle w:val="Compact"/>
      </w:pPr>
      <w:r>
        <w:t xml:space="preserve">las faltas de conformidad, desviaciones, medidas correctivas y decisiones sobre riesgos residuales;</w:t>
      </w:r>
    </w:p>
    <w:p>
      <w:pPr>
        <w:numPr>
          <w:ilvl w:val="0"/>
          <w:numId w:val="1317"/>
        </w:numPr>
        <w:pStyle w:val="Compact"/>
      </w:pPr>
      <w:r>
        <w:t xml:space="preserve">la aprobación formal para presentar para la evaluación de la conformidad o la liberación una vez finalizado el proceso legalmente requerido.</w:t>
      </w:r>
    </w:p>
    <w:bookmarkEnd w:id="1093"/>
    <w:bookmarkStart w:id="1094" w:name="ejemplo-de-globalway-111"/>
    <w:p>
      <w:pPr>
        <w:pStyle w:val="Heading2"/>
      </w:pPr>
      <w:r>
        <w:rPr>
          <w:rStyle w:val="SectionNumber"/>
        </w:rPr>
        <w:t xml:space="preserve">1.1051</w:t>
      </w:r>
      <w:r>
        <w:tab/>
      </w:r>
      <w:r>
        <w:t xml:space="preserve">Ejemplo de GlobalWay</w:t>
      </w:r>
    </w:p>
    <w:p>
      <w:pPr>
        <w:pStyle w:val="FirstParagraph"/>
      </w:pPr>
      <w:r>
        <w:t xml:space="preserve">Antes de liberar un sistema de asignación de empleados de alto riesgo con su propio nombre, GlobalWay confirma que ha asumido la función de proveedor. Identifica si el sistema entra en el ámbito del anexo III, confirma la ruta y fecha de conformidad aplicables, verifica la documentación del anexo IV, el SGC y las pruebas de ensayo, completa las etapas de registro y declaración, cuando proceda, y establece el seguimiento posterior a la comercialización antes de la liberación.</w:t>
      </w:r>
    </w:p>
    <w:bookmarkEnd w:id="1094"/>
    <w:bookmarkStart w:id="1095" w:name="actividad-de-control-112"/>
    <w:p>
      <w:pPr>
        <w:pStyle w:val="Heading2"/>
      </w:pPr>
      <w:r>
        <w:rPr>
          <w:rStyle w:val="SectionNumber"/>
        </w:rPr>
        <w:t xml:space="preserve">1.1052</w:t>
      </w:r>
      <w:r>
        <w:tab/>
      </w:r>
      <w:r>
        <w:t xml:space="preserve">Actividad de control</w:t>
      </w:r>
    </w:p>
    <w:p>
      <w:pPr>
        <w:pStyle w:val="FirstParagraph"/>
      </w:pPr>
      <w:r>
        <w:t xml:space="preserve">El cumplimiento debe operar una puerta de preparación documentada antes de que cualquier sistema de alto riesgo sea presentado para la evaluación de la conformidad o liberado. Faltan pruebas obligatorias, un actor no resuelto o una pregunta de clasificación, una ruta de conformidad incorrecta, o una evaluación incompleta requerida legalmente es un bloqueador de liberación. La aprobación interna no debe describirse como certificación o evaluación de la conformidad a menos que tenga el estatus legal requerido por el procedimiento aplicable.</w:t>
      </w:r>
    </w:p>
    <w:bookmarkEnd w:id="1095"/>
    <w:bookmarkStart w:id="1096" w:name="pruebas-117"/>
    <w:p>
      <w:pPr>
        <w:pStyle w:val="Heading2"/>
      </w:pPr>
      <w:r>
        <w:rPr>
          <w:rStyle w:val="SectionNumber"/>
        </w:rPr>
        <w:t xml:space="preserve">1.1053</w:t>
      </w:r>
      <w:r>
        <w:tab/>
      </w:r>
      <w:r>
        <w:t xml:space="preserve">Pruebas</w:t>
      </w:r>
    </w:p>
    <w:p>
      <w:pPr>
        <w:numPr>
          <w:ilvl w:val="0"/>
          <w:numId w:val="1318"/>
        </w:numPr>
        <w:pStyle w:val="Compact"/>
      </w:pPr>
      <w:r>
        <w:t xml:space="preserve">análisis de actores, clasificación y aplicabilidad;</w:t>
      </w:r>
    </w:p>
    <w:p>
      <w:pPr>
        <w:numPr>
          <w:ilvl w:val="0"/>
          <w:numId w:val="1318"/>
        </w:numPr>
        <w:pStyle w:val="Compact"/>
      </w:pPr>
      <w:r>
        <w:t xml:space="preserve">el memorando de conformidad-ruta y fecha de aplicación;</w:t>
      </w:r>
    </w:p>
    <w:p>
      <w:pPr>
        <w:numPr>
          <w:ilvl w:val="0"/>
          <w:numId w:val="1318"/>
        </w:numPr>
        <w:pStyle w:val="Compact"/>
      </w:pPr>
      <w:r>
        <w:t xml:space="preserve">lista de verificación de la preparación;</w:t>
      </w:r>
    </w:p>
    <w:p>
      <w:pPr>
        <w:numPr>
          <w:ilvl w:val="0"/>
          <w:numId w:val="1318"/>
        </w:numPr>
        <w:pStyle w:val="Compact"/>
      </w:pPr>
      <w:r>
        <w:t xml:space="preserve">el índice de documentación técnica y la cartografía del anexo IV;</w:t>
      </w:r>
    </w:p>
    <w:p>
      <w:pPr>
        <w:numPr>
          <w:ilvl w:val="0"/>
          <w:numId w:val="1318"/>
        </w:numPr>
        <w:pStyle w:val="Compact"/>
      </w:pPr>
      <w:r>
        <w:t xml:space="preserve">QMS, gestión de riesgos, pruebas y pruebas de validación;</w:t>
      </w:r>
    </w:p>
    <w:p>
      <w:pPr>
        <w:numPr>
          <w:ilvl w:val="0"/>
          <w:numId w:val="1318"/>
        </w:numPr>
        <w:pStyle w:val="Compact"/>
      </w:pPr>
      <w:r>
        <w:t xml:space="preserve">instrucciones, registros, supervisión y supervisión de las pruebas;</w:t>
      </w:r>
    </w:p>
    <w:p>
      <w:pPr>
        <w:numPr>
          <w:ilvl w:val="0"/>
          <w:numId w:val="1318"/>
        </w:numPr>
        <w:pStyle w:val="Compact"/>
      </w:pPr>
      <w:r>
        <w:t xml:space="preserve">los registros de evaluación sectorial o del organismo notificado, cuando proceda;</w:t>
      </w:r>
    </w:p>
    <w:p>
      <w:pPr>
        <w:numPr>
          <w:ilvl w:val="0"/>
          <w:numId w:val="1318"/>
        </w:numPr>
        <w:pStyle w:val="Compact"/>
      </w:pPr>
      <w:r>
        <w:t xml:space="preserve">la declaración, el registro y los registros de marcas;</w:t>
      </w:r>
    </w:p>
    <w:p>
      <w:pPr>
        <w:numPr>
          <w:ilvl w:val="0"/>
          <w:numId w:val="1318"/>
        </w:numPr>
        <w:pStyle w:val="Compact"/>
      </w:pPr>
      <w:r>
        <w:t xml:space="preserve">registro de brechas, medidas correctivas y pruebas de cierre;</w:t>
      </w:r>
    </w:p>
    <w:p>
      <w:pPr>
        <w:numPr>
          <w:ilvl w:val="0"/>
          <w:numId w:val="1318"/>
        </w:numPr>
        <w:pStyle w:val="Compact"/>
      </w:pPr>
      <w:r>
        <w:t xml:space="preserve">liberación y aprobación posterior a la comercialización.</w:t>
      </w:r>
    </w:p>
    <w:bookmarkEnd w:id="1096"/>
    <w:bookmarkStart w:id="1097" w:name="prueba-de-auditoría-113"/>
    <w:p>
      <w:pPr>
        <w:pStyle w:val="Heading2"/>
      </w:pPr>
      <w:r>
        <w:rPr>
          <w:rStyle w:val="SectionNumber"/>
        </w:rPr>
        <w:t xml:space="preserve">1.1054</w:t>
      </w:r>
      <w:r>
        <w:tab/>
      </w:r>
      <w:r>
        <w:t xml:space="preserve">Prueba de auditoría</w:t>
      </w:r>
    </w:p>
    <w:p>
      <w:pPr>
        <w:pStyle w:val="FirstParagraph"/>
      </w:pPr>
      <w:r>
        <w:t xml:space="preserve">Confirme que la revisión de la preparación identificó el actor, la clasificación, la ruta y la fecha de aplicación correctas; no sustituyó la evaluación externa o sectorial requerida; probó pruebas completas y vinculadas a versiones; y bloqueó la liberación hasta que se resolvieran las lagunas obligatorias y los pasos de conformidad.</w:t>
      </w:r>
    </w:p>
    <w:bookmarkEnd w:id="1097"/>
    <w:bookmarkStart w:id="1098" w:name="referencias-jurídicas-primarias-86"/>
    <w:p>
      <w:pPr>
        <w:pStyle w:val="Heading2"/>
      </w:pPr>
      <w:r>
        <w:rPr>
          <w:rStyle w:val="SectionNumber"/>
        </w:rPr>
        <w:t xml:space="preserve">1.1055</w:t>
      </w:r>
      <w:r>
        <w:tab/>
      </w:r>
      <w:r>
        <w:t xml:space="preserve">Referencias jurídicas primarias</w:t>
      </w:r>
    </w:p>
    <w:p>
      <w:pPr>
        <w:numPr>
          <w:ilvl w:val="0"/>
          <w:numId w:val="1319"/>
        </w:numPr>
        <w:pStyle w:val="Compact"/>
      </w:pPr>
      <w:r>
        <w:t xml:space="preserve">Reglamento (UE) 2024/1689, modificado, incluidos los artículos 6, 9 a 18, 22, 43, 47 a 49, 71 a 73, 113, los anexos I, III, IV, VI y VII, según proceda.</w:t>
      </w:r>
    </w:p>
    <w:p>
      <w:pPr>
        <w:numPr>
          <w:ilvl w:val="0"/>
          <w:numId w:val="1319"/>
        </w:numPr>
        <w:pStyle w:val="Compact"/>
      </w:pPr>
      <w:r>
        <w:t xml:space="preserve">Reglamento (UE) 2026/1744, incluidas las modificaciones que afectan a las fechas de aplicación, el ámbito de aplicación y los procedimientos.</w:t>
      </w:r>
    </w:p>
    <w:p>
      <w:pPr>
        <w:numPr>
          <w:ilvl w:val="0"/>
          <w:numId w:val="1319"/>
        </w:numPr>
        <w:pStyle w:val="Compact"/>
      </w:pPr>
      <w:r>
        <w:t xml:space="preserve">La legislación aplicable de armonización de la Unión enumerada en el anexo I y los correspondientes requisitos sectoriales de evaluación de la conformidad.</w:t>
      </w:r>
    </w:p>
    <w:p>
      <w:pPr>
        <w:numPr>
          <w:ilvl w:val="0"/>
          <w:numId w:val="1319"/>
        </w:numPr>
        <w:pStyle w:val="Compact"/>
      </w:pPr>
      <w:r>
        <w:t xml:space="preserve">Las normas armonizadas y las especificaciones comunes deben identificarse por su condición jurídica real y su disponibilidad; los criterios internos de preparación no deben presentarse como legislación vinculante por sí mismos.</w:t>
      </w:r>
    </w:p>
    <w:p>
      <w:pPr>
        <w:numPr>
          <w:ilvl w:val="0"/>
          <w:numId w:val="1319"/>
        </w:numPr>
        <w:pStyle w:val="Compact"/>
      </w:pPr>
      <w:r>
        <w:t xml:space="preserve">Los actuales controles consolidados de texto EUR-Lex sobre resúmenes y borradores antiguos.</w:t>
      </w:r>
    </w:p>
    <w:bookmarkEnd w:id="1098"/>
    <w:bookmarkStart w:id="1099" w:name="capítulo-119-auditoría-interna"/>
    <w:p>
      <w:pPr>
        <w:pStyle w:val="Heading2"/>
      </w:pPr>
      <w:r>
        <w:rPr>
          <w:rStyle w:val="SectionNumber"/>
        </w:rPr>
        <w:t xml:space="preserve">1.1056</w:t>
      </w:r>
      <w:r>
        <w:tab/>
      </w:r>
      <w:r>
        <w:t xml:space="preserve">Capítulo 119 — Auditoría interna</w:t>
      </w:r>
    </w:p>
    <w:p>
      <w:pPr>
        <w:pStyle w:val="BlockText"/>
      </w:pPr>
      <w:r>
        <w:rPr>
          <w:bCs/>
          <w:b/>
        </w:rPr>
        <w:t xml:space="preserve">Estatus legal:</w:t>
      </w:r>
      <w:r>
        <w:t xml:space="preserve"> </w:t>
      </w:r>
      <w:r>
        <w:t xml:space="preserve">Corregido Maestro Inglés para la consolidación. Este archivo controla el lenguaje de borrador anterior del Capítulo 119 en conflicto.</w:t>
      </w:r>
    </w:p>
    <w:bookmarkEnd w:id="1099"/>
    <w:bookmarkStart w:id="1100" w:name="requisito-117"/>
    <w:p>
      <w:pPr>
        <w:pStyle w:val="Heading2"/>
      </w:pPr>
      <w:r>
        <w:rPr>
          <w:rStyle w:val="SectionNumber"/>
        </w:rPr>
        <w:t xml:space="preserve">1.1057</w:t>
      </w:r>
      <w:r>
        <w:tab/>
      </w:r>
      <w:r>
        <w:t xml:space="preserve">Requisito</w:t>
      </w:r>
    </w:p>
    <w:p>
      <w:pPr>
        <w:pStyle w:val="FirstParagraph"/>
      </w:pPr>
      <w:r>
        <w:t xml:space="preserve">La Ley de IA de la UE no impone una función de auditoría interna independiente universal a todas las organizaciones. Las organizaciones que mantienen una auditoría interna, una garantía independiente o una revisión comparable de tercera línea deben utilizarla para proporcionar una garantía basada en el riesgo sobre la gobernanza de IA, el cumplimiento legal, el diseño de control, la eficacia operativa, la calidad de las pruebas, la gestión de problemas y la información de gestión. La auditoría interna debe permanecer independiente de las actividades que revisa y no sustituye a la evaluación de la conformidad, la participación de los organismos notificados, la supervisión de la autoridad competente, las facultades de vigilancia del mercado, las obligaciones de los proveedores o despliegues, ni la rendición de cuentas de la gestión.</w:t>
      </w:r>
    </w:p>
    <w:bookmarkEnd w:id="1100"/>
    <w:bookmarkStart w:id="1101" w:name="explicación-en-lenguaje-sencillo-114"/>
    <w:p>
      <w:pPr>
        <w:pStyle w:val="Heading2"/>
      </w:pPr>
      <w:r>
        <w:rPr>
          <w:rStyle w:val="SectionNumber"/>
        </w:rPr>
        <w:t xml:space="preserve">1.1058</w:t>
      </w:r>
      <w:r>
        <w:tab/>
      </w:r>
      <w:r>
        <w:t xml:space="preserve">Explicación en lenguaje sencillo</w:t>
      </w:r>
    </w:p>
    <w:p>
      <w:pPr>
        <w:pStyle w:val="FirstParagraph"/>
      </w:pPr>
      <w:r>
        <w:t xml:space="preserve">La auditoría interna debe comprobar si el entorno de control de la IA funciona realmente, no sólo si existen políticas, sino que su alcance y muestreo deben reflejar la función jurídica, la clasificación del sistema, la jurisdicción, la etapa del ciclo de vida, la dependencia de los proveedores, las personas afectadas, los incidentes, las quejas, los cambios y las conclusiones previas.</w:t>
      </w:r>
    </w:p>
    <w:bookmarkEnd w:id="1101"/>
    <w:bookmarkStart w:id="1102" w:name="necesidades-de-auditoría"/>
    <w:p>
      <w:pPr>
        <w:pStyle w:val="Heading2"/>
      </w:pPr>
      <w:r>
        <w:rPr>
          <w:rStyle w:val="SectionNumber"/>
        </w:rPr>
        <w:t xml:space="preserve">1.1059</w:t>
      </w:r>
      <w:r>
        <w:tab/>
      </w:r>
      <w:r>
        <w:t xml:space="preserve">Necesidades de auditoría</w:t>
      </w:r>
    </w:p>
    <w:p>
      <w:pPr>
        <w:pStyle w:val="FirstParagraph"/>
      </w:pPr>
      <w:r>
        <w:t xml:space="preserve">Definir, según proceda:</w:t>
      </w:r>
    </w:p>
    <w:p>
      <w:pPr>
        <w:numPr>
          <w:ilvl w:val="0"/>
          <w:numId w:val="1320"/>
        </w:numPr>
        <w:pStyle w:val="Compact"/>
      </w:pPr>
      <w:r>
        <w:t xml:space="preserve">un mandato aprobado, independencia de la organización y acceso irrestricto a las pruebas pertinentes, sujeto a controles legales de confidencialidad y privilegios;</w:t>
      </w:r>
    </w:p>
    <w:p>
      <w:pPr>
        <w:numPr>
          <w:ilvl w:val="0"/>
          <w:numId w:val="1320"/>
        </w:numPr>
        <w:pStyle w:val="Compact"/>
      </w:pPr>
      <w:r>
        <w:t xml:space="preserve">personal multidisciplinario competente y acceso a especialistas técnicos, jurídicos, de privacidad, de seguridad, de accesibilidad y del sector;</w:t>
      </w:r>
    </w:p>
    <w:p>
      <w:pPr>
        <w:numPr>
          <w:ilvl w:val="0"/>
          <w:numId w:val="1320"/>
        </w:numPr>
        <w:pStyle w:val="Compact"/>
      </w:pPr>
      <w:r>
        <w:t xml:space="preserve">un universo y un plan de auditoría de IA basados en el riesgo;</w:t>
      </w:r>
    </w:p>
    <w:p>
      <w:pPr>
        <w:numPr>
          <w:ilvl w:val="0"/>
          <w:numId w:val="1320"/>
        </w:numPr>
        <w:pStyle w:val="Compact"/>
      </w:pPr>
      <w:r>
        <w:t xml:space="preserve">cobertura de sistemas, modelos, versiones, roles de actor, jurisdicciones, proveedores y etapas del ciclo de vida;</w:t>
      </w:r>
    </w:p>
    <w:p>
      <w:pPr>
        <w:numPr>
          <w:ilvl w:val="0"/>
          <w:numId w:val="1320"/>
        </w:numPr>
        <w:pStyle w:val="Compact"/>
      </w:pPr>
      <w:r>
        <w:t xml:space="preserve">métodos de diseño-efectividad y funcionamiento-efectividad;</w:t>
      </w:r>
    </w:p>
    <w:p>
      <w:pPr>
        <w:numPr>
          <w:ilvl w:val="0"/>
          <w:numId w:val="1320"/>
        </w:numPr>
        <w:pStyle w:val="Compact"/>
      </w:pPr>
      <w:r>
        <w:t xml:space="preserve">validación de la población, muestreo defendible y criterios de calidad de las pruebas;</w:t>
      </w:r>
    </w:p>
    <w:p>
      <w:pPr>
        <w:numPr>
          <w:ilvl w:val="0"/>
          <w:numId w:val="1320"/>
        </w:numPr>
        <w:pStyle w:val="Compact"/>
      </w:pPr>
      <w:r>
        <w:t xml:space="preserve">validación técnica, reproducibilidad y revisión especializada cuando sea necesario;</w:t>
      </w:r>
    </w:p>
    <w:p>
      <w:pPr>
        <w:numPr>
          <w:ilvl w:val="0"/>
          <w:numId w:val="1320"/>
        </w:numPr>
        <w:pStyle w:val="Compact"/>
      </w:pPr>
      <w:r>
        <w:t xml:space="preserve">clasificación de problemas, análisis de causas profundas, escalada y respuesta de la administración;</w:t>
      </w:r>
    </w:p>
    <w:p>
      <w:pPr>
        <w:numPr>
          <w:ilvl w:val="0"/>
          <w:numId w:val="1320"/>
        </w:numPr>
        <w:pStyle w:val="Compact"/>
      </w:pPr>
      <w:r>
        <w:t xml:space="preserve">seguimiento de la rehabilitación y validación independiente del cierre;</w:t>
      </w:r>
    </w:p>
    <w:p>
      <w:pPr>
        <w:numPr>
          <w:ilvl w:val="0"/>
          <w:numId w:val="1320"/>
        </w:numPr>
        <w:pStyle w:val="Compact"/>
      </w:pPr>
      <w:r>
        <w:t xml:space="preserve">informar al consejo de administración, al comité de auditoría u otro órgano de gobernanza adecuado;</w:t>
      </w:r>
    </w:p>
    <w:p>
      <w:pPr>
        <w:numPr>
          <w:ilvl w:val="0"/>
          <w:numId w:val="1320"/>
        </w:numPr>
        <w:pStyle w:val="Compact"/>
      </w:pPr>
      <w:r>
        <w:t xml:space="preserve">seguimiento, garantía de calidad y mejora periódica del programa;</w:t>
      </w:r>
    </w:p>
    <w:p>
      <w:pPr>
        <w:numPr>
          <w:ilvl w:val="0"/>
          <w:numId w:val="1320"/>
        </w:numPr>
        <w:pStyle w:val="Compact"/>
      </w:pPr>
      <w:r>
        <w:t xml:space="preserve">intensificación cuando la gestión restrinja el alcance, el acceso a pruebas o la rehabilitación oportuna.</w:t>
      </w:r>
    </w:p>
    <w:bookmarkEnd w:id="1102"/>
    <w:bookmarkStart w:id="1103" w:name="ejemplo-de-globalway-112"/>
    <w:p>
      <w:pPr>
        <w:pStyle w:val="Heading2"/>
      </w:pPr>
      <w:r>
        <w:rPr>
          <w:rStyle w:val="SectionNumber"/>
        </w:rPr>
        <w:t xml:space="preserve">1.1060</w:t>
      </w:r>
      <w:r>
        <w:tab/>
      </w:r>
      <w:r>
        <w:t xml:space="preserve">Ejemplo de GlobalWay</w:t>
      </w:r>
    </w:p>
    <w:p>
      <w:pPr>
        <w:pStyle w:val="FirstParagraph"/>
      </w:pPr>
      <w:r>
        <w:t xml:space="preserve">La auditoría interna de GlobalWay muestra sistemas de contratación de alto riesgo, asistencia a los viajeros y fraude. Ensaya decisiones de actores y clasificación, controles de proveedores e implementadores, pruebas de proveedores, supervisión humana, registro, supervisión, transparencia, incidentes y cierre de medidas correctivas. Confirma por separado que su trabajo no sustituye a ninguna evaluación de conformidad o revisión de autoridad requerida.</w:t>
      </w:r>
    </w:p>
    <w:bookmarkEnd w:id="1103"/>
    <w:bookmarkStart w:id="1104" w:name="actividad-de-control-113"/>
    <w:p>
      <w:pPr>
        <w:pStyle w:val="Heading2"/>
      </w:pPr>
      <w:r>
        <w:rPr>
          <w:rStyle w:val="SectionNumber"/>
        </w:rPr>
        <w:t xml:space="preserve">1.1061</w:t>
      </w:r>
      <w:r>
        <w:tab/>
      </w:r>
      <w:r>
        <w:t xml:space="preserve">Actividad de control</w:t>
      </w:r>
    </w:p>
    <w:p>
      <w:pPr>
        <w:pStyle w:val="FirstParagraph"/>
      </w:pPr>
      <w:r>
        <w:t xml:space="preserve">El comité de auditoría aprueba un plan de auditoría de IA basado en el riesgo y recibe conclusiones importantes, medidas correctivas atrasadas, riesgos residuales aceptados, tendencias recurrentes de control-fallo, limitaciones de alcance e incertidumbre jurídica no resuelta.</w:t>
      </w:r>
    </w:p>
    <w:bookmarkEnd w:id="1104"/>
    <w:bookmarkStart w:id="1105" w:name="pruebas-118"/>
    <w:p>
      <w:pPr>
        <w:pStyle w:val="Heading2"/>
      </w:pPr>
      <w:r>
        <w:rPr>
          <w:rStyle w:val="SectionNumber"/>
        </w:rPr>
        <w:t xml:space="preserve">1.1062</w:t>
      </w:r>
      <w:r>
        <w:tab/>
      </w:r>
      <w:r>
        <w:t xml:space="preserve">Pruebas</w:t>
      </w:r>
    </w:p>
    <w:p>
      <w:pPr>
        <w:numPr>
          <w:ilvl w:val="0"/>
          <w:numId w:val="1321"/>
        </w:numPr>
        <w:pStyle w:val="Compact"/>
      </w:pPr>
      <w:r>
        <w:t xml:space="preserve">carta de auditoría, declaración de independencia y plan;</w:t>
      </w:r>
    </w:p>
    <w:p>
      <w:pPr>
        <w:numPr>
          <w:ilvl w:val="0"/>
          <w:numId w:val="1321"/>
        </w:numPr>
        <w:pStyle w:val="Compact"/>
      </w:pPr>
    </w:p>
    <w:p>
      <w:pPr>
        <w:numPr>
          <w:ilvl w:val="1"/>
          <w:numId w:val="1322"/>
        </w:numPr>
        <w:pStyle w:val="Compact"/>
      </w:pPr>
      <w:r>
        <w:t xml:space="preserve">El universo de las auditorías de inteligencia artificial y la evaluación de los riesgos;</w:t>
      </w:r>
    </w:p>
    <w:p>
      <w:pPr>
        <w:numPr>
          <w:ilvl w:val="0"/>
          <w:numId w:val="1321"/>
        </w:numPr>
        <w:pStyle w:val="Compact"/>
      </w:pPr>
      <w:r>
        <w:t xml:space="preserve">competencia, apoyo especializado y registros de conflictos;</w:t>
      </w:r>
    </w:p>
    <w:p>
      <w:pPr>
        <w:numPr>
          <w:ilvl w:val="0"/>
          <w:numId w:val="1321"/>
        </w:numPr>
        <w:pStyle w:val="Compact"/>
      </w:pPr>
      <w:r>
        <w:t xml:space="preserve">documentos de trabajo, validación de la población y justificación del muestreo;</w:t>
      </w:r>
    </w:p>
    <w:p>
      <w:pPr>
        <w:numPr>
          <w:ilvl w:val="0"/>
          <w:numId w:val="1321"/>
        </w:numPr>
        <w:pStyle w:val="Compact"/>
      </w:pPr>
      <w:r>
        <w:t xml:space="preserve">los resultados, la base jurídica y los informes;</w:t>
      </w:r>
    </w:p>
    <w:p>
      <w:pPr>
        <w:numPr>
          <w:ilvl w:val="0"/>
          <w:numId w:val="1321"/>
        </w:numPr>
        <w:pStyle w:val="Compact"/>
      </w:pPr>
      <w:r>
        <w:t xml:space="preserve">las respuestas de la dirección y los planes de acción;</w:t>
      </w:r>
    </w:p>
    <w:p>
      <w:pPr>
        <w:numPr>
          <w:ilvl w:val="0"/>
          <w:numId w:val="1321"/>
        </w:numPr>
        <w:pStyle w:val="Compact"/>
      </w:pPr>
      <w:r>
        <w:t xml:space="preserve">rehabilitación y validación independiente del cierre;</w:t>
      </w:r>
    </w:p>
    <w:p>
      <w:pPr>
        <w:numPr>
          <w:ilvl w:val="0"/>
          <w:numId w:val="1321"/>
        </w:numPr>
        <w:pStyle w:val="Compact"/>
      </w:pPr>
      <w:r>
        <w:t xml:space="preserve">los informes de los comités de auditoría o del consejo de administración;</w:t>
      </w:r>
    </w:p>
    <w:p>
      <w:pPr>
        <w:numPr>
          <w:ilvl w:val="0"/>
          <w:numId w:val="1321"/>
        </w:numPr>
        <w:pStyle w:val="Compact"/>
      </w:pPr>
      <w:r>
        <w:t xml:space="preserve">los registros de limitación del alcance y escalada;</w:t>
      </w:r>
    </w:p>
    <w:p>
      <w:pPr>
        <w:numPr>
          <w:ilvl w:val="0"/>
          <w:numId w:val="1321"/>
        </w:numPr>
        <w:pStyle w:val="Compact"/>
      </w:pPr>
      <w:r>
        <w:t xml:space="preserve">revisión interna de la garantía de calidad.</w:t>
      </w:r>
    </w:p>
    <w:bookmarkEnd w:id="1105"/>
    <w:bookmarkStart w:id="1106" w:name="prueba-de-auditoría-114"/>
    <w:p>
      <w:pPr>
        <w:pStyle w:val="Heading2"/>
      </w:pPr>
      <w:r>
        <w:rPr>
          <w:rStyle w:val="SectionNumber"/>
        </w:rPr>
        <w:t xml:space="preserve">1.1063</w:t>
      </w:r>
      <w:r>
        <w:tab/>
      </w:r>
      <w:r>
        <w:t xml:space="preserve">Prueba de auditoría</w:t>
      </w:r>
    </w:p>
    <w:p>
      <w:pPr>
        <w:pStyle w:val="FirstParagraph"/>
      </w:pPr>
      <w:r>
        <w:t xml:space="preserve">Confirmar que su mandato y su línea de presentación de informes apoyan la independencia, su alcance refleja los riesgos reales de la IA y las funciones reguladas, sus pruebas y muestreo son suficientes, sus examinadores tienen competencia adecuada, se intensifican las cuestiones importantes y el cierre se valida de forma independiente. Confirmar que los informes no describen la auditoría interna como la sustitución de la evaluación de la conformidad, el examen de los organismos notificados o la supervisión reglamentaria.</w:t>
      </w:r>
    </w:p>
    <w:bookmarkEnd w:id="1106"/>
    <w:bookmarkStart w:id="1107" w:name="referencias-jurídicas-primarias-87"/>
    <w:p>
      <w:pPr>
        <w:pStyle w:val="Heading2"/>
      </w:pPr>
      <w:r>
        <w:rPr>
          <w:rStyle w:val="SectionNumber"/>
        </w:rPr>
        <w:t xml:space="preserve">1.1064</w:t>
      </w:r>
      <w:r>
        <w:tab/>
      </w:r>
      <w:r>
        <w:t xml:space="preserve">Referencias jurídicas primarias</w:t>
      </w:r>
    </w:p>
    <w:p>
      <w:pPr>
        <w:numPr>
          <w:ilvl w:val="0"/>
          <w:numId w:val="1323"/>
        </w:numPr>
        <w:pStyle w:val="Compact"/>
      </w:pPr>
      <w:r>
        <w:t xml:space="preserve">Reglamento (UE) 2024/1689, en su versión modificada, incluidas las disposiciones aplicables sobre gestión de la calidad, documentación técnica, mantenimiento de registros, evaluación de la conformidad, seguimiento posterior a la comercialización, medidas correctoras, cooperación y acceso de las autoridades.</w:t>
      </w:r>
    </w:p>
    <w:p>
      <w:pPr>
        <w:numPr>
          <w:ilvl w:val="0"/>
          <w:numId w:val="1323"/>
        </w:numPr>
        <w:pStyle w:val="Compact"/>
      </w:pPr>
      <w:r>
        <w:t xml:space="preserve">Reglamento (UE) 2026/1744, cuando sus modificaciones afecten a las obligaciones, procedimientos o fechas pertinentes.</w:t>
      </w:r>
    </w:p>
    <w:p>
      <w:pPr>
        <w:numPr>
          <w:ilvl w:val="0"/>
          <w:numId w:val="1323"/>
        </w:numPr>
        <w:pStyle w:val="Compact"/>
      </w:pPr>
      <w:r>
        <w:t xml:space="preserve">Las normas profesionales de auditoría interna y garantía no son vinculantes a menos que se incorporen mediante otro requisito legal, contractual o sectorial vinculante.</w:t>
      </w:r>
    </w:p>
    <w:p>
      <w:pPr>
        <w:numPr>
          <w:ilvl w:val="0"/>
          <w:numId w:val="1323"/>
        </w:numPr>
        <w:pStyle w:val="Compact"/>
      </w:pPr>
      <w:r>
        <w:t xml:space="preserve">El marco de auditoría interna de este capítulo es una práctica de gobernanza y garantía, y no una función autónoma universal expresamente establecida por la Ley de inteligencia artificial.</w:t>
      </w:r>
    </w:p>
    <w:p>
      <w:pPr>
        <w:numPr>
          <w:ilvl w:val="0"/>
          <w:numId w:val="1323"/>
        </w:numPr>
        <w:pStyle w:val="Compact"/>
      </w:pPr>
      <w:r>
        <w:t xml:space="preserve">Los textos oficiales consolidados actuales controlan los resúmenes y borradores antiguos.</w:t>
      </w:r>
    </w:p>
    <w:bookmarkEnd w:id="1107"/>
    <w:bookmarkStart w:id="1108" w:name="Xe25f7c90aab6c9c7cf52dddaa211dcad43482f8"/>
    <w:p>
      <w:pPr>
        <w:pStyle w:val="Heading2"/>
      </w:pPr>
      <w:r>
        <w:rPr>
          <w:rStyle w:val="SectionNumber"/>
        </w:rPr>
        <w:t xml:space="preserve">1.1065</w:t>
      </w:r>
      <w:r>
        <w:tab/>
      </w:r>
      <w:r>
        <w:t xml:space="preserve">Capítulo 120 — Preparación para el examen reglamentario</w:t>
      </w:r>
    </w:p>
    <w:p>
      <w:pPr>
        <w:pStyle w:val="BlockText"/>
      </w:pPr>
      <w:r>
        <w:rPr>
          <w:bCs/>
          <w:b/>
        </w:rPr>
        <w:t xml:space="preserve">Estatus legal:</w:t>
      </w:r>
      <w:r>
        <w:t xml:space="preserve"> </w:t>
      </w:r>
      <w:r>
        <w:t xml:space="preserve">Corregido Maestro de inglés para la consolidación. Este archivo controla el lenguaje de borrador anterior del Capítulo 120.</w:t>
      </w:r>
    </w:p>
    <w:bookmarkEnd w:id="1108"/>
    <w:bookmarkStart w:id="1109" w:name="requisito-118"/>
    <w:p>
      <w:pPr>
        <w:pStyle w:val="Heading2"/>
      </w:pPr>
      <w:r>
        <w:rPr>
          <w:rStyle w:val="SectionNumber"/>
        </w:rPr>
        <w:t xml:space="preserve">1.1066</w:t>
      </w:r>
      <w:r>
        <w:tab/>
      </w:r>
      <w:r>
        <w:t xml:space="preserve">Requisito</w:t>
      </w:r>
    </w:p>
    <w:p>
      <w:pPr>
        <w:pStyle w:val="FirstParagraph"/>
      </w:pPr>
      <w:r>
        <w:t xml:space="preserve">Las organizaciones sujetas a la Ley de IA de la UE deben poder proporcionar a las autoridades competentes, a las autoridades de vigilancia del mercado, a la Oficina de IA y a otros organismos legalmente autorizados la información, los registros, el acceso, las explicaciones y la cooperación requeridos por la legislación aplicable. Las prácticas de preparación para los exámenes en este capítulo son medidas de gobernanza que apoyan esas obligaciones; no son un régimen de examen legal separado.</w:t>
      </w:r>
    </w:p>
    <w:bookmarkEnd w:id="1109"/>
    <w:bookmarkStart w:id="1110" w:name="explicación-en-lenguaje-sencillo-115"/>
    <w:p>
      <w:pPr>
        <w:pStyle w:val="Heading2"/>
      </w:pPr>
      <w:r>
        <w:rPr>
          <w:rStyle w:val="SectionNumber"/>
        </w:rPr>
        <w:t xml:space="preserve">1.1067</w:t>
      </w:r>
      <w:r>
        <w:tab/>
      </w:r>
      <w:r>
        <w:t xml:space="preserve">Explicación en lenguaje sencillo</w:t>
      </w:r>
    </w:p>
    <w:p>
      <w:pPr>
        <w:pStyle w:val="FirstParagraph"/>
      </w:pPr>
      <w:r>
        <w:t xml:space="preserve">Un regulador puede solicitar documentos, registros, pruebas técnicas, registros de incidentes, evaluaciones de riesgos, explicaciones, acceso a sistemas o cooperación con pruebas. La organización debe ser capaz de responder con precisión, seguridad, coherencia y dentro del plazo legal aplicable sin improvisar o proporcionar pruebas incompletas o contradictorias.</w:t>
      </w:r>
    </w:p>
    <w:bookmarkEnd w:id="1110"/>
    <w:bookmarkStart w:id="1111" w:name="requisitos-de-preparación"/>
    <w:p>
      <w:pPr>
        <w:pStyle w:val="Heading2"/>
      </w:pPr>
      <w:r>
        <w:rPr>
          <w:rStyle w:val="SectionNumber"/>
        </w:rPr>
        <w:t xml:space="preserve">1.1068</w:t>
      </w:r>
      <w:r>
        <w:tab/>
      </w:r>
      <w:r>
        <w:t xml:space="preserve">Requisitos de preparación</w:t>
      </w:r>
    </w:p>
    <w:p>
      <w:pPr>
        <w:pStyle w:val="FirstParagraph"/>
      </w:pPr>
      <w:r>
        <w:t xml:space="preserve">Mantener como mínimo:</w:t>
      </w:r>
    </w:p>
    <w:p>
      <w:pPr>
        <w:numPr>
          <w:ilvl w:val="0"/>
          <w:numId w:val="1324"/>
        </w:numPr>
        <w:pStyle w:val="Compact"/>
      </w:pPr>
      <w:r>
        <w:t xml:space="preserve">un mapa actual de entidades jurídicas, funciones de IA, sistemas, modelos, versiones y jurisdicciones;</w:t>
      </w:r>
    </w:p>
    <w:p>
      <w:pPr>
        <w:numPr>
          <w:ilvl w:val="0"/>
          <w:numId w:val="1324"/>
        </w:numPr>
        <w:pStyle w:val="Compact"/>
      </w:pPr>
      <w:r>
        <w:t xml:space="preserve">los titulares y suplentes de las respuestas reglamentarias;</w:t>
      </w:r>
    </w:p>
    <w:p>
      <w:pPr>
        <w:numPr>
          <w:ilvl w:val="0"/>
          <w:numId w:val="1324"/>
        </w:numPr>
        <w:pStyle w:val="Compact"/>
      </w:pPr>
      <w:r>
        <w:t xml:space="preserve">un índice verificado de documentación técnica, registros, declaraciones, registros, registros de seguimiento, incidentes, quejas, medidas correctivas y contratos;</w:t>
      </w:r>
    </w:p>
    <w:p>
      <w:pPr>
        <w:numPr>
          <w:ilvl w:val="0"/>
          <w:numId w:val="1324"/>
        </w:numPr>
        <w:pStyle w:val="Compact"/>
      </w:pPr>
      <w:r>
        <w:t xml:space="preserve">los procedimientos para preservar los privilegios, la confidencialidad, los secretos comerciales, los datos personales y la información sensible a la seguridad al tiempo que cumplen las obligaciones de divulgación;</w:t>
      </w:r>
    </w:p>
    <w:p>
      <w:pPr>
        <w:numPr>
          <w:ilvl w:val="0"/>
          <w:numId w:val="1324"/>
        </w:numPr>
        <w:pStyle w:val="Compact"/>
      </w:pPr>
      <w:r>
        <w:t xml:space="preserve">la integridad de la prueba, la cadena de custodia, el control de la versión y los procedimientos legales;</w:t>
      </w:r>
    </w:p>
    <w:p>
      <w:pPr>
        <w:numPr>
          <w:ilvl w:val="0"/>
          <w:numId w:val="1324"/>
        </w:numPr>
        <w:pStyle w:val="Compact"/>
      </w:pPr>
      <w:r>
        <w:t xml:space="preserve">autoridad y verificación de la identidad antes de su divulgación;</w:t>
      </w:r>
    </w:p>
    <w:p>
      <w:pPr>
        <w:numPr>
          <w:ilvl w:val="0"/>
          <w:numId w:val="1324"/>
        </w:numPr>
        <w:pStyle w:val="Compact"/>
      </w:pPr>
      <w:r>
        <w:t xml:space="preserve">la transferencia segura, el acceso y los controles de las vías de auditoría;</w:t>
      </w:r>
    </w:p>
    <w:p>
      <w:pPr>
        <w:numPr>
          <w:ilvl w:val="0"/>
          <w:numId w:val="1324"/>
        </w:numPr>
        <w:pStyle w:val="Compact"/>
      </w:pPr>
      <w:r>
        <w:t xml:space="preserve">la verificación de los hechos, la revisión jurídica y la aprobación ejecutiva de las comunicaciones, cuando proceda;</w:t>
      </w:r>
    </w:p>
    <w:p>
      <w:pPr>
        <w:numPr>
          <w:ilvl w:val="0"/>
          <w:numId w:val="1324"/>
        </w:numPr>
        <w:pStyle w:val="Compact"/>
      </w:pPr>
      <w:r>
        <w:t xml:space="preserve">procedimientos para entrevistas, demostraciones, acceso in situ, pruebas y preguntas de seguimiento;</w:t>
      </w:r>
    </w:p>
    <w:p>
      <w:pPr>
        <w:numPr>
          <w:ilvl w:val="0"/>
          <w:numId w:val="1324"/>
        </w:numPr>
        <w:pStyle w:val="Compact"/>
      </w:pPr>
      <w:r>
        <w:t xml:space="preserve">Cuando los registros no estén disponibles, sean inconsistentes, inaccesibles o potencialmente inexactos, se producirá una escalada;</w:t>
      </w:r>
    </w:p>
    <w:p>
      <w:pPr>
        <w:numPr>
          <w:ilvl w:val="0"/>
          <w:numId w:val="1324"/>
        </w:numPr>
        <w:pStyle w:val="Compact"/>
      </w:pPr>
      <w:r>
        <w:t xml:space="preserve">medidas correctivas y lecciones aprendidas después del examen.</w:t>
      </w:r>
    </w:p>
    <w:bookmarkEnd w:id="1111"/>
    <w:bookmarkStart w:id="1112" w:name="ejemplo-de-globalway-113"/>
    <w:p>
      <w:pPr>
        <w:pStyle w:val="Heading2"/>
      </w:pPr>
      <w:r>
        <w:rPr>
          <w:rStyle w:val="SectionNumber"/>
        </w:rPr>
        <w:t xml:space="preserve">1.1069</w:t>
      </w:r>
      <w:r>
        <w:tab/>
      </w:r>
      <w:r>
        <w:t xml:space="preserve">Ejemplo de GlobalWay</w:t>
      </w:r>
    </w:p>
    <w:p>
      <w:pPr>
        <w:pStyle w:val="FirstParagraph"/>
      </w:pPr>
      <w:r>
        <w:t xml:space="preserve">GlobalWay recibe una solicitud de información relativa a un sistema de asignación de empleados de alto riesgo. Su equipo de respuesta verifica la autoridad, conserva los registros pertinentes, reúne el archivo técnico vinculado a versiones, registros, resultados de monitoreo, historial de incidentes, pruebas de proveedores y aprobaciones de liberaciones, y documenta todas las acciones de divulgación y seguimiento.</w:t>
      </w:r>
    </w:p>
    <w:bookmarkEnd w:id="1112"/>
    <w:bookmarkStart w:id="1113" w:name="actividad-de-control-114"/>
    <w:p>
      <w:pPr>
        <w:pStyle w:val="Heading2"/>
      </w:pPr>
      <w:r>
        <w:rPr>
          <w:rStyle w:val="SectionNumber"/>
        </w:rPr>
        <w:t xml:space="preserve">1.1070</w:t>
      </w:r>
      <w:r>
        <w:tab/>
      </w:r>
      <w:r>
        <w:t xml:space="preserve">Actividad de control</w:t>
      </w:r>
    </w:p>
    <w:p>
      <w:pPr>
        <w:pStyle w:val="FirstParagraph"/>
      </w:pPr>
      <w:r>
        <w:t xml:space="preserve">Cumplimiento y Legal debe mantener un procedimiento de respuesta regulatoria probado y llevar a cabo ejercicios periódicos de preparación para los sistemas de IA material. Ejercicios deben verificar la disponibilidad de pruebas, la propiedad de la respuesta, la divulgación segura, la coherencia de los hechos y el aumento de las lagunas no resueltas.</w:t>
      </w:r>
    </w:p>
    <w:bookmarkEnd w:id="1113"/>
    <w:bookmarkStart w:id="1114" w:name="pruebas-119"/>
    <w:p>
      <w:pPr>
        <w:pStyle w:val="Heading2"/>
      </w:pPr>
      <w:r>
        <w:rPr>
          <w:rStyle w:val="SectionNumber"/>
        </w:rPr>
        <w:t xml:space="preserve">1.1071</w:t>
      </w:r>
      <w:r>
        <w:tab/>
      </w:r>
      <w:r>
        <w:t xml:space="preserve">Pruebas</w:t>
      </w:r>
    </w:p>
    <w:p>
      <w:pPr>
        <w:numPr>
          <w:ilvl w:val="0"/>
          <w:numId w:val="1325"/>
        </w:numPr>
        <w:pStyle w:val="Compact"/>
      </w:pPr>
      <w:r>
        <w:t xml:space="preserve">procedimiento reglamentario-respuesta y matriz de responsabilidad;</w:t>
      </w:r>
    </w:p>
    <w:p>
      <w:pPr>
        <w:numPr>
          <w:ilvl w:val="0"/>
          <w:numId w:val="1325"/>
        </w:numPr>
        <w:pStyle w:val="Compact"/>
      </w:pPr>
      <w:r>
        <w:t xml:space="preserve">registro de verificación de la autoridad;</w:t>
      </w:r>
    </w:p>
    <w:p>
      <w:pPr>
        <w:numPr>
          <w:ilvl w:val="0"/>
          <w:numId w:val="1325"/>
        </w:numPr>
        <w:pStyle w:val="Compact"/>
      </w:pPr>
      <w:r>
        <w:t xml:space="preserve">el índice de pruebas e información;</w:t>
      </w:r>
    </w:p>
    <w:p>
      <w:pPr>
        <w:numPr>
          <w:ilvl w:val="0"/>
          <w:numId w:val="1325"/>
        </w:numPr>
        <w:pStyle w:val="Compact"/>
      </w:pPr>
      <w:r>
        <w:t xml:space="preserve">registros legales y de conservación;</w:t>
      </w:r>
    </w:p>
    <w:p>
      <w:pPr>
        <w:numPr>
          <w:ilvl w:val="0"/>
          <w:numId w:val="1325"/>
        </w:numPr>
        <w:pStyle w:val="Compact"/>
      </w:pPr>
      <w:r>
        <w:t xml:space="preserve">la presentación de las aprobaciones y la correspondencia;</w:t>
      </w:r>
    </w:p>
    <w:p>
      <w:pPr>
        <w:numPr>
          <w:ilvl w:val="0"/>
          <w:numId w:val="1325"/>
        </w:numPr>
        <w:pStyle w:val="Compact"/>
      </w:pPr>
      <w:r>
        <w:t xml:space="preserve">registros de seguridad y acceso;</w:t>
      </w:r>
    </w:p>
    <w:p>
      <w:pPr>
        <w:numPr>
          <w:ilvl w:val="0"/>
          <w:numId w:val="1325"/>
        </w:numPr>
        <w:pStyle w:val="Compact"/>
      </w:pPr>
      <w:r>
        <w:t xml:space="preserve">los registros de preparación de entrevistas y demostraciones;</w:t>
      </w:r>
    </w:p>
    <w:p>
      <w:pPr>
        <w:numPr>
          <w:ilvl w:val="0"/>
          <w:numId w:val="1325"/>
        </w:numPr>
        <w:pStyle w:val="Compact"/>
      </w:pPr>
      <w:r>
        <w:t xml:space="preserve">registro de brechas, acciones correctivas y lecciones aprendidas.</w:t>
      </w:r>
    </w:p>
    <w:bookmarkEnd w:id="1114"/>
    <w:bookmarkStart w:id="1115" w:name="prueba-de-auditoría-115"/>
    <w:p>
      <w:pPr>
        <w:pStyle w:val="Heading2"/>
      </w:pPr>
      <w:r>
        <w:rPr>
          <w:rStyle w:val="SectionNumber"/>
        </w:rPr>
        <w:t xml:space="preserve">1.1072</w:t>
      </w:r>
      <w:r>
        <w:tab/>
      </w:r>
      <w:r>
        <w:t xml:space="preserve">Prueba de auditoría</w:t>
      </w:r>
    </w:p>
    <w:p>
      <w:pPr>
        <w:pStyle w:val="FirstParagraph"/>
      </w:pPr>
      <w:r>
        <w:t xml:space="preserve">Inspeccione las solicitudes previas de autorización y los ejercicios de preparación; confirme que la organización verificó la autoridad, preservó y produjo pruebas exactas vinculadas a versiones, protegió adecuadamente la información sensible desde el punto de vista jurídico, cumplió los plazos aplicables y corrigió las deficiencias detectadas.</w:t>
      </w:r>
    </w:p>
    <w:bookmarkEnd w:id="1115"/>
    <w:bookmarkStart w:id="1116" w:name="referencias-jurídicas-primarias-88"/>
    <w:p>
      <w:pPr>
        <w:pStyle w:val="Heading2"/>
      </w:pPr>
      <w:r>
        <w:rPr>
          <w:rStyle w:val="SectionNumber"/>
        </w:rPr>
        <w:t xml:space="preserve">1.1073</w:t>
      </w:r>
      <w:r>
        <w:tab/>
      </w:r>
      <w:r>
        <w:t xml:space="preserve">Referencias jurídicas primarias</w:t>
      </w:r>
    </w:p>
    <w:p>
      <w:pPr>
        <w:numPr>
          <w:ilvl w:val="0"/>
          <w:numId w:val="1326"/>
        </w:numPr>
        <w:pStyle w:val="Compact"/>
      </w:pPr>
      <w:r>
        <w:t xml:space="preserve">Reglamento (UE) 2024/1689, modificado por el Reglamento (UE) 2026/1744, en su caso: disposiciones sobre documentación, registros, registros, registro, vigilancia del mercado, facultades de autoridad, acceso a datos y documentación, ensayos, cooperación, investigaciones y ejecución.</w:t>
      </w:r>
    </w:p>
    <w:p>
      <w:pPr>
        <w:numPr>
          <w:ilvl w:val="0"/>
          <w:numId w:val="1326"/>
        </w:numPr>
        <w:pStyle w:val="Compact"/>
      </w:pPr>
      <w:r>
        <w:t xml:space="preserve">Reglamento (UE) 2016/679 y otros requisitos aplicables en materia de confidencialidad, seguridad cibernética, empleo, seguridad de los productos y sector.</w:t>
      </w:r>
    </w:p>
    <w:p>
      <w:pPr>
        <w:numPr>
          <w:ilvl w:val="0"/>
          <w:numId w:val="1326"/>
        </w:numPr>
        <w:pStyle w:val="Compact"/>
      </w:pPr>
      <w:r>
        <w:t xml:space="preserve">Los textos oficiales consolidados actuales controlan los resúmenes antiguos.</w:t>
      </w:r>
    </w:p>
    <w:bookmarkEnd w:id="1116"/>
    <w:bookmarkStart w:id="1117" w:name="X466c79bb935de011df99f2f6e10e59eee3d00fc"/>
    <w:p>
      <w:pPr>
        <w:pStyle w:val="Heading2"/>
      </w:pPr>
      <w:r>
        <w:rPr>
          <w:rStyle w:val="SectionNumber"/>
        </w:rPr>
        <w:t xml:space="preserve">1.1074</w:t>
      </w:r>
      <w:r>
        <w:tab/>
      </w:r>
      <w:r>
        <w:t xml:space="preserve">Capítulo 121 — Conclusiones, medidas correctivas y cierre</w:t>
      </w:r>
    </w:p>
    <w:p>
      <w:pPr>
        <w:pStyle w:val="BlockText"/>
      </w:pPr>
      <w:r>
        <w:rPr>
          <w:bCs/>
          <w:b/>
        </w:rPr>
        <w:t xml:space="preserve">Estatus legal:</w:t>
      </w:r>
      <w:r>
        <w:t xml:space="preserve"> </w:t>
      </w:r>
      <w:r>
        <w:t xml:space="preserve">Corregido Maestro de inglés para la consolidación. Este archivo controla el lenguaje de borrador anterior del Capítulo 121.</w:t>
      </w:r>
    </w:p>
    <w:bookmarkEnd w:id="1117"/>
    <w:bookmarkStart w:id="1118" w:name="requisito-119"/>
    <w:p>
      <w:pPr>
        <w:pStyle w:val="Heading2"/>
      </w:pPr>
      <w:r>
        <w:rPr>
          <w:rStyle w:val="SectionNumber"/>
        </w:rPr>
        <w:t xml:space="preserve">1.1075</w:t>
      </w:r>
      <w:r>
        <w:tab/>
      </w:r>
      <w:r>
        <w:t xml:space="preserve">Requisito</w:t>
      </w:r>
    </w:p>
    <w:p>
      <w:pPr>
        <w:pStyle w:val="FirstParagraph"/>
      </w:pPr>
      <w:r>
        <w:t xml:space="preserve">Las organizaciones deben abordar las deficiencias detectadas, los fallos de control, los incidentes, las quejas, las observaciones de las autoridades y otras deficiencias relacionadas con la IA mediante la contención oportuna, el análisis de causas profundas, la rehabilitación proporcionada, la validación, las actualizaciones de la documentación y el cierre responsable. El flujo de trabajo detallado de este capítulo es una práctica de gobernanza y garantía, a menos que una disposición jurídica específica, una decisión de la autoridad, una obligación de evaluación de la conformidad, un contrato o una norma sectorial hagan obligatoria una etapa.</w:t>
      </w:r>
    </w:p>
    <w:bookmarkEnd w:id="1118"/>
    <w:bookmarkStart w:id="1119" w:name="explicación-en-lenguaje-sencillo-116"/>
    <w:p>
      <w:pPr>
        <w:pStyle w:val="Heading2"/>
      </w:pPr>
      <w:r>
        <w:rPr>
          <w:rStyle w:val="SectionNumber"/>
        </w:rPr>
        <w:t xml:space="preserve">1.1076</w:t>
      </w:r>
      <w:r>
        <w:tab/>
      </w:r>
      <w:r>
        <w:t xml:space="preserve">Explicación en lenguaje sencillo</w:t>
      </w:r>
    </w:p>
    <w:p>
      <w:pPr>
        <w:pStyle w:val="FirstParagraph"/>
      </w:pPr>
      <w:r>
        <w:t xml:space="preserve">El cierre requiere pruebas de que el problema fue contenido, que se abordó la causa, que se consideraron los sistemas afectados y las personas, que la corrección funcionó, que se actualizaron la documentación y los controles conexos y que la autoridad competente aceptó el riesgo residual.</w:t>
      </w:r>
    </w:p>
    <w:bookmarkEnd w:id="1119"/>
    <w:bookmarkStart w:id="1120" w:name="necesidades-de-rehabilitación"/>
    <w:p>
      <w:pPr>
        <w:pStyle w:val="Heading2"/>
      </w:pPr>
      <w:r>
        <w:rPr>
          <w:rStyle w:val="SectionNumber"/>
        </w:rPr>
        <w:t xml:space="preserve">1.1077</w:t>
      </w:r>
      <w:r>
        <w:tab/>
      </w:r>
      <w:r>
        <w:t xml:space="preserve">Necesidades de rehabilitación</w:t>
      </w:r>
    </w:p>
    <w:p>
      <w:pPr>
        <w:pStyle w:val="FirstParagraph"/>
      </w:pPr>
      <w:r>
        <w:t xml:space="preserve">Cada registro de resultados debe incluir:</w:t>
      </w:r>
    </w:p>
    <w:p>
      <w:pPr>
        <w:numPr>
          <w:ilvl w:val="0"/>
          <w:numId w:val="1327"/>
        </w:numPr>
        <w:pStyle w:val="Compact"/>
      </w:pPr>
      <w:r>
        <w:t xml:space="preserve">fuente, fecha, gravedad, pertinencia jurídica y obligación afectada;</w:t>
      </w:r>
    </w:p>
    <w:p>
      <w:pPr>
        <w:numPr>
          <w:ilvl w:val="0"/>
          <w:numId w:val="1327"/>
        </w:numPr>
        <w:pStyle w:val="Compact"/>
      </w:pPr>
      <w:r>
        <w:t xml:space="preserve">sistemas, modelos, versiones, datos, proveedores, decisiones, personas y jurisdicciones afectados;</w:t>
      </w:r>
    </w:p>
    <w:p>
      <w:pPr>
        <w:numPr>
          <w:ilvl w:val="0"/>
          <w:numId w:val="1327"/>
        </w:numPr>
        <w:pStyle w:val="Compact"/>
      </w:pPr>
      <w:r>
        <w:t xml:space="preserve">la contención inmediata y las salvaguardias provisionales;</w:t>
      </w:r>
    </w:p>
    <w:p>
      <w:pPr>
        <w:numPr>
          <w:ilvl w:val="0"/>
          <w:numId w:val="1327"/>
        </w:numPr>
        <w:pStyle w:val="Compact"/>
      </w:pPr>
      <w:r>
        <w:t xml:space="preserve">notificabilidad, notificación, retirada, retirada, suspensión y análisis de las personas afectadas, cuando proceda;</w:t>
      </w:r>
    </w:p>
    <w:p>
      <w:pPr>
        <w:numPr>
          <w:ilvl w:val="0"/>
          <w:numId w:val="1327"/>
        </w:numPr>
        <w:pStyle w:val="Compact"/>
      </w:pPr>
      <w:r>
        <w:t xml:space="preserve">la causa raíz y los factores que la contribuyen;</w:t>
      </w:r>
    </w:p>
    <w:p>
      <w:pPr>
        <w:numPr>
          <w:ilvl w:val="0"/>
          <w:numId w:val="1327"/>
        </w:numPr>
        <w:pStyle w:val="Compact"/>
      </w:pPr>
      <w:r>
        <w:t xml:space="preserve">acciones correctivas y preventivas, propietarios, recursos y plazos;</w:t>
      </w:r>
    </w:p>
    <w:p>
      <w:pPr>
        <w:numPr>
          <w:ilvl w:val="0"/>
          <w:numId w:val="1327"/>
        </w:numPr>
        <w:pStyle w:val="Compact"/>
      </w:pPr>
      <w:r>
        <w:t xml:space="preserve">criterios de validación, revisor independiente y plan de reensayo;</w:t>
      </w:r>
    </w:p>
    <w:p>
      <w:pPr>
        <w:numPr>
          <w:ilvl w:val="0"/>
          <w:numId w:val="1327"/>
        </w:numPr>
        <w:pStyle w:val="Compact"/>
      </w:pPr>
      <w:r>
        <w:t xml:space="preserve">actualizaciones de las evaluaciones de riesgos, documentación técnica, registros, procedimientos, formación, avisos, contratos y supervisión;</w:t>
      </w:r>
    </w:p>
    <w:p>
      <w:pPr>
        <w:numPr>
          <w:ilvl w:val="0"/>
          <w:numId w:val="1327"/>
        </w:numPr>
        <w:pStyle w:val="Compact"/>
      </w:pPr>
      <w:r>
        <w:t xml:space="preserve">la decisión sobre el riesgo residual y la excepción;</w:t>
      </w:r>
    </w:p>
    <w:p>
      <w:pPr>
        <w:numPr>
          <w:ilvl w:val="0"/>
          <w:numId w:val="1327"/>
        </w:numPr>
        <w:pStyle w:val="Compact"/>
      </w:pPr>
      <w:r>
        <w:t xml:space="preserve">aprobación del cierre, período de supervisión y criterios de reapertura.</w:t>
      </w:r>
    </w:p>
    <w:bookmarkEnd w:id="1120"/>
    <w:bookmarkStart w:id="1121" w:name="ejemplo-de-globalway-114"/>
    <w:p>
      <w:pPr>
        <w:pStyle w:val="Heading2"/>
      </w:pPr>
      <w:r>
        <w:rPr>
          <w:rStyle w:val="SectionNumber"/>
        </w:rPr>
        <w:t xml:space="preserve">1.1078</w:t>
      </w:r>
      <w:r>
        <w:tab/>
      </w:r>
      <w:r>
        <w:t xml:space="preserve">Ejemplo de GlobalWay</w:t>
      </w:r>
    </w:p>
    <w:p>
      <w:pPr>
        <w:pStyle w:val="FirstParagraph"/>
      </w:pPr>
      <w:r>
        <w:t xml:space="preserve">Una auditoría concluye que un sistema de contratación funcionaba con una versión modelo no aprobada. GlobalWay suspende las recomendaciones automatizadas, conserva las pruebas, evalúa a los solicitantes afectados, determina por qué fallaron los controles de cambio, restaura la configuración aprobada, vuelve a probar el sistema, actualiza la documentación y los controles de proveedores y supervisa la versión corregida antes del cierre.</w:t>
      </w:r>
    </w:p>
    <w:bookmarkEnd w:id="1121"/>
    <w:bookmarkStart w:id="1122" w:name="actividad-de-control-115"/>
    <w:p>
      <w:pPr>
        <w:pStyle w:val="Heading2"/>
      </w:pPr>
      <w:r>
        <w:rPr>
          <w:rStyle w:val="SectionNumber"/>
        </w:rPr>
        <w:t xml:space="preserve">1.1079</w:t>
      </w:r>
      <w:r>
        <w:tab/>
      </w:r>
      <w:r>
        <w:t xml:space="preserve">Actividad de control</w:t>
      </w:r>
    </w:p>
    <w:p>
      <w:pPr>
        <w:pStyle w:val="FirstParagraph"/>
      </w:pPr>
      <w:r>
        <w:t xml:space="preserve">Todos los hallazgos materiales deben ser registrados en un registro controlado, asignados a los propietarios responsables, priorizados por el riesgo, aumentados cuando están atrasados, y cerrados sólo después de la validación basada en evidencia.</w:t>
      </w:r>
    </w:p>
    <w:bookmarkEnd w:id="1122"/>
    <w:bookmarkStart w:id="1123" w:name="pruebas-120"/>
    <w:p>
      <w:pPr>
        <w:pStyle w:val="Heading2"/>
      </w:pPr>
      <w:r>
        <w:rPr>
          <w:rStyle w:val="SectionNumber"/>
        </w:rPr>
        <w:t xml:space="preserve">1.1080</w:t>
      </w:r>
      <w:r>
        <w:tab/>
      </w:r>
      <w:r>
        <w:t xml:space="preserve">Pruebas</w:t>
      </w:r>
    </w:p>
    <w:p>
      <w:pPr>
        <w:numPr>
          <w:ilvl w:val="0"/>
          <w:numId w:val="1328"/>
        </w:numPr>
        <w:pStyle w:val="Compact"/>
      </w:pPr>
      <w:r>
        <w:t xml:space="preserve">registro de resultados;</w:t>
      </w:r>
    </w:p>
    <w:p>
      <w:pPr>
        <w:numPr>
          <w:ilvl w:val="0"/>
          <w:numId w:val="1328"/>
        </w:numPr>
        <w:pStyle w:val="Compact"/>
      </w:pPr>
      <w:r>
        <w:t xml:space="preserve">registros de contención y de impacto;</w:t>
      </w:r>
    </w:p>
    <w:p>
      <w:pPr>
        <w:numPr>
          <w:ilvl w:val="0"/>
          <w:numId w:val="1328"/>
        </w:numPr>
        <w:pStyle w:val="Compact"/>
      </w:pPr>
      <w:r>
        <w:t xml:space="preserve">análisis de la causa raíz;</w:t>
      </w:r>
    </w:p>
    <w:p>
      <w:pPr>
        <w:numPr>
          <w:ilvl w:val="0"/>
          <w:numId w:val="1328"/>
        </w:numPr>
        <w:pStyle w:val="Compact"/>
      </w:pPr>
      <w:r>
        <w:t xml:space="preserve">plan de rehabilitación y aprobaciones;</w:t>
      </w:r>
    </w:p>
    <w:p>
      <w:pPr>
        <w:numPr>
          <w:ilvl w:val="0"/>
          <w:numId w:val="1328"/>
        </w:numPr>
        <w:pStyle w:val="Compact"/>
      </w:pPr>
      <w:r>
        <w:t xml:space="preserve">validación y reprueba de las pruebas;</w:t>
      </w:r>
    </w:p>
    <w:p>
      <w:pPr>
        <w:numPr>
          <w:ilvl w:val="0"/>
          <w:numId w:val="1328"/>
        </w:numPr>
        <w:pStyle w:val="Compact"/>
      </w:pPr>
      <w:r>
        <w:t xml:space="preserve">documentación y controles actualizados;</w:t>
      </w:r>
    </w:p>
    <w:p>
      <w:pPr>
        <w:numPr>
          <w:ilvl w:val="0"/>
          <w:numId w:val="1328"/>
        </w:numPr>
        <w:pStyle w:val="Compact"/>
      </w:pPr>
      <w:r>
        <w:t xml:space="preserve">la decisión sobre el riesgo residual;</w:t>
      </w:r>
    </w:p>
    <w:p>
      <w:pPr>
        <w:numPr>
          <w:ilvl w:val="0"/>
          <w:numId w:val="1328"/>
        </w:numPr>
        <w:pStyle w:val="Compact"/>
      </w:pPr>
      <w:r>
        <w:t xml:space="preserve">aprobación de cierre y resultados de seguimiento.</w:t>
      </w:r>
    </w:p>
    <w:bookmarkEnd w:id="1123"/>
    <w:bookmarkStart w:id="1124" w:name="prueba-de-auditoría-116"/>
    <w:p>
      <w:pPr>
        <w:pStyle w:val="Heading2"/>
      </w:pPr>
      <w:r>
        <w:rPr>
          <w:rStyle w:val="SectionNumber"/>
        </w:rPr>
        <w:t xml:space="preserve">1.1081</w:t>
      </w:r>
      <w:r>
        <w:tab/>
      </w:r>
      <w:r>
        <w:t xml:space="preserve">Prueba de auditoría</w:t>
      </w:r>
    </w:p>
    <w:p>
      <w:pPr>
        <w:pStyle w:val="FirstParagraph"/>
      </w:pPr>
      <w:r>
        <w:t xml:space="preserve">Seleccione hallazgos abiertos, atrasados y cerrados. Confirme que la severidad era soportable, la contención fue oportuna, la causa raíz y el alcance afectado fueron completos, la rehabilitación abordó la causa, la validación fue independiente cuando fue apropiado, los artefactos relacionados fueron actualizados, y el cierre no ocurrió antes de que se demostró la eficacia.</w:t>
      </w:r>
    </w:p>
    <w:bookmarkEnd w:id="1124"/>
    <w:bookmarkStart w:id="1125" w:name="referencias-jurídicas-primarias-89"/>
    <w:p>
      <w:pPr>
        <w:pStyle w:val="Heading2"/>
      </w:pPr>
      <w:r>
        <w:rPr>
          <w:rStyle w:val="SectionNumber"/>
        </w:rPr>
        <w:t xml:space="preserve">1.1082</w:t>
      </w:r>
      <w:r>
        <w:tab/>
      </w:r>
      <w:r>
        <w:t xml:space="preserve">Referencias jurídicas primarias</w:t>
      </w:r>
    </w:p>
    <w:p>
      <w:pPr>
        <w:numPr>
          <w:ilvl w:val="0"/>
          <w:numId w:val="1329"/>
        </w:numPr>
        <w:pStyle w:val="Compact"/>
      </w:pPr>
      <w:r>
        <w:t xml:space="preserve">Reglamento (UE) 2024/1689, en su versión modificada: proveedor, despliegue, gestión de la calidad, seguimiento, incidentes graves, medidas correctoras, retirada, retirada, vigilancia del mercado, documentación y disposiciones de cooperación de la autoridad.</w:t>
      </w:r>
    </w:p>
    <w:p>
      <w:pPr>
        <w:numPr>
          <w:ilvl w:val="0"/>
          <w:numId w:val="1329"/>
        </w:numPr>
        <w:pStyle w:val="Compact"/>
      </w:pPr>
      <w:r>
        <w:t xml:space="preserve">Privacidad aplicable, ciberseguridad, seguridad de los productos, empleo, protección del consumidor, requisitos contractuales y sectoriales.</w:t>
      </w:r>
    </w:p>
    <w:p>
      <w:pPr>
        <w:numPr>
          <w:ilvl w:val="0"/>
          <w:numId w:val="1329"/>
        </w:numPr>
        <w:pStyle w:val="Compact"/>
      </w:pPr>
      <w:r>
        <w:t xml:space="preserve">Los textos oficiales consolidados actuales controlan los resúmenes antiguos.</w:t>
      </w:r>
    </w:p>
    <w:bookmarkEnd w:id="1125"/>
    <w:bookmarkStart w:id="1126" w:name="Xebcc46aea04793c12d5d726128c251c3ce45d28"/>
    <w:p>
      <w:pPr>
        <w:pStyle w:val="Heading2"/>
      </w:pPr>
      <w:r>
        <w:rPr>
          <w:rStyle w:val="SectionNumber"/>
        </w:rPr>
        <w:t xml:space="preserve">1.1083</w:t>
      </w:r>
      <w:r>
        <w:tab/>
      </w:r>
      <w:r>
        <w:t xml:space="preserve">Capítulo 122 — Oficina de Inteligencia Artificial y Autoridades Nacionales</w:t>
      </w:r>
    </w:p>
    <w:p>
      <w:pPr>
        <w:pStyle w:val="BlockText"/>
      </w:pPr>
      <w:r>
        <w:rPr>
          <w:bCs/>
          <w:b/>
        </w:rPr>
        <w:t xml:space="preserve">Estatus legal:</w:t>
      </w:r>
      <w:r>
        <w:t xml:space="preserve"> </w:t>
      </w:r>
      <w:r>
        <w:t xml:space="preserve">Corregido Maestro Inglés para la consolidación. Este archivo controla el lenguaje de borrador anterior del Capítulo 122.</w:t>
      </w:r>
    </w:p>
    <w:bookmarkEnd w:id="1126"/>
    <w:bookmarkStart w:id="1127" w:name="requisito-120"/>
    <w:p>
      <w:pPr>
        <w:pStyle w:val="Heading2"/>
      </w:pPr>
      <w:r>
        <w:rPr>
          <w:rStyle w:val="SectionNumber"/>
        </w:rPr>
        <w:t xml:space="preserve">1.1084</w:t>
      </w:r>
      <w:r>
        <w:tab/>
      </w:r>
      <w:r>
        <w:t xml:space="preserve">Requisito</w:t>
      </w:r>
    </w:p>
    <w:p>
      <w:pPr>
        <w:pStyle w:val="FirstParagraph"/>
      </w:pPr>
      <w:r>
        <w:t xml:space="preserve">Las organizaciones deben determinar qué autoridades de la UE y nacionales pueden tener jurisdicción sobre sus actividades de IA y deben cooperar con esas autoridades en la medida en que lo exija la legislación aplicable.Los procedimientos internos de elaboración de mapas de las autoridades y de respuesta son prácticas de gobernanza que apoyan el cumplimiento de la legislación; no alteran la asignación legal de competencias.</w:t>
      </w:r>
    </w:p>
    <w:bookmarkEnd w:id="1127"/>
    <w:bookmarkStart w:id="1128" w:name="explicación-en-lenguaje-sencillo-117"/>
    <w:p>
      <w:pPr>
        <w:pStyle w:val="Heading2"/>
      </w:pPr>
      <w:r>
        <w:rPr>
          <w:rStyle w:val="SectionNumber"/>
        </w:rPr>
        <w:t xml:space="preserve">1.1085</w:t>
      </w:r>
      <w:r>
        <w:tab/>
      </w:r>
      <w:r>
        <w:t xml:space="preserve">Explicación en lenguaje sencillo</w:t>
      </w:r>
    </w:p>
    <w:p>
      <w:pPr>
        <w:pStyle w:val="FirstParagraph"/>
      </w:pPr>
      <w:r>
        <w:t xml:space="preserve">La responsabilidad puede implicar a la Oficina de IA de la Comisión Europea, a las autoridades nacionales competentes, a las autoridades de vigilancia del mercado, a las autoridades de protección de datos, a los reguladores de la seguridad de los productos, a los reguladores sectoriales, a las autoridades laborales, a las autoridades de los consumidores o a los tribunales.</w:t>
      </w:r>
    </w:p>
    <w:bookmarkEnd w:id="1128"/>
    <w:bookmarkStart w:id="1129" w:name="necesidades-en-materia-de-gobernanza-2"/>
    <w:p>
      <w:pPr>
        <w:pStyle w:val="Heading2"/>
      </w:pPr>
      <w:r>
        <w:rPr>
          <w:rStyle w:val="SectionNumber"/>
        </w:rPr>
        <w:t xml:space="preserve">1.1086</w:t>
      </w:r>
      <w:r>
        <w:tab/>
      </w:r>
      <w:r>
        <w:t xml:space="preserve">Necesidades en materia de gobernanza</w:t>
      </w:r>
    </w:p>
    <w:p>
      <w:pPr>
        <w:pStyle w:val="FirstParagraph"/>
      </w:pPr>
      <w:r>
        <w:t xml:space="preserve">Mantener como mínimo:</w:t>
      </w:r>
    </w:p>
    <w:p>
      <w:pPr>
        <w:numPr>
          <w:ilvl w:val="0"/>
          <w:numId w:val="1330"/>
        </w:numPr>
        <w:pStyle w:val="Compact"/>
      </w:pPr>
      <w:r>
        <w:t xml:space="preserve">un mapa de jurisdicción y autoridad para cada sistema de IA de material;</w:t>
      </w:r>
    </w:p>
    <w:p>
      <w:pPr>
        <w:numPr>
          <w:ilvl w:val="0"/>
          <w:numId w:val="1330"/>
        </w:numPr>
        <w:pStyle w:val="Compact"/>
      </w:pPr>
      <w:r>
        <w:t xml:space="preserve">identificación de las funciones de proveedor, de despliegue, de importador, de distribuidor, de representante autorizado y de GPAI;</w:t>
      </w:r>
    </w:p>
    <w:p>
      <w:pPr>
        <w:numPr>
          <w:ilvl w:val="0"/>
          <w:numId w:val="1330"/>
        </w:numPr>
        <w:pStyle w:val="Compact"/>
      </w:pPr>
      <w:r>
        <w:t xml:space="preserve">los propietarios designados por correspondencia reglamentaria y escalada;</w:t>
      </w:r>
    </w:p>
    <w:p>
      <w:pPr>
        <w:numPr>
          <w:ilvl w:val="0"/>
          <w:numId w:val="1330"/>
        </w:numPr>
        <w:pStyle w:val="Compact"/>
      </w:pPr>
      <w:r>
        <w:t xml:space="preserve">procedimientos para verificar la autoridad, el mandato y el alcance de la solicitud;</w:t>
      </w:r>
    </w:p>
    <w:p>
      <w:pPr>
        <w:numPr>
          <w:ilvl w:val="0"/>
          <w:numId w:val="1330"/>
        </w:numPr>
        <w:pStyle w:val="Compact"/>
      </w:pPr>
      <w:r>
        <w:t xml:space="preserve">coordinación entre los equipos jurídicos, de cumplimiento, de privacidad, de seguridad, de productos, de recursos humanos, de adquisiciones y operativos;</w:t>
      </w:r>
    </w:p>
    <w:p>
      <w:pPr>
        <w:numPr>
          <w:ilvl w:val="0"/>
          <w:numId w:val="1330"/>
        </w:numPr>
        <w:pStyle w:val="Compact"/>
      </w:pPr>
      <w:r>
        <w:t xml:space="preserve">controles para la presentación coherente de información entre múltiples autoridades;</w:t>
      </w:r>
    </w:p>
    <w:p>
      <w:pPr>
        <w:numPr>
          <w:ilvl w:val="0"/>
          <w:numId w:val="1330"/>
        </w:numPr>
        <w:pStyle w:val="Compact"/>
      </w:pPr>
      <w:r>
        <w:t xml:space="preserve">garantizar la preservación y divulgación de pruebas;</w:t>
      </w:r>
    </w:p>
    <w:p>
      <w:pPr>
        <w:numPr>
          <w:ilvl w:val="0"/>
          <w:numId w:val="1330"/>
        </w:numPr>
        <w:pStyle w:val="Compact"/>
      </w:pPr>
      <w:r>
        <w:t xml:space="preserve">seguimiento de los plazos, compromisos, medidas correctivas y solicitudes de seguimiento;</w:t>
      </w:r>
    </w:p>
    <w:p>
      <w:pPr>
        <w:numPr>
          <w:ilvl w:val="0"/>
          <w:numId w:val="1330"/>
        </w:numPr>
        <w:pStyle w:val="Compact"/>
      </w:pPr>
      <w:r>
        <w:t xml:space="preserve">procedimientos para los conflictos de leyes, la superposición de jurisdicción y la intensificación de la asistencia letrada;</w:t>
      </w:r>
    </w:p>
    <w:p>
      <w:pPr>
        <w:numPr>
          <w:ilvl w:val="0"/>
          <w:numId w:val="1330"/>
        </w:numPr>
        <w:pStyle w:val="Compact"/>
      </w:pPr>
      <w:r>
        <w:t xml:space="preserve">revisión periódica cuando cambien leyes, roles, productos o jurisdicciones operativas.</w:t>
      </w:r>
    </w:p>
    <w:bookmarkEnd w:id="1129"/>
    <w:bookmarkStart w:id="1130" w:name="ejemplo-de-globalway-115"/>
    <w:p>
      <w:pPr>
        <w:pStyle w:val="Heading2"/>
      </w:pPr>
      <w:r>
        <w:rPr>
          <w:rStyle w:val="SectionNumber"/>
        </w:rPr>
        <w:t xml:space="preserve">1.1087</w:t>
      </w:r>
      <w:r>
        <w:tab/>
      </w:r>
      <w:r>
        <w:t xml:space="preserve">Ejemplo de GlobalWay</w:t>
      </w:r>
    </w:p>
    <w:p>
      <w:pPr>
        <w:pStyle w:val="FirstParagraph"/>
      </w:pPr>
      <w:r>
        <w:t xml:space="preserve">GlobalWay determina la responsabilidad de un sistema de contratación utilizado en varios Estados miembros e identifica las autoridades nacionales competentes en materia de vigilancia del mercado y del trabajo, las autoridades de protección de datos para cuestiones de datos personales y la Oficina de IA en la que pueden ser pertinentes las obligaciones modelo de GPAI o la coordinación a nivel de la Unión.</w:t>
      </w:r>
    </w:p>
    <w:bookmarkEnd w:id="1130"/>
    <w:bookmarkStart w:id="1131" w:name="actividad-de-control-116"/>
    <w:p>
      <w:pPr>
        <w:pStyle w:val="Heading2"/>
      </w:pPr>
      <w:r>
        <w:rPr>
          <w:rStyle w:val="SectionNumber"/>
        </w:rPr>
        <w:t xml:space="preserve">1.1088</w:t>
      </w:r>
      <w:r>
        <w:tab/>
      </w:r>
      <w:r>
        <w:t xml:space="preserve">Actividad de control</w:t>
      </w:r>
    </w:p>
    <w:p>
      <w:pPr>
        <w:pStyle w:val="FirstParagraph"/>
      </w:pPr>
      <w:r>
        <w:t xml:space="preserve">Legal y Cumplimiento debe mantener un mapa de autoridad actual y verificarlo antes de presentar notificaciones, registros, informes de incidentes, o respuestas. Incertidumbre jurisdicción debe intensificarse en lugar de adivinarse.</w:t>
      </w:r>
    </w:p>
    <w:bookmarkEnd w:id="1131"/>
    <w:bookmarkStart w:id="1132" w:name="pruebas-121"/>
    <w:p>
      <w:pPr>
        <w:pStyle w:val="Heading2"/>
      </w:pPr>
      <w:r>
        <w:rPr>
          <w:rStyle w:val="SectionNumber"/>
        </w:rPr>
        <w:t xml:space="preserve">1.1089</w:t>
      </w:r>
      <w:r>
        <w:tab/>
      </w:r>
      <w:r>
        <w:t xml:space="preserve">Pruebas</w:t>
      </w:r>
    </w:p>
    <w:p>
      <w:pPr>
        <w:numPr>
          <w:ilvl w:val="0"/>
          <w:numId w:val="1331"/>
        </w:numPr>
        <w:pStyle w:val="Compact"/>
      </w:pPr>
      <w:r>
        <w:t xml:space="preserve">el registro de autoridad y jurisdicción;</w:t>
      </w:r>
    </w:p>
    <w:p>
      <w:pPr>
        <w:numPr>
          <w:ilvl w:val="0"/>
          <w:numId w:val="1331"/>
        </w:numPr>
        <w:pStyle w:val="Compact"/>
      </w:pPr>
      <w:r>
        <w:t xml:space="preserve">evaluaciones de las funciones jurídicas;</w:t>
      </w:r>
    </w:p>
    <w:p>
      <w:pPr>
        <w:numPr>
          <w:ilvl w:val="0"/>
          <w:numId w:val="1331"/>
        </w:numPr>
        <w:pStyle w:val="Compact"/>
      </w:pPr>
      <w:r>
        <w:t xml:space="preserve">matriz de contacto reglamentario;</w:t>
      </w:r>
    </w:p>
    <w:p>
      <w:pPr>
        <w:numPr>
          <w:ilvl w:val="0"/>
          <w:numId w:val="1331"/>
        </w:numPr>
        <w:pStyle w:val="Compact"/>
      </w:pPr>
      <w:r>
        <w:t xml:space="preserve">la correspondencia y el registro de presentación;</w:t>
      </w:r>
    </w:p>
    <w:p>
      <w:pPr>
        <w:numPr>
          <w:ilvl w:val="0"/>
          <w:numId w:val="1331"/>
        </w:numPr>
        <w:pStyle w:val="Compact"/>
      </w:pPr>
      <w:r>
        <w:t xml:space="preserve">los registros de verificación de la autoridad;</w:t>
      </w:r>
    </w:p>
    <w:p>
      <w:pPr>
        <w:numPr>
          <w:ilvl w:val="0"/>
          <w:numId w:val="1331"/>
        </w:numPr>
        <w:pStyle w:val="Compact"/>
      </w:pPr>
      <w:r>
        <w:t xml:space="preserve">los registros de escalada y de asesoramiento jurídico;</w:t>
      </w:r>
    </w:p>
    <w:p>
      <w:pPr>
        <w:numPr>
          <w:ilvl w:val="0"/>
          <w:numId w:val="1331"/>
        </w:numPr>
        <w:pStyle w:val="Compact"/>
      </w:pPr>
      <w:r>
        <w:t xml:space="preserve">seguimiento de las medidas correctoras;</w:t>
      </w:r>
    </w:p>
    <w:p>
      <w:pPr>
        <w:numPr>
          <w:ilvl w:val="0"/>
          <w:numId w:val="1331"/>
        </w:numPr>
        <w:pStyle w:val="Compact"/>
      </w:pPr>
      <w:r>
        <w:t xml:space="preserve">los antecedentes de las revisiones periódicas.</w:t>
      </w:r>
    </w:p>
    <w:bookmarkEnd w:id="1132"/>
    <w:bookmarkStart w:id="1133" w:name="prueba-de-auditoría-117"/>
    <w:p>
      <w:pPr>
        <w:pStyle w:val="Heading2"/>
      </w:pPr>
      <w:r>
        <w:rPr>
          <w:rStyle w:val="SectionNumber"/>
        </w:rPr>
        <w:t xml:space="preserve">1.1090</w:t>
      </w:r>
      <w:r>
        <w:tab/>
      </w:r>
      <w:r>
        <w:t xml:space="preserve">Prueba de auditoría</w:t>
      </w:r>
    </w:p>
    <w:p>
      <w:pPr>
        <w:pStyle w:val="FirstParagraph"/>
      </w:pPr>
      <w:r>
        <w:t xml:space="preserve">Confirme que la organización identificó a las autoridades pertinentes sobre la base de las funciones y actividades reales, encaminó correctamente las presentaciones, preservó pruebas consistentes, cumplió los plazos aplicables e intensificó adecuadamente la jurisdicción incierta o superpuesta.</w:t>
      </w:r>
    </w:p>
    <w:bookmarkEnd w:id="1133"/>
    <w:bookmarkStart w:id="1134" w:name="referencias-jurídicas-primarias-90"/>
    <w:p>
      <w:pPr>
        <w:pStyle w:val="Heading2"/>
      </w:pPr>
      <w:r>
        <w:rPr>
          <w:rStyle w:val="SectionNumber"/>
        </w:rPr>
        <w:t xml:space="preserve">1.1091</w:t>
      </w:r>
      <w:r>
        <w:tab/>
      </w:r>
      <w:r>
        <w:t xml:space="preserve">Referencias jurídicas primarias</w:t>
      </w:r>
    </w:p>
    <w:p>
      <w:pPr>
        <w:numPr>
          <w:ilvl w:val="0"/>
          <w:numId w:val="1332"/>
        </w:numPr>
        <w:pStyle w:val="Compact"/>
      </w:pPr>
      <w:r>
        <w:t xml:space="preserve">Reglamento (UE) 2024/1689, modificado por el Reglamento (UE) 2026/1744, en su caso: disposiciones por las que se crea la Oficina de Inteligencia Artificial, la Junta Europea de Inteligencia Artificial, las autoridades nacionales competentes, las funciones de vigilancia del mercado, la cooperación, la supervisión y la ejecución.</w:t>
      </w:r>
    </w:p>
    <w:p>
      <w:pPr>
        <w:numPr>
          <w:ilvl w:val="0"/>
          <w:numId w:val="1332"/>
        </w:numPr>
        <w:pStyle w:val="Compact"/>
      </w:pPr>
      <w:r>
        <w:t xml:space="preserve">Reglamento (UE) 2019/1020 y otros marcos de supervisión aplicables de la Unión y nacionales.</w:t>
      </w:r>
    </w:p>
    <w:p>
      <w:pPr>
        <w:numPr>
          <w:ilvl w:val="0"/>
          <w:numId w:val="1332"/>
        </w:numPr>
        <w:pStyle w:val="Compact"/>
      </w:pPr>
      <w:r>
        <w:t xml:space="preserve">Los textos oficiales consolidados actuales y las medidas nacionales de designación aplicables controlan los resúmenes antiguos.</w:t>
      </w:r>
    </w:p>
    <w:bookmarkEnd w:id="1134"/>
    <w:bookmarkStart w:id="1135" w:name="X3d7aecfa2f69de3f9efbcc1b1711e7d76cbbf18"/>
    <w:p>
      <w:pPr>
        <w:pStyle w:val="Heading2"/>
      </w:pPr>
      <w:r>
        <w:rPr>
          <w:rStyle w:val="SectionNumber"/>
        </w:rPr>
        <w:t xml:space="preserve">1.1092</w:t>
      </w:r>
      <w:r>
        <w:tab/>
      </w:r>
      <w:r>
        <w:t xml:space="preserve">Capítulo 123 — Autoridades de vigilancia del mercado</w:t>
      </w:r>
    </w:p>
    <w:p>
      <w:pPr>
        <w:pStyle w:val="BlockText"/>
      </w:pPr>
      <w:r>
        <w:rPr>
          <w:bCs/>
          <w:b/>
        </w:rPr>
        <w:t xml:space="preserve">Estatus legal:</w:t>
      </w:r>
      <w:r>
        <w:t xml:space="preserve"> </w:t>
      </w:r>
      <w:r>
        <w:t xml:space="preserve">Corregido Maestro Inglés para la consolidación. Este archivo controla el lenguaje de borrador anterior del Capítulo 123 en conflicto.</w:t>
      </w:r>
    </w:p>
    <w:bookmarkEnd w:id="1135"/>
    <w:bookmarkStart w:id="1136" w:name="requisito-121"/>
    <w:p>
      <w:pPr>
        <w:pStyle w:val="Heading2"/>
      </w:pPr>
      <w:r>
        <w:rPr>
          <w:rStyle w:val="SectionNumber"/>
        </w:rPr>
        <w:t xml:space="preserve">1.1093</w:t>
      </w:r>
      <w:r>
        <w:tab/>
      </w:r>
      <w:r>
        <w:t xml:space="preserve">Requisito</w:t>
      </w:r>
    </w:p>
    <w:p>
      <w:pPr>
        <w:pStyle w:val="FirstParagraph"/>
      </w:pPr>
      <w:r>
        <w:t xml:space="preserve">Los proveedores, los despliegues, los importadores, los distribuidores, los representantes autorizados y otros agentes pertinentes deben cooperar con las autoridades de vigilancia del mercado en la medida exigida por la Ley de IA de la UE, el Reglamento (UE) 2019/1020 y la legislación nacional aplicable. Los controles internos de preparación en este capítulo respaldan estas obligaciones y no limitan las competencias legales de una autoridad.</w:t>
      </w:r>
    </w:p>
    <w:bookmarkEnd w:id="1136"/>
    <w:bookmarkStart w:id="1137" w:name="explicación-en-lenguaje-sencillo-118"/>
    <w:p>
      <w:pPr>
        <w:pStyle w:val="Heading2"/>
      </w:pPr>
      <w:r>
        <w:rPr>
          <w:rStyle w:val="SectionNumber"/>
        </w:rPr>
        <w:t xml:space="preserve">1.1094</w:t>
      </w:r>
      <w:r>
        <w:tab/>
      </w:r>
      <w:r>
        <w:t xml:space="preserve">Explicación en lenguaje sencillo</w:t>
      </w:r>
    </w:p>
    <w:p>
      <w:pPr>
        <w:pStyle w:val="FirstParagraph"/>
      </w:pPr>
      <w:r>
        <w:t xml:space="preserve">Las autoridades de vigilancia del mercado pueden examinar si un sistema de IA cumple los requisitos aplicables, solicitar registros e información, obtener acceso, realizar evaluaciones o pruebas, exigir medidas correctivas, restringir la disponibilidad o el uso, o coordinarse con otras autoridades. Las organizaciones deben ser capaces de identificar los sistemas y versiones afectados, preservar las pruebas y responder de manera legal y precisa.</w:t>
      </w:r>
    </w:p>
    <w:bookmarkEnd w:id="1137"/>
    <w:bookmarkStart w:id="1138" w:name="requisitos-de-preparación-1"/>
    <w:p>
      <w:pPr>
        <w:pStyle w:val="Heading2"/>
      </w:pPr>
      <w:r>
        <w:rPr>
          <w:rStyle w:val="SectionNumber"/>
        </w:rPr>
        <w:t xml:space="preserve">1.1095</w:t>
      </w:r>
      <w:r>
        <w:tab/>
      </w:r>
      <w:r>
        <w:t xml:space="preserve">Requisitos de preparación</w:t>
      </w:r>
    </w:p>
    <w:p>
      <w:pPr>
        <w:pStyle w:val="FirstParagraph"/>
      </w:pPr>
      <w:r>
        <w:t xml:space="preserve">Mantener como mínimo:</w:t>
      </w:r>
    </w:p>
    <w:p>
      <w:pPr>
        <w:numPr>
          <w:ilvl w:val="0"/>
          <w:numId w:val="1333"/>
        </w:numPr>
        <w:pStyle w:val="Compact"/>
      </w:pPr>
      <w:r>
        <w:t xml:space="preserve">un inventario actual de los sistemas regulados de IA y de los operadores económicos responsables;</w:t>
      </w:r>
    </w:p>
    <w:p>
      <w:pPr>
        <w:numPr>
          <w:ilvl w:val="0"/>
          <w:numId w:val="1333"/>
        </w:numPr>
        <w:pStyle w:val="Compact"/>
      </w:pPr>
      <w:r>
        <w:t xml:space="preserve">la conformidad aplicable, la declaración, el registro, el marcado y los registros posteriores a la comercialización;</w:t>
      </w:r>
    </w:p>
    <w:p>
      <w:pPr>
        <w:numPr>
          <w:ilvl w:val="0"/>
          <w:numId w:val="1333"/>
        </w:numPr>
        <w:pStyle w:val="Compact"/>
      </w:pPr>
      <w:r>
        <w:t xml:space="preserve">documentación técnica, registros, gestión de riesgos, SGC, supervisión y pruebas de incidentes;</w:t>
      </w:r>
    </w:p>
    <w:p>
      <w:pPr>
        <w:numPr>
          <w:ilvl w:val="0"/>
          <w:numId w:val="1333"/>
        </w:numPr>
        <w:pStyle w:val="Compact"/>
      </w:pPr>
      <w:r>
        <w:t xml:space="preserve">procedimientos para las solicitudes de autoridad, acceso, pruebas, entrevistas y visitas sobre el terreno;</w:t>
      </w:r>
    </w:p>
    <w:p>
      <w:pPr>
        <w:numPr>
          <w:ilvl w:val="0"/>
          <w:numId w:val="1333"/>
        </w:numPr>
        <w:pStyle w:val="Compact"/>
      </w:pPr>
      <w:r>
        <w:t xml:space="preserve">la preservación y divulgación seguras de los registros, incluidas las garantías de secreto comercial y de datos personales compatibles con la ley;</w:t>
      </w:r>
    </w:p>
    <w:p>
      <w:pPr>
        <w:numPr>
          <w:ilvl w:val="0"/>
          <w:numId w:val="1333"/>
        </w:numPr>
        <w:pStyle w:val="Compact"/>
      </w:pPr>
      <w:r>
        <w:t xml:space="preserve">identificación rápida de los modelos, versiones del sistema, clientes, despliegues y jurisdicciones afectados;</w:t>
      </w:r>
    </w:p>
    <w:p>
      <w:pPr>
        <w:numPr>
          <w:ilvl w:val="0"/>
          <w:numId w:val="1333"/>
        </w:numPr>
        <w:pStyle w:val="Compact"/>
      </w:pPr>
      <w:r>
        <w:t xml:space="preserve">procedimientos de medidas correctivas, suspensión, retirada, retirada y comunicación;</w:t>
      </w:r>
    </w:p>
    <w:p>
      <w:pPr>
        <w:numPr>
          <w:ilvl w:val="0"/>
          <w:numId w:val="1333"/>
        </w:numPr>
        <w:pStyle w:val="Compact"/>
      </w:pPr>
      <w:r>
        <w:t xml:space="preserve">la escalada en caso de sospecha de incumplimiento, incidentes graves o riesgo sistémico;</w:t>
      </w:r>
    </w:p>
    <w:p>
      <w:pPr>
        <w:numPr>
          <w:ilvl w:val="0"/>
          <w:numId w:val="1333"/>
        </w:numPr>
        <w:pStyle w:val="Compact"/>
      </w:pPr>
      <w:r>
        <w:t xml:space="preserve">seguimiento de las instrucciones de la autoridad, los plazos, los compromisos y las pruebas de cierre;</w:t>
      </w:r>
    </w:p>
    <w:p>
      <w:pPr>
        <w:numPr>
          <w:ilvl w:val="0"/>
          <w:numId w:val="1333"/>
        </w:numPr>
        <w:pStyle w:val="Compact"/>
      </w:pPr>
      <w:r>
        <w:t xml:space="preserve">la coordinación con los organismos notificados, los proveedores, los clientes y otras autoridades cuando sea legalmente pertinente.</w:t>
      </w:r>
    </w:p>
    <w:bookmarkEnd w:id="1138"/>
    <w:bookmarkStart w:id="1139" w:name="ejemplo-de-globalway-116"/>
    <w:p>
      <w:pPr>
        <w:pStyle w:val="Heading2"/>
      </w:pPr>
      <w:r>
        <w:rPr>
          <w:rStyle w:val="SectionNumber"/>
        </w:rPr>
        <w:t xml:space="preserve">1.1096</w:t>
      </w:r>
      <w:r>
        <w:tab/>
      </w:r>
      <w:r>
        <w:t xml:space="preserve">Ejemplo de GlobalWay</w:t>
      </w:r>
    </w:p>
    <w:p>
      <w:pPr>
        <w:pStyle w:val="FirstParagraph"/>
      </w:pPr>
      <w:r>
        <w:t xml:space="preserve">Una autoridad nacional de vigilancia del mercado solicita pruebas de un sistema de asignación de empleados de alto riesgo. GlobalWay verifica la solicitud, conserva la versión de producción y los registros pertinentes, proporciona el archivo técnico y pruebas de seguimiento, coordina con el proveedor y el organismo notificado, cuando proceda, y rastrea todas las acciones correctoras y los plazos.</w:t>
      </w:r>
    </w:p>
    <w:bookmarkEnd w:id="1139"/>
    <w:bookmarkStart w:id="1140" w:name="actividad-de-control-117"/>
    <w:p>
      <w:pPr>
        <w:pStyle w:val="Heading2"/>
      </w:pPr>
      <w:r>
        <w:rPr>
          <w:rStyle w:val="SectionNumber"/>
        </w:rPr>
        <w:t xml:space="preserve">1.1097</w:t>
      </w:r>
      <w:r>
        <w:tab/>
      </w:r>
      <w:r>
        <w:t xml:space="preserve">Actividad de control</w:t>
      </w:r>
    </w:p>
    <w:p>
      <w:pPr>
        <w:pStyle w:val="FirstParagraph"/>
      </w:pPr>
      <w:r>
        <w:t xml:space="preserve">El cumplimiento debe mantener un procedimiento probado de respuesta a la vigilancia del mercado. Los sistemas de IA de materiales deben tener paquetes de pruebas vinculados a versiones y nombrar a los propietarios de respuestas capaces de apoyar el acceso de la autoridad, pruebas, medidas correctivas y comunicaciones.</w:t>
      </w:r>
    </w:p>
    <w:bookmarkEnd w:id="1140"/>
    <w:bookmarkStart w:id="1141" w:name="pruebas-122"/>
    <w:p>
      <w:pPr>
        <w:pStyle w:val="Heading2"/>
      </w:pPr>
      <w:r>
        <w:rPr>
          <w:rStyle w:val="SectionNumber"/>
        </w:rPr>
        <w:t xml:space="preserve">1.1098</w:t>
      </w:r>
      <w:r>
        <w:tab/>
      </w:r>
      <w:r>
        <w:t xml:space="preserve">Pruebas</w:t>
      </w:r>
    </w:p>
    <w:p>
      <w:pPr>
        <w:numPr>
          <w:ilvl w:val="0"/>
          <w:numId w:val="1334"/>
        </w:numPr>
        <w:pStyle w:val="Compact"/>
      </w:pPr>
      <w:r>
        <w:t xml:space="preserve">inventario del sistema y del operador económico;</w:t>
      </w:r>
    </w:p>
    <w:p>
      <w:pPr>
        <w:numPr>
          <w:ilvl w:val="0"/>
          <w:numId w:val="1334"/>
        </w:numPr>
        <w:pStyle w:val="Compact"/>
      </w:pPr>
      <w:r>
        <w:t xml:space="preserve">los registros de conformidad y registro;</w:t>
      </w:r>
    </w:p>
    <w:p>
      <w:pPr>
        <w:numPr>
          <w:ilvl w:val="0"/>
          <w:numId w:val="1334"/>
        </w:numPr>
        <w:pStyle w:val="Compact"/>
      </w:pPr>
      <w:r>
        <w:t xml:space="preserve">índice de pruebas técnicas y post-comercialización;</w:t>
      </w:r>
    </w:p>
    <w:p>
      <w:pPr>
        <w:numPr>
          <w:ilvl w:val="0"/>
          <w:numId w:val="1334"/>
        </w:numPr>
        <w:pStyle w:val="Compact"/>
      </w:pPr>
      <w:r>
        <w:t xml:space="preserve">correspondencia de la autoridad y registros de acceso;</w:t>
      </w:r>
    </w:p>
    <w:p>
      <w:pPr>
        <w:numPr>
          <w:ilvl w:val="0"/>
          <w:numId w:val="1334"/>
        </w:numPr>
        <w:pStyle w:val="Compact"/>
      </w:pPr>
      <w:r>
        <w:t xml:space="preserve">los registros de conservación y divulgación;</w:t>
      </w:r>
    </w:p>
    <w:p>
      <w:pPr>
        <w:numPr>
          <w:ilvl w:val="0"/>
          <w:numId w:val="1334"/>
        </w:numPr>
        <w:pStyle w:val="Compact"/>
      </w:pPr>
      <w:r>
        <w:t xml:space="preserve">los registros de medidas correctoras y restricciones;</w:t>
      </w:r>
    </w:p>
    <w:p>
      <w:pPr>
        <w:numPr>
          <w:ilvl w:val="0"/>
          <w:numId w:val="1334"/>
        </w:numPr>
        <w:pStyle w:val="Compact"/>
      </w:pPr>
      <w:r>
        <w:t xml:space="preserve">las comunicaciones entre clientes y personas afectadas;</w:t>
      </w:r>
    </w:p>
    <w:p>
      <w:pPr>
        <w:numPr>
          <w:ilvl w:val="0"/>
          <w:numId w:val="1334"/>
        </w:numPr>
        <w:pStyle w:val="Compact"/>
      </w:pPr>
      <w:r>
        <w:t xml:space="preserve">pruebas de cierre y seguimiento.</w:t>
      </w:r>
    </w:p>
    <w:bookmarkEnd w:id="1141"/>
    <w:bookmarkStart w:id="1142" w:name="prueba-de-auditoría-118"/>
    <w:p>
      <w:pPr>
        <w:pStyle w:val="Heading2"/>
      </w:pPr>
      <w:r>
        <w:rPr>
          <w:rStyle w:val="SectionNumber"/>
        </w:rPr>
        <w:t xml:space="preserve">1.1099</w:t>
      </w:r>
      <w:r>
        <w:tab/>
      </w:r>
      <w:r>
        <w:t xml:space="preserve">Prueba de auditoría</w:t>
      </w:r>
    </w:p>
    <w:p>
      <w:pPr>
        <w:pStyle w:val="FirstParagraph"/>
      </w:pPr>
      <w:r>
        <w:t xml:space="preserve">Inspeccione interacciones o ejercicios previos de vigilancia del mercado. Confirme que se identificaron los sistemas y versiones afectados, que las pruebas fueron completas y exactas, que la divulgación fue segura, que se siguieron las instrucciones de la autoridad y que se aplicaron y validaron medidas correctivas dentro de los plazos aplicables.</w:t>
      </w:r>
    </w:p>
    <w:bookmarkEnd w:id="1142"/>
    <w:bookmarkStart w:id="1143" w:name="referencias-jurídicas-primarias-91"/>
    <w:p>
      <w:pPr>
        <w:pStyle w:val="Heading2"/>
      </w:pPr>
      <w:r>
        <w:rPr>
          <w:rStyle w:val="SectionNumber"/>
        </w:rPr>
        <w:t xml:space="preserve">1.1100</w:t>
      </w:r>
      <w:r>
        <w:tab/>
      </w:r>
      <w:r>
        <w:t xml:space="preserve">Referencias jurídicas primarias</w:t>
      </w:r>
    </w:p>
    <w:p>
      <w:pPr>
        <w:numPr>
          <w:ilvl w:val="0"/>
          <w:numId w:val="1335"/>
        </w:numPr>
        <w:pStyle w:val="Compact"/>
      </w:pPr>
      <w:r>
        <w:t xml:space="preserve">Reglamento (UE) 2024/1689, modificado: vigilancia del mercado, acceso de la autoridad, pruebas, evaluación, cooperación, medidas correctoras, restricción, retirada, retirada y ejecución.</w:t>
      </w:r>
    </w:p>
    <w:p>
      <w:pPr>
        <w:numPr>
          <w:ilvl w:val="0"/>
          <w:numId w:val="1335"/>
        </w:numPr>
        <w:pStyle w:val="Compact"/>
      </w:pPr>
      <w:r>
        <w:t xml:space="preserve">Reglamento (UE) 2019/1020, según proceda.</w:t>
      </w:r>
    </w:p>
    <w:p>
      <w:pPr>
        <w:numPr>
          <w:ilvl w:val="0"/>
          <w:numId w:val="1335"/>
        </w:numPr>
        <w:pStyle w:val="Compact"/>
      </w:pPr>
      <w:r>
        <w:t xml:space="preserve">Los textos oficiales consolidados actuales y las medidas nacionales de aplicación o designación aplicables controlan los resúmenes antiguos.</w:t>
      </w:r>
    </w:p>
    <w:bookmarkEnd w:id="1143"/>
    <w:bookmarkStart w:id="1144" w:name="X12bc55bef82e4868cdfad6f927c7c57480ed8fe"/>
    <w:p>
      <w:pPr>
        <w:pStyle w:val="Heading2"/>
      </w:pPr>
      <w:r>
        <w:rPr>
          <w:rStyle w:val="SectionNumber"/>
        </w:rPr>
        <w:t xml:space="preserve">1.1101</w:t>
      </w:r>
      <w:r>
        <w:tab/>
      </w:r>
      <w:r>
        <w:t xml:space="preserve">Capítulo 124 — Investigaciones y solicitudes de información</w:t>
      </w:r>
    </w:p>
    <w:p>
      <w:pPr>
        <w:pStyle w:val="BlockText"/>
      </w:pPr>
      <w:r>
        <w:rPr>
          <w:bCs/>
          <w:b/>
        </w:rPr>
        <w:t xml:space="preserve">Estatus legal:</w:t>
      </w:r>
      <w:r>
        <w:t xml:space="preserve"> </w:t>
      </w:r>
      <w:r>
        <w:t xml:space="preserve">Corregido Maestro Inglés para la consolidación. Este archivo controla el lenguaje de borrador anterior del Capítulo 124.</w:t>
      </w:r>
    </w:p>
    <w:bookmarkEnd w:id="1144"/>
    <w:bookmarkStart w:id="1145" w:name="requisito-122"/>
    <w:p>
      <w:pPr>
        <w:pStyle w:val="Heading2"/>
      </w:pPr>
      <w:r>
        <w:rPr>
          <w:rStyle w:val="SectionNumber"/>
        </w:rPr>
        <w:t xml:space="preserve">1.1102</w:t>
      </w:r>
      <w:r>
        <w:tab/>
      </w:r>
      <w:r>
        <w:t xml:space="preserve">Requisito</w:t>
      </w:r>
    </w:p>
    <w:p>
      <w:pPr>
        <w:pStyle w:val="FirstParagraph"/>
      </w:pPr>
      <w:r>
        <w:t xml:space="preserve">Las organizaciones deben responder a las investigaciones y solicitudes de información legalmente válidas dentro del alcance, la manera y el plazo requeridos por la ley aplicable. Los controles internos de investigación-respuesta son prácticas de gobernanza que apoyan la exactitud, preservación, cooperación, confidencialidad y responsabilidad; no reducen ni amplían los poderes legales de una autoridad.</w:t>
      </w:r>
    </w:p>
    <w:bookmarkEnd w:id="1145"/>
    <w:bookmarkStart w:id="1146" w:name="explicación-en-lenguaje-sencillo-119"/>
    <w:p>
      <w:pPr>
        <w:pStyle w:val="Heading2"/>
      </w:pPr>
      <w:r>
        <w:rPr>
          <w:rStyle w:val="SectionNumber"/>
        </w:rPr>
        <w:t xml:space="preserve">1.1103</w:t>
      </w:r>
      <w:r>
        <w:tab/>
      </w:r>
      <w:r>
        <w:t xml:space="preserve">Explicación en lenguaje sencillo</w:t>
      </w:r>
    </w:p>
    <w:p>
      <w:pPr>
        <w:pStyle w:val="FirstParagraph"/>
      </w:pPr>
      <w:r>
        <w:t xml:space="preserve">Una investigación puede incluir documentos, registros, información de origen, acceso al modelo o sistema, entrevistas, pruebas, explicaciones, incidentes, quejas, contratos o pruebas sobre las personas afectadas. Una respuesta apresurada o no coordinada puede crear problemas legales, de hecho, de privacidad, seguridad y credibilidad.</w:t>
      </w:r>
    </w:p>
    <w:bookmarkEnd w:id="1146"/>
    <w:bookmarkStart w:id="1147" w:name="requisitos-de-respuesta"/>
    <w:p>
      <w:pPr>
        <w:pStyle w:val="Heading2"/>
      </w:pPr>
      <w:r>
        <w:rPr>
          <w:rStyle w:val="SectionNumber"/>
        </w:rPr>
        <w:t xml:space="preserve">1.1104</w:t>
      </w:r>
      <w:r>
        <w:tab/>
      </w:r>
      <w:r>
        <w:t xml:space="preserve">Requisitos de respuesta</w:t>
      </w:r>
    </w:p>
    <w:p>
      <w:pPr>
        <w:pStyle w:val="FirstParagraph"/>
      </w:pPr>
      <w:r>
        <w:t xml:space="preserve">Mantener como mínimo:</w:t>
      </w:r>
    </w:p>
    <w:p>
      <w:pPr>
        <w:numPr>
          <w:ilvl w:val="0"/>
          <w:numId w:val="1336"/>
        </w:numPr>
        <w:pStyle w:val="Compact"/>
      </w:pPr>
      <w:r>
        <w:t xml:space="preserve">procedimientos para verificar la autoridad requirente, la base jurídica, el alcance, el plazo y el método de entrega;</w:t>
      </w:r>
    </w:p>
    <w:p>
      <w:pPr>
        <w:numPr>
          <w:ilvl w:val="0"/>
          <w:numId w:val="1336"/>
        </w:numPr>
        <w:pStyle w:val="Compact"/>
      </w:pPr>
      <w:r>
        <w:t xml:space="preserve">la conservación inmediata y las medidas de conservación legal;</w:t>
      </w:r>
    </w:p>
    <w:p>
      <w:pPr>
        <w:numPr>
          <w:ilvl w:val="0"/>
          <w:numId w:val="1336"/>
        </w:numPr>
        <w:pStyle w:val="Compact"/>
      </w:pPr>
      <w:r>
        <w:t xml:space="preserve">identificación de los sistemas, modelos, versiones, datos, proveedores, decisiones, personas y jurisdicciones afectados;</w:t>
      </w:r>
    </w:p>
    <w:p>
      <w:pPr>
        <w:numPr>
          <w:ilvl w:val="0"/>
          <w:numId w:val="1336"/>
        </w:numPr>
        <w:pStyle w:val="Compact"/>
      </w:pPr>
      <w:r>
        <w:t xml:space="preserve">un equipo de respuesta con representación legal, de cumplimiento, de privacidad, de seguridad, técnica, de registros y empresarial;</w:t>
      </w:r>
    </w:p>
    <w:p>
      <w:pPr>
        <w:numPr>
          <w:ilvl w:val="0"/>
          <w:numId w:val="1336"/>
        </w:numPr>
        <w:pStyle w:val="Compact"/>
      </w:pPr>
      <w:r>
        <w:t xml:space="preserve">recopilación de datos, verificación de fuentes, control de versiones y cadena de custodia;</w:t>
      </w:r>
    </w:p>
    <w:p>
      <w:pPr>
        <w:numPr>
          <w:ilvl w:val="0"/>
          <w:numId w:val="1336"/>
        </w:numPr>
        <w:pStyle w:val="Compact"/>
      </w:pPr>
      <w:r>
        <w:t xml:space="preserve">controles de los privilegios, los secretos comerciales, los datos personales, la información comercial confidencial y el material sensible a la seguridad conforme a la ley;</w:t>
      </w:r>
    </w:p>
    <w:p>
      <w:pPr>
        <w:numPr>
          <w:ilvl w:val="0"/>
          <w:numId w:val="1336"/>
        </w:numPr>
        <w:pStyle w:val="Compact"/>
      </w:pPr>
      <w:r>
        <w:t xml:space="preserve">la divulgación segura, el registro de acceso y la aprobación de la presentación;</w:t>
      </w:r>
    </w:p>
    <w:p>
      <w:pPr>
        <w:numPr>
          <w:ilvl w:val="0"/>
          <w:numId w:val="1336"/>
        </w:numPr>
        <w:pStyle w:val="Compact"/>
      </w:pPr>
      <w:r>
        <w:t xml:space="preserve">procedimientos para entrevistas, demostraciones, pruebas técnicas y preguntas de seguimiento;</w:t>
      </w:r>
    </w:p>
    <w:p>
      <w:pPr>
        <w:numPr>
          <w:ilvl w:val="0"/>
          <w:numId w:val="1336"/>
        </w:numPr>
        <w:pStyle w:val="Compact"/>
      </w:pPr>
      <w:r>
        <w:t xml:space="preserve">aumento de las pruebas desaparecidas, contradictorias, inaccesibles o potencialmente inexactas;</w:t>
      </w:r>
    </w:p>
    <w:p>
      <w:pPr>
        <w:numPr>
          <w:ilvl w:val="0"/>
          <w:numId w:val="1336"/>
        </w:numPr>
        <w:pStyle w:val="Compact"/>
      </w:pPr>
      <w:r>
        <w:t xml:space="preserve">seguimiento de los compromisos, medidas correctoras, plazos y seguimiento posterior a la investigación.</w:t>
      </w:r>
    </w:p>
    <w:bookmarkEnd w:id="1147"/>
    <w:bookmarkStart w:id="1148" w:name="ejemplo-de-globalway-117"/>
    <w:p>
      <w:pPr>
        <w:pStyle w:val="Heading2"/>
      </w:pPr>
      <w:r>
        <w:rPr>
          <w:rStyle w:val="SectionNumber"/>
        </w:rPr>
        <w:t xml:space="preserve">1.1105</w:t>
      </w:r>
      <w:r>
        <w:tab/>
      </w:r>
      <w:r>
        <w:t xml:space="preserve">Ejemplo de GlobalWay</w:t>
      </w:r>
    </w:p>
    <w:p>
      <w:pPr>
        <w:pStyle w:val="FirstParagraph"/>
      </w:pPr>
      <w:r>
        <w:t xml:space="preserve">GlobalWay recibe una solicitud relativa a la presunta discriminación en un sistema de selección de la contratación, conserva las versiones modelo pertinentes, los registros de solicitantes, los registros, las pruebas de examen humano, la documentación del proveedor, las quejas y los resultados de validación; verifica los hechos; coordina la divulgación legal; y registra todas las presentaciones y medidas de seguimiento.</w:t>
      </w:r>
    </w:p>
    <w:bookmarkEnd w:id="1148"/>
    <w:bookmarkStart w:id="1149" w:name="actividad-de-control-118"/>
    <w:p>
      <w:pPr>
        <w:pStyle w:val="Heading2"/>
      </w:pPr>
      <w:r>
        <w:rPr>
          <w:rStyle w:val="SectionNumber"/>
        </w:rPr>
        <w:t xml:space="preserve">1.1106</w:t>
      </w:r>
      <w:r>
        <w:tab/>
      </w:r>
      <w:r>
        <w:t xml:space="preserve">Actividad de control</w:t>
      </w:r>
    </w:p>
    <w:p>
      <w:pPr>
        <w:pStyle w:val="FirstParagraph"/>
      </w:pPr>
      <w:r>
        <w:t xml:space="preserve">El cumplimiento legal y el cumplimiento deben controlar todas las respuestas formales de la investigación. Ningún empleado puede proporcionar representaciones técnicas, legales o fácticas no verificadas en nombre de la organización fuera del proceso de respuesta aprobado.</w:t>
      </w:r>
    </w:p>
    <w:bookmarkEnd w:id="1149"/>
    <w:bookmarkStart w:id="1150" w:name="pruebas-123"/>
    <w:p>
      <w:pPr>
        <w:pStyle w:val="Heading2"/>
      </w:pPr>
      <w:r>
        <w:rPr>
          <w:rStyle w:val="SectionNumber"/>
        </w:rPr>
        <w:t xml:space="preserve">1.1107</w:t>
      </w:r>
      <w:r>
        <w:tab/>
      </w:r>
      <w:r>
        <w:t xml:space="preserve">Pruebas</w:t>
      </w:r>
    </w:p>
    <w:p>
      <w:pPr>
        <w:numPr>
          <w:ilvl w:val="0"/>
          <w:numId w:val="1337"/>
        </w:numPr>
        <w:pStyle w:val="Compact"/>
      </w:pPr>
      <w:r>
        <w:t xml:space="preserve">solicitud y registro de verificación de la autoridad;</w:t>
      </w:r>
    </w:p>
    <w:p>
      <w:pPr>
        <w:numPr>
          <w:ilvl w:val="0"/>
          <w:numId w:val="1337"/>
        </w:numPr>
        <w:pStyle w:val="Compact"/>
      </w:pPr>
      <w:r>
        <w:t xml:space="preserve">la posesión legal y el registro de conservación;</w:t>
      </w:r>
    </w:p>
    <w:p>
      <w:pPr>
        <w:numPr>
          <w:ilvl w:val="0"/>
          <w:numId w:val="1337"/>
        </w:numPr>
        <w:pStyle w:val="Compact"/>
      </w:pPr>
      <w:r>
        <w:t xml:space="preserve">recopilación de pruebas y registro de la cadena de custodia;</w:t>
      </w:r>
    </w:p>
    <w:p>
      <w:pPr>
        <w:numPr>
          <w:ilvl w:val="0"/>
          <w:numId w:val="1337"/>
        </w:numPr>
        <w:pStyle w:val="Compact"/>
      </w:pPr>
      <w:r>
        <w:t xml:space="preserve">la cronología de hechos y cuestiones;</w:t>
      </w:r>
    </w:p>
    <w:p>
      <w:pPr>
        <w:numPr>
          <w:ilvl w:val="0"/>
          <w:numId w:val="1337"/>
        </w:numPr>
        <w:pStyle w:val="Compact"/>
      </w:pPr>
      <w:r>
        <w:t xml:space="preserve">los registros de revisión y aprobación;</w:t>
      </w:r>
    </w:p>
    <w:p>
      <w:pPr>
        <w:numPr>
          <w:ilvl w:val="0"/>
          <w:numId w:val="1337"/>
        </w:numPr>
        <w:pStyle w:val="Compact"/>
      </w:pPr>
      <w:r>
        <w:t xml:space="preserve">el paquete de presentación y los registros de transferencia segura;</w:t>
      </w:r>
    </w:p>
    <w:p>
      <w:pPr>
        <w:numPr>
          <w:ilvl w:val="0"/>
          <w:numId w:val="1337"/>
        </w:numPr>
        <w:pStyle w:val="Compact"/>
      </w:pPr>
      <w:r>
        <w:t xml:space="preserve">los registros de entrevistas y pruebas;</w:t>
      </w:r>
    </w:p>
    <w:p>
      <w:pPr>
        <w:numPr>
          <w:ilvl w:val="0"/>
          <w:numId w:val="1337"/>
        </w:numPr>
        <w:pStyle w:val="Compact"/>
      </w:pPr>
      <w:r>
        <w:t xml:space="preserve">compromisos, medidas correctivas y pruebas de cierre.</w:t>
      </w:r>
    </w:p>
    <w:bookmarkEnd w:id="1150"/>
    <w:bookmarkStart w:id="1151" w:name="prueba-de-auditoría-119"/>
    <w:p>
      <w:pPr>
        <w:pStyle w:val="Heading2"/>
      </w:pPr>
      <w:r>
        <w:rPr>
          <w:rStyle w:val="SectionNumber"/>
        </w:rPr>
        <w:t xml:space="preserve">1.1108</w:t>
      </w:r>
      <w:r>
        <w:tab/>
      </w:r>
      <w:r>
        <w:t xml:space="preserve">Prueba de auditoría</w:t>
      </w:r>
    </w:p>
    <w:p>
      <w:pPr>
        <w:pStyle w:val="FirstParagraph"/>
      </w:pPr>
      <w:r>
        <w:t xml:space="preserve">Inspeccione investigaciones previas o solicitudes simuladas. Confirme que la organización verificó autoridad y alcance, preservó pruebas rápidamente, produjo información exacta vinculada a versiones, protegió material sensible adecuadamente, cumplió los plazos aplicables, y siguió de cerca los compromisos y la rehabilitación del cierre.</w:t>
      </w:r>
    </w:p>
    <w:bookmarkEnd w:id="1151"/>
    <w:bookmarkStart w:id="1152" w:name="referencias-jurídicas-primarias-92"/>
    <w:p>
      <w:pPr>
        <w:pStyle w:val="Heading2"/>
      </w:pPr>
      <w:r>
        <w:rPr>
          <w:rStyle w:val="SectionNumber"/>
        </w:rPr>
        <w:t xml:space="preserve">1.1109</w:t>
      </w:r>
      <w:r>
        <w:tab/>
      </w:r>
      <w:r>
        <w:t xml:space="preserve">Referencias jurídicas primarias</w:t>
      </w:r>
    </w:p>
    <w:p>
      <w:pPr>
        <w:numPr>
          <w:ilvl w:val="0"/>
          <w:numId w:val="1338"/>
        </w:numPr>
        <w:pStyle w:val="Compact"/>
      </w:pPr>
      <w:r>
        <w:t xml:space="preserve">Reglamento (UE) 2024/1689, modificado: competencias de la autoridad competente, acceso a la documentación y a los datos, pruebas, investigación, cooperación, vigilancia del mercado, vigilancia, incidentes, medidas correctoras y disposiciones de aplicación.</w:t>
      </w:r>
    </w:p>
    <w:p>
      <w:pPr>
        <w:numPr>
          <w:ilvl w:val="0"/>
          <w:numId w:val="1338"/>
        </w:numPr>
        <w:pStyle w:val="Compact"/>
      </w:pPr>
      <w:r>
        <w:t xml:space="preserve">Reglamento (UE) 2019/1020 y legislación procesal nacional aplicable.</w:t>
      </w:r>
    </w:p>
    <w:p>
      <w:pPr>
        <w:numPr>
          <w:ilvl w:val="0"/>
          <w:numId w:val="1338"/>
        </w:numPr>
        <w:pStyle w:val="Compact"/>
      </w:pPr>
      <w:r>
        <w:t xml:space="preserve">Reglamento (UE) 2016/679 y otros requisitos aplicables en materia de confidencialidad, ciberseguridad, privilegios, empleo, seguridad de los productos y sector.</w:t>
      </w:r>
    </w:p>
    <w:p>
      <w:pPr>
        <w:numPr>
          <w:ilvl w:val="0"/>
          <w:numId w:val="1338"/>
        </w:numPr>
        <w:pStyle w:val="Compact"/>
      </w:pPr>
      <w:r>
        <w:t xml:space="preserve">Los textos oficiales consolidados actuales controlan los resúmenes antiguos.</w:t>
      </w:r>
    </w:p>
    <w:bookmarkEnd w:id="1152"/>
    <w:bookmarkStart w:id="1153" w:name="Xc1d487bb4b5e70ed62bbfebf5ef20dd37b30630"/>
    <w:p>
      <w:pPr>
        <w:pStyle w:val="Heading2"/>
      </w:pPr>
      <w:r>
        <w:rPr>
          <w:rStyle w:val="SectionNumber"/>
        </w:rPr>
        <w:t xml:space="preserve">1.1110</w:t>
      </w:r>
      <w:r>
        <w:tab/>
      </w:r>
      <w:r>
        <w:t xml:space="preserve">Capítulo 125 — Multas administrativas y exposición</w:t>
      </w:r>
    </w:p>
    <w:p>
      <w:pPr>
        <w:pStyle w:val="BlockText"/>
      </w:pPr>
      <w:r>
        <w:rPr>
          <w:bCs/>
          <w:b/>
        </w:rPr>
        <w:t xml:space="preserve">Estatus legal:</w:t>
      </w:r>
      <w:r>
        <w:t xml:space="preserve"> </w:t>
      </w:r>
      <w:r>
        <w:t xml:space="preserve">Corregido Maestro de inglés para la consolidación. Este archivo controla el lenguaje de borrador anterior del Capítulo 125.</w:t>
      </w:r>
    </w:p>
    <w:bookmarkEnd w:id="1153"/>
    <w:bookmarkStart w:id="1154" w:name="requisito-123"/>
    <w:p>
      <w:pPr>
        <w:pStyle w:val="Heading2"/>
      </w:pPr>
      <w:r>
        <w:rPr>
          <w:rStyle w:val="SectionNumber"/>
        </w:rPr>
        <w:t xml:space="preserve">1.1111</w:t>
      </w:r>
      <w:r>
        <w:tab/>
      </w:r>
      <w:r>
        <w:t xml:space="preserve">Requisito</w:t>
      </w:r>
    </w:p>
    <w:p>
      <w:pPr>
        <w:pStyle w:val="FirstParagraph"/>
      </w:pPr>
      <w:r>
        <w:t xml:space="preserve">Las organizaciones deben comprender y regular la exposición a multas administrativas y otras consecuencias de la aplicación de la Ley de IA de la UE y la legislación conexa. La exposición a multas depende de la disposición legal violada, el actor regulado, los hechos, el tamaño y el volumen de negocios de la organización, la gravedad y duración de la infracción, la cooperación, las medidas correctivas, las infracciones previas y otros factores considerados por la autoridad competente.</w:t>
      </w:r>
    </w:p>
    <w:bookmarkEnd w:id="1154"/>
    <w:bookmarkStart w:id="1155" w:name="explicación-en-lenguaje-sencillo-120"/>
    <w:p>
      <w:pPr>
        <w:pStyle w:val="Heading2"/>
      </w:pPr>
      <w:r>
        <w:rPr>
          <w:rStyle w:val="SectionNumber"/>
        </w:rPr>
        <w:t xml:space="preserve">1.1112</w:t>
      </w:r>
      <w:r>
        <w:tab/>
      </w:r>
      <w:r>
        <w:t xml:space="preserve">Explicación en lenguaje sencillo</w:t>
      </w:r>
    </w:p>
    <w:p>
      <w:pPr>
        <w:pStyle w:val="FirstParagraph"/>
      </w:pPr>
      <w:r>
        <w:t xml:space="preserve">Las autoridades evalúan la infracción y las circunstancias específicas. Las organizaciones no deben reducir la exposición a la ejecución a un solo porcentaje o asumir que pagar una multa resuelve otras consecuencias tales como órdenes correctivas, retiro, retiro, suspensión, litigios, reclamaciones contractuales o daños a la reputación.</w:t>
      </w:r>
    </w:p>
    <w:bookmarkEnd w:id="1155"/>
    <w:bookmarkStart w:id="1156" w:name="Xb1e688ae9f61f7146b480179abb07031428b192"/>
    <w:p>
      <w:pPr>
        <w:pStyle w:val="Heading2"/>
      </w:pPr>
      <w:r>
        <w:rPr>
          <w:rStyle w:val="SectionNumber"/>
        </w:rPr>
        <w:t xml:space="preserve">1.1113</w:t>
      </w:r>
      <w:r>
        <w:tab/>
      </w:r>
      <w:r>
        <w:t xml:space="preserve">Requisitos de evaluación de la exposición</w:t>
      </w:r>
    </w:p>
    <w:p>
      <w:pPr>
        <w:pStyle w:val="FirstParagraph"/>
      </w:pPr>
      <w:r>
        <w:t xml:space="preserve">Evaluar como mínimo:</w:t>
      </w:r>
    </w:p>
    <w:p>
      <w:pPr>
        <w:numPr>
          <w:ilvl w:val="0"/>
          <w:numId w:val="1339"/>
        </w:numPr>
        <w:pStyle w:val="Compact"/>
      </w:pPr>
      <w:r>
        <w:t xml:space="preserve">la disposición jurídica y la obligación de los agentes potencialmente violadas;</w:t>
      </w:r>
    </w:p>
    <w:p>
      <w:pPr>
        <w:numPr>
          <w:ilvl w:val="0"/>
          <w:numId w:val="1339"/>
        </w:numPr>
        <w:pStyle w:val="Compact"/>
      </w:pPr>
      <w:r>
        <w:t xml:space="preserve">la categoría de multa máxima aplicable y la base de cálculo;</w:t>
      </w:r>
    </w:p>
    <w:p>
      <w:pPr>
        <w:numPr>
          <w:ilvl w:val="0"/>
          <w:numId w:val="1339"/>
        </w:numPr>
        <w:pStyle w:val="Compact"/>
      </w:pPr>
      <w:r>
        <w:t xml:space="preserve">el volumen de negocios anual a nivel mundial y las consideraciones del grupo de empresas cuando sean jurídicamente pertinentes;</w:t>
      </w:r>
    </w:p>
    <w:p>
      <w:pPr>
        <w:numPr>
          <w:ilvl w:val="0"/>
          <w:numId w:val="1339"/>
        </w:numPr>
        <w:pStyle w:val="Compact"/>
      </w:pPr>
      <w:r>
        <w:t xml:space="preserve">gravedad, duración, alcance, intención, negligencia y personas afectadas;</w:t>
      </w:r>
    </w:p>
    <w:p>
      <w:pPr>
        <w:numPr>
          <w:ilvl w:val="0"/>
          <w:numId w:val="1339"/>
        </w:numPr>
        <w:pStyle w:val="Compact"/>
      </w:pPr>
      <w:r>
        <w:t xml:space="preserve">infracciones previas y fallos en el control repetido;</w:t>
      </w:r>
    </w:p>
    <w:p>
      <w:pPr>
        <w:numPr>
          <w:ilvl w:val="0"/>
          <w:numId w:val="1339"/>
        </w:numPr>
        <w:pStyle w:val="Compact"/>
      </w:pPr>
      <w:r>
        <w:t xml:space="preserve">cooperación, preservación de pruebas, notificación y rehabilitación;</w:t>
      </w:r>
    </w:p>
    <w:p>
      <w:pPr>
        <w:numPr>
          <w:ilvl w:val="0"/>
          <w:numId w:val="1339"/>
        </w:numPr>
        <w:pStyle w:val="Compact"/>
      </w:pPr>
      <w:r>
        <w:t xml:space="preserve">ganancias obtenidas o pérdidas evitadas;</w:t>
      </w:r>
    </w:p>
    <w:p>
      <w:pPr>
        <w:numPr>
          <w:ilvl w:val="0"/>
          <w:numId w:val="1339"/>
        </w:numPr>
        <w:pStyle w:val="Compact"/>
      </w:pPr>
      <w:r>
        <w:t xml:space="preserve">solapamiento con el RGPD, los consumidores, el empleo, la ciberseguridad, la seguridad de los productos, la competencia y la aplicación del sector;</w:t>
      </w:r>
    </w:p>
    <w:p>
      <w:pPr>
        <w:numPr>
          <w:ilvl w:val="0"/>
          <w:numId w:val="1339"/>
        </w:numPr>
        <w:pStyle w:val="Compact"/>
      </w:pPr>
      <w:r>
        <w:t xml:space="preserve">las medidas no monetarias, incluidas la restricción, la retirada, la retirada, la suspensión o la exposición al mercado;</w:t>
      </w:r>
    </w:p>
    <w:p>
      <w:pPr>
        <w:numPr>
          <w:ilvl w:val="0"/>
          <w:numId w:val="1339"/>
        </w:numPr>
        <w:pStyle w:val="Compact"/>
      </w:pPr>
      <w:r>
        <w:t xml:space="preserve">los límites de seguro, asignación contractual, indemnización y recuperación;</w:t>
      </w:r>
    </w:p>
    <w:p>
      <w:pPr>
        <w:numPr>
          <w:ilvl w:val="0"/>
          <w:numId w:val="1339"/>
        </w:numPr>
        <w:pStyle w:val="Compact"/>
      </w:pPr>
      <w:r>
        <w:t xml:space="preserve">la contabilidad, la divulgación y las consecuencias jurídicas en materia de reservas;</w:t>
      </w:r>
    </w:p>
    <w:p>
      <w:pPr>
        <w:numPr>
          <w:ilvl w:val="0"/>
          <w:numId w:val="1339"/>
        </w:numPr>
        <w:pStyle w:val="Compact"/>
      </w:pPr>
      <w:r>
        <w:t xml:space="preserve">Junta Directiva y escalada ejecutiva.</w:t>
      </w:r>
    </w:p>
    <w:bookmarkEnd w:id="1156"/>
    <w:bookmarkStart w:id="1157" w:name="ejemplo-de-globalway-118"/>
    <w:p>
      <w:pPr>
        <w:pStyle w:val="Heading2"/>
      </w:pPr>
      <w:r>
        <w:rPr>
          <w:rStyle w:val="SectionNumber"/>
        </w:rPr>
        <w:t xml:space="preserve">1.1114</w:t>
      </w:r>
      <w:r>
        <w:tab/>
      </w:r>
      <w:r>
        <w:t xml:space="preserve">Ejemplo de GlobalWay</w:t>
      </w:r>
    </w:p>
    <w:p>
      <w:pPr>
        <w:pStyle w:val="FirstParagraph"/>
      </w:pPr>
      <w:r>
        <w:t xml:space="preserve">GlobalWay identifica que un sistema de reclutamiento de alto riesgo puede haber sido implementado sin evidencia completa de conformidad. Legal evalúa las disposiciones aplicables de la Ley de IA, rol de actor, posible categoría de multa, solicitantes afectados, alertas previas, estado de rehabilitación, exposición relacionada al RGPD, y el riesgo de suspensión u orden correctiva antes de asesorar a ejecutivos.</w:t>
      </w:r>
    </w:p>
    <w:bookmarkEnd w:id="1157"/>
    <w:bookmarkStart w:id="1158" w:name="actividad-de-control-119"/>
    <w:p>
      <w:pPr>
        <w:pStyle w:val="Heading2"/>
      </w:pPr>
      <w:r>
        <w:rPr>
          <w:rStyle w:val="SectionNumber"/>
        </w:rPr>
        <w:t xml:space="preserve">1.1115</w:t>
      </w:r>
      <w:r>
        <w:tab/>
      </w:r>
      <w:r>
        <w:t xml:space="preserve">Actividad de control</w:t>
      </w:r>
    </w:p>
    <w:p>
      <w:pPr>
        <w:pStyle w:val="FirstParagraph"/>
      </w:pPr>
      <w:r>
        <w:t xml:space="preserve">La legislación y el cumplimiento deben mantener una matriz actual de ejecución y exposición vinculada al inventario de IA, el papel de actor, las disposiciones aplicables, los registros de incidentes y deficiencias y los umbrales de aumento. La exposición estimada debe etiquetarse claramente como preliminar y no debe presentarse como una decisión de autoridad prevista.</w:t>
      </w:r>
    </w:p>
    <w:bookmarkEnd w:id="1158"/>
    <w:bookmarkStart w:id="1159" w:name="pruebas-124"/>
    <w:p>
      <w:pPr>
        <w:pStyle w:val="Heading2"/>
      </w:pPr>
      <w:r>
        <w:rPr>
          <w:rStyle w:val="SectionNumber"/>
        </w:rPr>
        <w:t xml:space="preserve">1.1116</w:t>
      </w:r>
      <w:r>
        <w:tab/>
      </w:r>
      <w:r>
        <w:t xml:space="preserve">Pruebas</w:t>
      </w:r>
    </w:p>
    <w:p>
      <w:pPr>
        <w:numPr>
          <w:ilvl w:val="0"/>
          <w:numId w:val="1340"/>
        </w:numPr>
        <w:pStyle w:val="Compact"/>
      </w:pPr>
      <w:r>
        <w:t xml:space="preserve">evaluación de la exposición jurídica;</w:t>
      </w:r>
    </w:p>
    <w:p>
      <w:pPr>
        <w:numPr>
          <w:ilvl w:val="0"/>
          <w:numId w:val="1340"/>
        </w:numPr>
        <w:pStyle w:val="Compact"/>
      </w:pPr>
      <w:r>
        <w:t xml:space="preserve">análisis de las categorías de multa aplicables;</w:t>
      </w:r>
    </w:p>
    <w:p>
      <w:pPr>
        <w:numPr>
          <w:ilvl w:val="0"/>
          <w:numId w:val="1340"/>
        </w:numPr>
        <w:pStyle w:val="Compact"/>
      </w:pPr>
      <w:r>
        <w:t xml:space="preserve">el volumen de negocios y los registros de las entidades;</w:t>
      </w:r>
    </w:p>
    <w:p>
      <w:pPr>
        <w:numPr>
          <w:ilvl w:val="0"/>
          <w:numId w:val="1340"/>
        </w:numPr>
        <w:pStyle w:val="Compact"/>
      </w:pPr>
      <w:r>
        <w:t xml:space="preserve">pruebas de incidentes, quejas y medidas correctivas;</w:t>
      </w:r>
    </w:p>
    <w:p>
      <w:pPr>
        <w:numPr>
          <w:ilvl w:val="0"/>
          <w:numId w:val="1340"/>
        </w:numPr>
        <w:pStyle w:val="Compact"/>
      </w:pPr>
      <w:r>
        <w:t xml:space="preserve">correspondencia con la autoridad;</w:t>
      </w:r>
    </w:p>
    <w:p>
      <w:pPr>
        <w:numPr>
          <w:ilvl w:val="0"/>
          <w:numId w:val="1340"/>
        </w:numPr>
        <w:pStyle w:val="Compact"/>
      </w:pPr>
      <w:r>
        <w:t xml:space="preserve">aumento de la escala directiva y ejecutiva;</w:t>
      </w:r>
    </w:p>
    <w:p>
      <w:pPr>
        <w:numPr>
          <w:ilvl w:val="0"/>
          <w:numId w:val="1340"/>
        </w:numPr>
        <w:pStyle w:val="Compact"/>
      </w:pPr>
      <w:r>
        <w:t xml:space="preserve">análisis de contabilidad y divulgación;</w:t>
      </w:r>
    </w:p>
    <w:p>
      <w:pPr>
        <w:numPr>
          <w:ilvl w:val="0"/>
          <w:numId w:val="1340"/>
        </w:numPr>
        <w:pStyle w:val="Compact"/>
      </w:pPr>
      <w:r>
        <w:t xml:space="preserve">lecciones aprendidas y actualizaciones de control.</w:t>
      </w:r>
    </w:p>
    <w:bookmarkEnd w:id="1159"/>
    <w:bookmarkStart w:id="1160" w:name="prueba-de-auditoría-120"/>
    <w:p>
      <w:pPr>
        <w:pStyle w:val="Heading2"/>
      </w:pPr>
      <w:r>
        <w:rPr>
          <w:rStyle w:val="SectionNumber"/>
        </w:rPr>
        <w:t xml:space="preserve">1.1117</w:t>
      </w:r>
      <w:r>
        <w:tab/>
      </w:r>
      <w:r>
        <w:t xml:space="preserve">Prueba de auditoría</w:t>
      </w:r>
    </w:p>
    <w:p>
      <w:pPr>
        <w:pStyle w:val="FirstParagraph"/>
      </w:pPr>
      <w:r>
        <w:t xml:space="preserve">Seleccionar cuestiones importantes de cumplimiento de la IA y confirmar que Legal identificó el actor correcto, la provisión, la categoría de multa, los factores agravantes y atenuantes, los regímenes de ejecución conexos, las consecuencias no monetarias, la escalada y el estado de rehabilitación.</w:t>
      </w:r>
    </w:p>
    <w:bookmarkEnd w:id="1160"/>
    <w:bookmarkStart w:id="1161" w:name="referencias-jurídicas-primarias-93"/>
    <w:p>
      <w:pPr>
        <w:pStyle w:val="Heading2"/>
      </w:pPr>
      <w:r>
        <w:rPr>
          <w:rStyle w:val="SectionNumber"/>
        </w:rPr>
        <w:t xml:space="preserve">1.1118</w:t>
      </w:r>
      <w:r>
        <w:tab/>
      </w:r>
      <w:r>
        <w:t xml:space="preserve">Referencias jurídicas primarias</w:t>
      </w:r>
    </w:p>
    <w:p>
      <w:pPr>
        <w:numPr>
          <w:ilvl w:val="0"/>
          <w:numId w:val="1341"/>
        </w:numPr>
        <w:pStyle w:val="Compact"/>
      </w:pPr>
      <w:r>
        <w:t xml:space="preserve">Reglamento (UE) 2024/1689, modificado, incluidos los artículos 99 a 101 y otras disposiciones de ejecución aplicables.</w:t>
      </w:r>
    </w:p>
    <w:p>
      <w:pPr>
        <w:numPr>
          <w:ilvl w:val="0"/>
          <w:numId w:val="1341"/>
        </w:numPr>
        <w:pStyle w:val="Compact"/>
      </w:pPr>
      <w:r>
        <w:t xml:space="preserve">Reglamento (UE) 2026/1744, incluidas las modificaciones que afecten a la ejecución y la aplicación, cuando proceda.</w:t>
      </w:r>
    </w:p>
    <w:p>
      <w:pPr>
        <w:numPr>
          <w:ilvl w:val="0"/>
          <w:numId w:val="1341"/>
        </w:numPr>
        <w:pStyle w:val="Compact"/>
      </w:pPr>
      <w:r>
        <w:t xml:space="preserve">Los actuales controles consolidados de texto EUR-Lex sobre los resúmenes antiguos.</w:t>
      </w:r>
    </w:p>
    <w:p>
      <w:pPr>
        <w:numPr>
          <w:ilvl w:val="0"/>
          <w:numId w:val="1341"/>
        </w:numPr>
        <w:pStyle w:val="Compact"/>
      </w:pPr>
      <w:r>
        <w:t xml:space="preserve">Los regímenes jurídicos conexos deben evaluarse por separado; la exposición acumulativa o paralela depende de los hechos y del derecho aplicable.</w:t>
      </w:r>
    </w:p>
    <w:bookmarkEnd w:id="1161"/>
    <w:bookmarkStart w:id="1162" w:name="capítulo-126-aumento-del-poder-ejecutivo"/>
    <w:p>
      <w:pPr>
        <w:pStyle w:val="Heading2"/>
      </w:pPr>
      <w:r>
        <w:rPr>
          <w:rStyle w:val="SectionNumber"/>
        </w:rPr>
        <w:t xml:space="preserve">1.1119</w:t>
      </w:r>
      <w:r>
        <w:tab/>
      </w:r>
      <w:r>
        <w:t xml:space="preserve">Capítulo 126 — Aumento del poder ejecutivo</w:t>
      </w:r>
    </w:p>
    <w:p>
      <w:pPr>
        <w:pStyle w:val="BlockText"/>
      </w:pPr>
      <w:r>
        <w:rPr>
          <w:bCs/>
          <w:b/>
        </w:rPr>
        <w:t xml:space="preserve">Estatus legal:</w:t>
      </w:r>
      <w:r>
        <w:t xml:space="preserve"> </w:t>
      </w:r>
      <w:r>
        <w:t xml:space="preserve">Corregido Maestro Inglés para la consolidación. Este archivo controla el lenguaje de borrador anterior del Capítulo 126.</w:t>
      </w:r>
    </w:p>
    <w:bookmarkEnd w:id="1162"/>
    <w:bookmarkStart w:id="1163" w:name="finalidad-4"/>
    <w:p>
      <w:pPr>
        <w:pStyle w:val="Heading2"/>
      </w:pPr>
      <w:r>
        <w:rPr>
          <w:rStyle w:val="SectionNumber"/>
        </w:rPr>
        <w:t xml:space="preserve">1.1120</w:t>
      </w:r>
      <w:r>
        <w:tab/>
      </w:r>
      <w:r>
        <w:t xml:space="preserve">Finalidad</w:t>
      </w:r>
    </w:p>
    <w:p>
      <w:pPr>
        <w:pStyle w:val="FirstParagraph"/>
      </w:pPr>
      <w:r>
        <w:t xml:space="preserve">Este capítulo define cómo los riesgos materiales de IA, los incidentes, los fallos en el cumplimiento, los asuntos regulatorios y las deficiencias de control no resueltas deben ser escalados para el personal directivo superior y la junta.</w:t>
      </w:r>
    </w:p>
    <w:p>
      <w:pPr>
        <w:pStyle w:val="BodyText"/>
      </w:pPr>
      <w:r>
        <w:t xml:space="preserve">AI puede apoyar la toma de decisiones humanas, pero no debe eliminar la responsabilidad humana, el juicio o la rendición de cuentas.</w:t>
      </w:r>
    </w:p>
    <w:bookmarkEnd w:id="1163"/>
    <w:bookmarkStart w:id="1164" w:name="requisito-124"/>
    <w:p>
      <w:pPr>
        <w:pStyle w:val="Heading2"/>
      </w:pPr>
      <w:r>
        <w:rPr>
          <w:rStyle w:val="SectionNumber"/>
        </w:rPr>
        <w:t xml:space="preserve">1.1121</w:t>
      </w:r>
      <w:r>
        <w:tab/>
      </w:r>
      <w:r>
        <w:t xml:space="preserve">Requisito</w:t>
      </w:r>
    </w:p>
    <w:p>
      <w:pPr>
        <w:pStyle w:val="FirstParagraph"/>
      </w:pPr>
      <w:r>
        <w:t xml:space="preserve">Las organizaciones deben operar un proceso documentado, basado en el riesgo, de escalonamiento ejecutivo para el material IA legal, seguridad, derechos fundamentales, seguridad cibernética, asuntos operativos, financieros y de reputación. La escalada ejecutiva es un control de gobernanza que apoya las obligaciones estatutarias, pero no es, por sí sola, una obligación independiente de la UE IA Act a menos que esté vinculada a un deber de actor específico, proceso de gestión de la calidad, requisito de notificación de incidentes, acción correctiva, actividad posterior a la supervisión del mercado, obligación de conformidad o solicitud de autoridad.</w:t>
      </w:r>
    </w:p>
    <w:p>
      <w:pPr>
        <w:pStyle w:val="BodyText"/>
      </w:pPr>
      <w:r>
        <w:t xml:space="preserve">La escalada debe ocurrir lo suficientemente pronto como para que los líderes autorizados restrinjan, suspendan, corrijan, revelen, retiren, retiren o acepten riesgos antes de que aumente el daño o el incumplimiento.</w:t>
      </w:r>
    </w:p>
    <w:bookmarkEnd w:id="1164"/>
    <w:bookmarkStart w:id="1165" w:name="explicación-en-lenguaje-sencillo-121"/>
    <w:p>
      <w:pPr>
        <w:pStyle w:val="Heading2"/>
      </w:pPr>
      <w:r>
        <w:rPr>
          <w:rStyle w:val="SectionNumber"/>
        </w:rPr>
        <w:t xml:space="preserve">1.1122</w:t>
      </w:r>
      <w:r>
        <w:tab/>
      </w:r>
      <w:r>
        <w:t xml:space="preserve">Explicación en lenguaje sencillo</w:t>
      </w:r>
    </w:p>
    <w:p>
      <w:pPr>
        <w:pStyle w:val="FirstParagraph"/>
      </w:pPr>
      <w:r>
        <w:t xml:space="preserve">La escalada no es simplemente reenviar un correo electrónico. Es una transferencia controlada de una decisión material a una persona con la autoridad, información, independencia y recursos para actuar. Los ejecutivos necesitan información oportuna y lista para tomar decisiones cuando un problema de IA puede requerir suspensión, notificación, rehabilitación, retiro, retirada, comunicación con el cliente, compromiso regulatorio o aceptación de un riesgo residual significativo.</w:t>
      </w:r>
    </w:p>
    <w:p>
      <w:pPr>
        <w:pStyle w:val="BodyText"/>
      </w:pPr>
      <w:r>
        <w:t xml:space="preserve">La escalada tardía, incompleta o informal puede convertir una cuestión de control manejable en un incidente grave o una cuestión de ejecución. Por lo tanto, la escalada debe basarse en umbrales definidos en lugar de un juicio informal por sí solo.</w:t>
      </w:r>
    </w:p>
    <w:bookmarkEnd w:id="1165"/>
    <w:bookmarkStart w:id="1166" w:name="detonadores-de-escalada"/>
    <w:p>
      <w:pPr>
        <w:pStyle w:val="Heading2"/>
      </w:pPr>
      <w:r>
        <w:rPr>
          <w:rStyle w:val="SectionNumber"/>
        </w:rPr>
        <w:t xml:space="preserve">1.1123</w:t>
      </w:r>
      <w:r>
        <w:tab/>
      </w:r>
      <w:r>
        <w:t xml:space="preserve">Detonadores de escalada</w:t>
      </w:r>
    </w:p>
    <w:p>
      <w:pPr>
        <w:pStyle w:val="FirstParagraph"/>
      </w:pPr>
      <w:r>
        <w:t xml:space="preserve">Escalonar proporcionalmente cuando haya:</w:t>
      </w:r>
    </w:p>
    <w:p>
      <w:pPr>
        <w:numPr>
          <w:ilvl w:val="0"/>
          <w:numId w:val="1342"/>
        </w:numPr>
        <w:pStyle w:val="Compact"/>
      </w:pPr>
      <w:r>
        <w:t xml:space="preserve">una presunta práctica de IA prohibida;</w:t>
      </w:r>
    </w:p>
    <w:p>
      <w:pPr>
        <w:numPr>
          <w:ilvl w:val="0"/>
          <w:numId w:val="1342"/>
        </w:numPr>
        <w:pStyle w:val="Compact"/>
      </w:pPr>
      <w:r>
        <w:t xml:space="preserve">un incidente grave o un riesgo creíble de daño sensible;</w:t>
      </w:r>
    </w:p>
    <w:p>
      <w:pPr>
        <w:numPr>
          <w:ilvl w:val="0"/>
          <w:numId w:val="1342"/>
        </w:numPr>
        <w:pStyle w:val="Compact"/>
      </w:pPr>
      <w:r>
        <w:t xml:space="preserve">una preocupación material por los derechos fundamentales, la seguridad, la discriminación, la privacidad o la ciberseguridad;</w:t>
      </w:r>
    </w:p>
    <w:p>
      <w:pPr>
        <w:numPr>
          <w:ilvl w:val="0"/>
          <w:numId w:val="1342"/>
        </w:numPr>
        <w:pStyle w:val="Compact"/>
      </w:pPr>
      <w:r>
        <w:t xml:space="preserve">incertidumbre de clasificación de alto riesgo que afecte al despliegue;</w:t>
      </w:r>
    </w:p>
    <w:p>
      <w:pPr>
        <w:numPr>
          <w:ilvl w:val="0"/>
          <w:numId w:val="1342"/>
        </w:numPr>
        <w:pStyle w:val="Compact"/>
      </w:pPr>
      <w:r>
        <w:t xml:space="preserve">criterios de conformidad, validación o rendimiento técnico fallidos;</w:t>
      </w:r>
    </w:p>
    <w:p>
      <w:pPr>
        <w:numPr>
          <w:ilvl w:val="0"/>
          <w:numId w:val="1342"/>
        </w:numPr>
        <w:pStyle w:val="Compact"/>
      </w:pPr>
      <w:r>
        <w:t xml:space="preserve">incapacidad para proporcionar la supervisión humana necesaria;</w:t>
      </w:r>
    </w:p>
    <w:p>
      <w:pPr>
        <w:numPr>
          <w:ilvl w:val="0"/>
          <w:numId w:val="1342"/>
        </w:numPr>
        <w:pStyle w:val="Compact"/>
      </w:pPr>
      <w:r>
        <w:t xml:space="preserve">deriva significativa del modelo o comportamiento inesperado;</w:t>
      </w:r>
    </w:p>
    <w:p>
      <w:pPr>
        <w:numPr>
          <w:ilvl w:val="0"/>
          <w:numId w:val="1342"/>
        </w:numPr>
        <w:pStyle w:val="Compact"/>
      </w:pPr>
      <w:r>
        <w:t xml:space="preserve">fallo del proveedor material o cambio no aprobado;</w:t>
      </w:r>
    </w:p>
    <w:p>
      <w:pPr>
        <w:numPr>
          <w:ilvl w:val="0"/>
          <w:numId w:val="1342"/>
        </w:numPr>
        <w:pStyle w:val="Compact"/>
      </w:pPr>
      <w:r>
        <w:t xml:space="preserve">una investigación, investigación, inspección o solicitud de información urgente;</w:t>
      </w:r>
    </w:p>
    <w:p>
      <w:pPr>
        <w:numPr>
          <w:ilvl w:val="0"/>
          <w:numId w:val="1342"/>
        </w:numPr>
        <w:pStyle w:val="Compact"/>
      </w:pPr>
      <w:r>
        <w:t xml:space="preserve">un plazo reglamentario o una obligación de notificación incumplidos;</w:t>
      </w:r>
    </w:p>
    <w:p>
      <w:pPr>
        <w:numPr>
          <w:ilvl w:val="0"/>
          <w:numId w:val="1342"/>
        </w:numPr>
        <w:pStyle w:val="Compact"/>
      </w:pPr>
      <w:r>
        <w:t xml:space="preserve">la destrucción, ocultación, falsificación o preocupación por la integridad de las pruebas;</w:t>
      </w:r>
    </w:p>
    <w:p>
      <w:pPr>
        <w:numPr>
          <w:ilvl w:val="0"/>
          <w:numId w:val="1342"/>
        </w:numPr>
        <w:pStyle w:val="Compact"/>
      </w:pPr>
      <w:r>
        <w:t xml:space="preserve">resultados repetidos o atrasados de alta gravedad;</w:t>
      </w:r>
    </w:p>
    <w:p>
      <w:pPr>
        <w:numPr>
          <w:ilvl w:val="0"/>
          <w:numId w:val="1342"/>
        </w:numPr>
        <w:pStyle w:val="Compact"/>
      </w:pPr>
      <w:r>
        <w:t xml:space="preserve">una excepción fuera del apetito de riesgo aprobado;</w:t>
      </w:r>
    </w:p>
    <w:p>
      <w:pPr>
        <w:numPr>
          <w:ilvl w:val="0"/>
          <w:numId w:val="1342"/>
        </w:numPr>
        <w:pStyle w:val="Compact"/>
      </w:pPr>
      <w:r>
        <w:t xml:space="preserve">exposición material potencial, financiera o de reputación.</w:t>
      </w:r>
    </w:p>
    <w:bookmarkEnd w:id="1166"/>
    <w:bookmarkStart w:id="1170" w:name="niveles-de-escalada"/>
    <w:p>
      <w:pPr>
        <w:pStyle w:val="Heading2"/>
      </w:pPr>
      <w:r>
        <w:rPr>
          <w:rStyle w:val="SectionNumber"/>
        </w:rPr>
        <w:t xml:space="preserve">1.1124</w:t>
      </w:r>
      <w:r>
        <w:tab/>
      </w:r>
      <w:r>
        <w:t xml:space="preserve">Niveles de escalada</w:t>
      </w:r>
    </w:p>
    <w:bookmarkStart w:id="1167" w:name="aumento-de-la-escala-operacional"/>
    <w:p>
      <w:pPr>
        <w:pStyle w:val="Heading3"/>
      </w:pPr>
      <w:r>
        <w:rPr>
          <w:rStyle w:val="SectionNumber"/>
        </w:rPr>
        <w:t xml:space="preserve">1.1124.1</w:t>
      </w:r>
      <w:r>
        <w:tab/>
      </w:r>
      <w:r>
        <w:t xml:space="preserve">Aumento de la escala operacional</w:t>
      </w:r>
    </w:p>
    <w:p>
      <w:pPr>
        <w:pStyle w:val="FirstParagraph"/>
      </w:pPr>
      <w:r>
        <w:t xml:space="preserve">Utilice la escalada operacional para asuntos que puedan ser contenidos y resueltos por el producto, tecnología, riesgo, cumplimiento o dueño de negocio con tolerancias aprobadas.</w:t>
      </w:r>
    </w:p>
    <w:bookmarkEnd w:id="1167"/>
    <w:bookmarkStart w:id="1168" w:name="recrudecimiento-del-poder-ejecutivo"/>
    <w:p>
      <w:pPr>
        <w:pStyle w:val="Heading3"/>
      </w:pPr>
      <w:r>
        <w:rPr>
          <w:rStyle w:val="SectionNumber"/>
        </w:rPr>
        <w:t xml:space="preserve">1.1124.2</w:t>
      </w:r>
      <w:r>
        <w:tab/>
      </w:r>
      <w:r>
        <w:t xml:space="preserve">Recrudecimiento del poder ejecutivo</w:t>
      </w:r>
    </w:p>
    <w:p>
      <w:pPr>
        <w:pStyle w:val="FirstParagraph"/>
      </w:pPr>
      <w:r>
        <w:t xml:space="preserve">Utilice la escalada ejecutiva para cuestiones materiales que requieran autoridad interfuncional, recursos adicionales, restricción de despliegue, rehabilitación de clientes, estrategia legal, aceptación de riesgos significativos o compromiso regulatorio.</w:t>
      </w:r>
    </w:p>
    <w:bookmarkEnd w:id="1168"/>
    <w:bookmarkStart w:id="1169" w:name="X5c11ba477f651ea872c2ce44f8cfa822cc5dfbd"/>
    <w:p>
      <w:pPr>
        <w:pStyle w:val="Heading3"/>
      </w:pPr>
      <w:r>
        <w:rPr>
          <w:rStyle w:val="SectionNumber"/>
        </w:rPr>
        <w:t xml:space="preserve">1.1124.3</w:t>
      </w:r>
      <w:r>
        <w:tab/>
      </w:r>
      <w:r>
        <w:t xml:space="preserve">Aumento del número de miembros de la Junta o del comité</w:t>
      </w:r>
    </w:p>
    <w:p>
      <w:pPr>
        <w:pStyle w:val="FirstParagraph"/>
      </w:pPr>
      <w:r>
        <w:t xml:space="preserve">Utilice la escalada de juntas o comités para asuntos que impliquen apetito por el riesgo empresarial, incidentes graves, prácticas prohibidas, exposición reglamentaria importante, impacto financiero significativo, fracaso de gestión repetido, o decisiones estratégicas sobre la continuación, retirada o retirada.</w:t>
      </w:r>
    </w:p>
    <w:bookmarkEnd w:id="1169"/>
    <w:bookmarkEnd w:id="1170"/>
    <w:bookmarkStart w:id="1171" w:name="requisitos-mínimos-de-la-escalada"/>
    <w:p>
      <w:pPr>
        <w:pStyle w:val="Heading2"/>
      </w:pPr>
      <w:r>
        <w:rPr>
          <w:rStyle w:val="SectionNumber"/>
        </w:rPr>
        <w:t xml:space="preserve">1.1125</w:t>
      </w:r>
      <w:r>
        <w:tab/>
      </w:r>
      <w:r>
        <w:t xml:space="preserve">Requisitos mínimos de la escalada</w:t>
      </w:r>
    </w:p>
    <w:p>
      <w:pPr>
        <w:pStyle w:val="FirstParagraph"/>
      </w:pPr>
      <w:r>
        <w:t xml:space="preserve">Definir como mínimo:</w:t>
      </w:r>
    </w:p>
    <w:p>
      <w:pPr>
        <w:numPr>
          <w:ilvl w:val="0"/>
          <w:numId w:val="1343"/>
        </w:numPr>
        <w:pStyle w:val="Compact"/>
      </w:pPr>
      <w:r>
        <w:t xml:space="preserve">los umbrales de gravedad y urgencia;</w:t>
      </w:r>
    </w:p>
    <w:p>
      <w:pPr>
        <w:numPr>
          <w:ilvl w:val="0"/>
          <w:numId w:val="1343"/>
        </w:numPr>
        <w:pStyle w:val="Compact"/>
      </w:pPr>
      <w:r>
        <w:t xml:space="preserve">los desencadenantes legales, de seguridad, de derechos, de privacidad, de ciberseguridad, financieros, de reputación y operativos;</w:t>
      </w:r>
    </w:p>
    <w:p>
      <w:pPr>
        <w:numPr>
          <w:ilvl w:val="0"/>
          <w:numId w:val="1343"/>
        </w:numPr>
        <w:pStyle w:val="Compact"/>
      </w:pPr>
      <w:r>
        <w:t xml:space="preserve">los ejecutivos y suplentes responsables;</w:t>
      </w:r>
    </w:p>
    <w:p>
      <w:pPr>
        <w:numPr>
          <w:ilvl w:val="0"/>
          <w:numId w:val="1343"/>
        </w:numPr>
        <w:pStyle w:val="Compact"/>
      </w:pPr>
      <w:r>
        <w:t xml:space="preserve">los hechos, incertidumbres y pruebas requeridos;</w:t>
      </w:r>
    </w:p>
    <w:p>
      <w:pPr>
        <w:numPr>
          <w:ilvl w:val="0"/>
          <w:numId w:val="1343"/>
        </w:numPr>
        <w:pStyle w:val="Compact"/>
      </w:pPr>
      <w:r>
        <w:t xml:space="preserve">sistemas, versiones, actores, jurisdicciones, proveedores, servicios y personas afectados;</w:t>
      </w:r>
    </w:p>
    <w:p>
      <w:pPr>
        <w:numPr>
          <w:ilvl w:val="0"/>
          <w:numId w:val="1343"/>
        </w:numPr>
        <w:pStyle w:val="Compact"/>
      </w:pPr>
      <w:r>
        <w:t xml:space="preserve">autoridad de contención inmediata y de parada;</w:t>
      </w:r>
    </w:p>
    <w:p>
      <w:pPr>
        <w:numPr>
          <w:ilvl w:val="0"/>
          <w:numId w:val="1343"/>
        </w:numPr>
        <w:pStyle w:val="Compact"/>
      </w:pPr>
      <w:r>
        <w:t xml:space="preserve">la notificación, la conformidad, las medidas correctoras, la retirada y la retirada;</w:t>
      </w:r>
    </w:p>
    <w:p>
      <w:pPr>
        <w:numPr>
          <w:ilvl w:val="0"/>
          <w:numId w:val="1343"/>
        </w:numPr>
        <w:pStyle w:val="Compact"/>
      </w:pPr>
      <w:r>
        <w:t xml:space="preserve">los plazos de decisión y los canales de comunicación;</w:t>
      </w:r>
    </w:p>
    <w:p>
      <w:pPr>
        <w:numPr>
          <w:ilvl w:val="0"/>
          <w:numId w:val="1343"/>
        </w:numPr>
        <w:pStyle w:val="Compact"/>
      </w:pPr>
      <w:r>
        <w:t xml:space="preserve">garantías de conflicto de intereses e independencia;</w:t>
      </w:r>
    </w:p>
    <w:p>
      <w:pPr>
        <w:numPr>
          <w:ilvl w:val="0"/>
          <w:numId w:val="1343"/>
        </w:numPr>
        <w:pStyle w:val="Compact"/>
      </w:pPr>
      <w:r>
        <w:t xml:space="preserve">decisión, disenso, razonamiento, propietario, y los registros de fecha límite;</w:t>
      </w:r>
    </w:p>
    <w:p>
      <w:pPr>
        <w:numPr>
          <w:ilvl w:val="0"/>
          <w:numId w:val="1343"/>
        </w:numPr>
        <w:pStyle w:val="Compact"/>
      </w:pPr>
      <w:r>
        <w:t xml:space="preserve">criterios de escalamiento de juntas o comités;</w:t>
      </w:r>
    </w:p>
    <w:p>
      <w:pPr>
        <w:numPr>
          <w:ilvl w:val="0"/>
          <w:numId w:val="1343"/>
        </w:numPr>
        <w:pStyle w:val="Compact"/>
      </w:pPr>
      <w:r>
        <w:t xml:space="preserve">los requisitos de verificación y cierre del seguimiento.</w:t>
      </w:r>
    </w:p>
    <w:bookmarkEnd w:id="1171"/>
    <w:bookmarkStart w:id="1172" w:name="paquete-de-escalada-requerido"/>
    <w:p>
      <w:pPr>
        <w:pStyle w:val="Heading2"/>
      </w:pPr>
      <w:r>
        <w:rPr>
          <w:rStyle w:val="SectionNumber"/>
        </w:rPr>
        <w:t xml:space="preserve">1.1126</w:t>
      </w:r>
      <w:r>
        <w:tab/>
      </w:r>
      <w:r>
        <w:t xml:space="preserve">Paquete de escalada requerido</w:t>
      </w:r>
    </w:p>
    <w:p>
      <w:pPr>
        <w:pStyle w:val="FirstParagraph"/>
      </w:pPr>
      <w:r>
        <w:t xml:space="preserve">Proporcionar:</w:t>
      </w:r>
    </w:p>
    <w:p>
      <w:pPr>
        <w:numPr>
          <w:ilvl w:val="0"/>
          <w:numId w:val="1344"/>
        </w:numPr>
        <w:pStyle w:val="Compact"/>
      </w:pPr>
      <w:r>
        <w:t xml:space="preserve">una declaración temática concisa;</w:t>
      </w:r>
    </w:p>
    <w:p>
      <w:pPr>
        <w:numPr>
          <w:ilvl w:val="0"/>
          <w:numId w:val="1344"/>
        </w:numPr>
        <w:pStyle w:val="Compact"/>
      </w:pPr>
      <w:r>
        <w:t xml:space="preserve">sistema, modelo, versión, propietario y jurisdicciones;</w:t>
      </w:r>
    </w:p>
    <w:p>
      <w:pPr>
        <w:numPr>
          <w:ilvl w:val="0"/>
          <w:numId w:val="1344"/>
        </w:numPr>
        <w:pStyle w:val="Compact"/>
      </w:pPr>
      <w:r>
        <w:t xml:space="preserve">la activación del evento y el calendario;</w:t>
      </w:r>
    </w:p>
    <w:p>
      <w:pPr>
        <w:numPr>
          <w:ilvl w:val="0"/>
          <w:numId w:val="1344"/>
        </w:numPr>
        <w:pStyle w:val="Compact"/>
      </w:pPr>
      <w:r>
        <w:t xml:space="preserve">personas, derechos y servicios empresariales afectados;</w:t>
      </w:r>
    </w:p>
    <w:p>
      <w:pPr>
        <w:numPr>
          <w:ilvl w:val="0"/>
          <w:numId w:val="1344"/>
        </w:numPr>
        <w:pStyle w:val="Compact"/>
      </w:pPr>
      <w:r>
        <w:t xml:space="preserve">hechos conocidos, suposiciones, incertidumbres y lagunas de pruebas;</w:t>
      </w:r>
    </w:p>
    <w:p>
      <w:pPr>
        <w:numPr>
          <w:ilvl w:val="0"/>
          <w:numId w:val="1344"/>
        </w:numPr>
        <w:pStyle w:val="Compact"/>
      </w:pPr>
      <w:r>
        <w:t xml:space="preserve">las obligaciones legales, de política, contractuales y de apetito de riesgo aplicables;</w:t>
      </w:r>
    </w:p>
    <w:p>
      <w:pPr>
        <w:numPr>
          <w:ilvl w:val="0"/>
          <w:numId w:val="1344"/>
        </w:numPr>
        <w:pStyle w:val="Compact"/>
      </w:pPr>
      <w:r>
        <w:t xml:space="preserve">la clasificación actual del riesgo y sus posibles consecuencias;</w:t>
      </w:r>
    </w:p>
    <w:p>
      <w:pPr>
        <w:numPr>
          <w:ilvl w:val="0"/>
          <w:numId w:val="1344"/>
        </w:numPr>
        <w:pStyle w:val="Compact"/>
      </w:pPr>
      <w:r>
        <w:t xml:space="preserve">la contención ya realizada;</w:t>
      </w:r>
    </w:p>
    <w:p>
      <w:pPr>
        <w:numPr>
          <w:ilvl w:val="0"/>
          <w:numId w:val="1344"/>
        </w:numPr>
        <w:pStyle w:val="Compact"/>
      </w:pPr>
      <w:r>
        <w:t xml:space="preserve">opciones de decisión y compensaciones;</w:t>
      </w:r>
    </w:p>
    <w:p>
      <w:pPr>
        <w:numPr>
          <w:ilvl w:val="0"/>
          <w:numId w:val="1344"/>
        </w:numPr>
        <w:pStyle w:val="Compact"/>
      </w:pPr>
      <w:r>
        <w:t xml:space="preserve">medidas recomendadas;</w:t>
      </w:r>
    </w:p>
    <w:p>
      <w:pPr>
        <w:numPr>
          <w:ilvl w:val="0"/>
          <w:numId w:val="1344"/>
        </w:numPr>
        <w:pStyle w:val="Compact"/>
      </w:pPr>
      <w:r>
        <w:t xml:space="preserve">propietario responsable y plazo exigido;</w:t>
      </w:r>
    </w:p>
    <w:p>
      <w:pPr>
        <w:numPr>
          <w:ilvl w:val="0"/>
          <w:numId w:val="1344"/>
        </w:numPr>
        <w:pStyle w:val="Compact"/>
      </w:pPr>
      <w:r>
        <w:t xml:space="preserve">implicaciones en materia de comunicación y notificación.</w:t>
      </w:r>
    </w:p>
    <w:bookmarkEnd w:id="1172"/>
    <w:bookmarkStart w:id="1173" w:name="opciones-de-decisión"/>
    <w:p>
      <w:pPr>
        <w:pStyle w:val="Heading2"/>
      </w:pPr>
      <w:r>
        <w:rPr>
          <w:rStyle w:val="SectionNumber"/>
        </w:rPr>
        <w:t xml:space="preserve">1.1127</w:t>
      </w:r>
      <w:r>
        <w:tab/>
      </w:r>
      <w:r>
        <w:t xml:space="preserve">Opciones de decisión</w:t>
      </w:r>
    </w:p>
    <w:p>
      <w:pPr>
        <w:pStyle w:val="FirstParagraph"/>
      </w:pPr>
      <w:r>
        <w:t xml:space="preserve">Los dirigentes autorizados podrán:</w:t>
      </w:r>
    </w:p>
    <w:p>
      <w:pPr>
        <w:numPr>
          <w:ilvl w:val="0"/>
          <w:numId w:val="1345"/>
        </w:numPr>
        <w:pStyle w:val="Compact"/>
      </w:pPr>
      <w:r>
        <w:t xml:space="preserve">continuar con una mejor supervisión;</w:t>
      </w:r>
    </w:p>
    <w:p>
      <w:pPr>
        <w:numPr>
          <w:ilvl w:val="0"/>
          <w:numId w:val="1345"/>
        </w:numPr>
        <w:pStyle w:val="Compact"/>
      </w:pPr>
      <w:r>
        <w:t xml:space="preserve">restringir a los usuarios, datos, geografía o funcionalidad;</w:t>
      </w:r>
    </w:p>
    <w:p>
      <w:pPr>
        <w:numPr>
          <w:ilvl w:val="0"/>
          <w:numId w:val="1345"/>
        </w:numPr>
        <w:pStyle w:val="Compact"/>
      </w:pPr>
      <w:r>
        <w:t xml:space="preserve">exigir una revisión humana adicional;</w:t>
      </w:r>
    </w:p>
    <w:p>
      <w:pPr>
        <w:numPr>
          <w:ilvl w:val="0"/>
          <w:numId w:val="1345"/>
        </w:numPr>
        <w:pStyle w:val="Compact"/>
      </w:pPr>
      <w:r>
        <w:t xml:space="preserve">suspender el despliegue u operación;</w:t>
      </w:r>
    </w:p>
    <w:p>
      <w:pPr>
        <w:numPr>
          <w:ilvl w:val="0"/>
          <w:numId w:val="1345"/>
        </w:numPr>
        <w:pStyle w:val="Compact"/>
      </w:pPr>
      <w:r>
        <w:t xml:space="preserve">volver a una versión conocida y buena;</w:t>
      </w:r>
    </w:p>
    <w:p>
      <w:pPr>
        <w:numPr>
          <w:ilvl w:val="0"/>
          <w:numId w:val="1345"/>
        </w:numPr>
        <w:pStyle w:val="Compact"/>
      </w:pPr>
      <w:r>
        <w:t xml:space="preserve">notificar a las personas afectadas, clientes, socios, aseguradoras o autoridades;</w:t>
      </w:r>
    </w:p>
    <w:p>
      <w:pPr>
        <w:numPr>
          <w:ilvl w:val="0"/>
          <w:numId w:val="1345"/>
        </w:numPr>
        <w:pStyle w:val="Compact"/>
      </w:pPr>
      <w:r>
        <w:t xml:space="preserve">encargar la validación o investigación independiente;</w:t>
      </w:r>
    </w:p>
    <w:p>
      <w:pPr>
        <w:numPr>
          <w:ilvl w:val="0"/>
          <w:numId w:val="1345"/>
        </w:numPr>
        <w:pStyle w:val="Compact"/>
      </w:pPr>
      <w:r>
        <w:t xml:space="preserve">dar por terminado o sustituir a un vendedor;</w:t>
      </w:r>
    </w:p>
    <w:p>
      <w:pPr>
        <w:numPr>
          <w:ilvl w:val="0"/>
          <w:numId w:val="1345"/>
        </w:numPr>
        <w:pStyle w:val="Compact"/>
      </w:pPr>
      <w:r>
        <w:t xml:space="preserve">aceptar el riesgo residual dentro de la autoridad delegada;</w:t>
      </w:r>
    </w:p>
    <w:p>
      <w:pPr>
        <w:numPr>
          <w:ilvl w:val="0"/>
          <w:numId w:val="1345"/>
        </w:numPr>
        <w:pStyle w:val="Compact"/>
      </w:pPr>
      <w:r>
        <w:t xml:space="preserve">retirar o retirar el sistema.</w:t>
      </w:r>
    </w:p>
    <w:bookmarkEnd w:id="1173"/>
    <w:bookmarkStart w:id="1174" w:name="disciplina-de-la-comunicación"/>
    <w:p>
      <w:pPr>
        <w:pStyle w:val="Heading2"/>
      </w:pPr>
      <w:r>
        <w:rPr>
          <w:rStyle w:val="SectionNumber"/>
        </w:rPr>
        <w:t xml:space="preserve">1.1128</w:t>
      </w:r>
      <w:r>
        <w:tab/>
      </w:r>
      <w:r>
        <w:t xml:space="preserve">Disciplina de la comunicación</w:t>
      </w:r>
    </w:p>
    <w:p>
      <w:pPr>
        <w:pStyle w:val="FirstParagraph"/>
      </w:pPr>
      <w:r>
        <w:t xml:space="preserve">Los registros de escalada deben ser fácticos, concisos, rastreables y francos sobre la incertidumbre. Evite minimizar el problema, exagerar la certeza o presentar un resultado preferido como la única opción. Las comunicaciones sensibles deben seguir los requisitos legales, de confidencialidad, de gestión de registros y de privilegios.</w:t>
      </w:r>
    </w:p>
    <w:p>
      <w:pPr>
        <w:pStyle w:val="BodyText"/>
      </w:pPr>
      <w:r>
        <w:t xml:space="preserve">El cierre requiere decisiones documentadas, acciones terminadas, pruebas verificadas y una aprobación responsable.</w:t>
      </w:r>
    </w:p>
    <w:bookmarkEnd w:id="1174"/>
    <w:bookmarkStart w:id="1175" w:name="X30befe0270fe243768abd83ecb2f97cc4d21b39"/>
    <w:p>
      <w:pPr>
        <w:pStyle w:val="Heading2"/>
      </w:pPr>
      <w:r>
        <w:rPr>
          <w:rStyle w:val="SectionNumber"/>
        </w:rPr>
        <w:t xml:space="preserve">1.1129</w:t>
      </w:r>
      <w:r>
        <w:tab/>
      </w:r>
      <w:r>
        <w:t xml:space="preserve">Ejemplo de servicios de viajes de GlobalWay</w:t>
      </w:r>
    </w:p>
    <w:p>
      <w:pPr>
        <w:pStyle w:val="FirstParagraph"/>
      </w:pPr>
      <w:r>
        <w:t xml:space="preserve">GlobalWay detecta que un sistema de asignación de empleados está produciendo resultados adversos inexplicables después de una actualización del proveedor. El problema se intensifica a Legal, Cumplimiento, Recursos Humanos, Seguridad, el ejecutivo responsable y el comité de riesgo. Las recomendaciones automatizadas se suspenden en espera de análisis de impacto, investigación de proveedores, salvaguardias de empleados y una decisión de liberación documentada.</w:t>
      </w:r>
    </w:p>
    <w:p>
      <w:pPr>
        <w:pStyle w:val="BodyText"/>
      </w:pPr>
      <w:r>
        <w:t xml:space="preserve">El comité ejecutivo recibe la versión afectada, hechos conocidos, preguntas abiertas, implicaciones legales, estado de contención, opciones de decisión y plazos de rendición de cuentas. El asunto permanece abierto hasta que las acciones correctivas sean validadas independientemente y el comité apruebe cualquier reinicio.</w:t>
      </w:r>
    </w:p>
    <w:bookmarkEnd w:id="1175"/>
    <w:bookmarkStart w:id="1176" w:name="actividades-de-control-4"/>
    <w:p>
      <w:pPr>
        <w:pStyle w:val="Heading2"/>
      </w:pPr>
      <w:r>
        <w:rPr>
          <w:rStyle w:val="SectionNumber"/>
        </w:rPr>
        <w:t xml:space="preserve">1.1130</w:t>
      </w:r>
      <w:r>
        <w:tab/>
      </w:r>
      <w:r>
        <w:t xml:space="preserve">Actividades de control</w:t>
      </w:r>
    </w:p>
    <w:p>
      <w:pPr>
        <w:numPr>
          <w:ilvl w:val="0"/>
          <w:numId w:val="1346"/>
        </w:numPr>
        <w:pStyle w:val="Compact"/>
      </w:pPr>
      <w:r>
        <w:t xml:space="preserve">Definir los umbrales de materialidad y los niveles de escalada.</w:t>
      </w:r>
    </w:p>
    <w:p>
      <w:pPr>
        <w:numPr>
          <w:ilvl w:val="0"/>
          <w:numId w:val="1346"/>
        </w:numPr>
        <w:pStyle w:val="Compact"/>
      </w:pPr>
      <w:r>
        <w:t xml:space="preserve">Asignar derechos de decisión y suplentes.</w:t>
      </w:r>
    </w:p>
    <w:p>
      <w:pPr>
        <w:numPr>
          <w:ilvl w:val="0"/>
          <w:numId w:val="1346"/>
        </w:numPr>
        <w:pStyle w:val="Compact"/>
      </w:pPr>
      <w:r>
        <w:t xml:space="preserve">Mantenga las vías de emergencia para asuntos graves.</w:t>
      </w:r>
    </w:p>
    <w:p>
      <w:pPr>
        <w:numPr>
          <w:ilvl w:val="0"/>
          <w:numId w:val="1346"/>
        </w:numPr>
        <w:pStyle w:val="Compact"/>
      </w:pPr>
      <w:r>
        <w:t xml:space="preserve">Requerir un paquete de escala estandarizado.</w:t>
      </w:r>
    </w:p>
    <w:p>
      <w:pPr>
        <w:numPr>
          <w:ilvl w:val="0"/>
          <w:numId w:val="1346"/>
        </w:numPr>
        <w:pStyle w:val="Compact"/>
      </w:pPr>
      <w:r>
        <w:t xml:space="preserve">Registrar las decisiones, la razón de ser, las condiciones y el disenso.</w:t>
      </w:r>
    </w:p>
    <w:p>
      <w:pPr>
        <w:numPr>
          <w:ilvl w:val="0"/>
          <w:numId w:val="1346"/>
        </w:numPr>
        <w:pStyle w:val="Compact"/>
      </w:pPr>
      <w:r>
        <w:t xml:space="preserve">Seguimiento de las acciones y plazos requeridos.</w:t>
      </w:r>
    </w:p>
    <w:p>
      <w:pPr>
        <w:numPr>
          <w:ilvl w:val="0"/>
          <w:numId w:val="1346"/>
        </w:numPr>
        <w:pStyle w:val="Compact"/>
      </w:pPr>
      <w:r>
        <w:t xml:space="preserve">Escalonar la rehabilitación atrasada o ineficaz.</w:t>
      </w:r>
    </w:p>
    <w:p>
      <w:pPr>
        <w:numPr>
          <w:ilvl w:val="0"/>
          <w:numId w:val="1346"/>
        </w:numPr>
        <w:pStyle w:val="Compact"/>
      </w:pPr>
      <w:r>
        <w:t xml:space="preserve">Exigir pruebas verificadas antes del cierre.</w:t>
      </w:r>
    </w:p>
    <w:p>
      <w:pPr>
        <w:numPr>
          <w:ilvl w:val="0"/>
          <w:numId w:val="1346"/>
        </w:numPr>
        <w:pStyle w:val="Compact"/>
      </w:pPr>
      <w:r>
        <w:t xml:space="preserve">Revisar el desempeño de escalada después de incidentes y ejercicios.</w:t>
      </w:r>
    </w:p>
    <w:bookmarkEnd w:id="1176"/>
    <w:bookmarkStart w:id="1177" w:name="pruebas-125"/>
    <w:p>
      <w:pPr>
        <w:pStyle w:val="Heading2"/>
      </w:pPr>
      <w:r>
        <w:rPr>
          <w:rStyle w:val="SectionNumber"/>
        </w:rPr>
        <w:t xml:space="preserve">1.1131</w:t>
      </w:r>
      <w:r>
        <w:tab/>
      </w:r>
      <w:r>
        <w:t xml:space="preserve">Pruebas</w:t>
      </w:r>
    </w:p>
    <w:p>
      <w:pPr>
        <w:numPr>
          <w:ilvl w:val="0"/>
          <w:numId w:val="1347"/>
        </w:numPr>
        <w:pStyle w:val="Compact"/>
      </w:pPr>
      <w:r>
        <w:t xml:space="preserve">política de escalada, normas y umbrales;</w:t>
      </w:r>
    </w:p>
    <w:p>
      <w:pPr>
        <w:numPr>
          <w:ilvl w:val="0"/>
          <w:numId w:val="1347"/>
        </w:numPr>
        <w:pStyle w:val="Compact"/>
      </w:pPr>
      <w:r>
        <w:t xml:space="preserve">matriz de autoridad y derechos de decisión;</w:t>
      </w:r>
    </w:p>
    <w:p>
      <w:pPr>
        <w:numPr>
          <w:ilvl w:val="0"/>
          <w:numId w:val="1347"/>
        </w:numPr>
        <w:pStyle w:val="Compact"/>
      </w:pPr>
      <w:r>
        <w:t xml:space="preserve">registro de incidentes o deficiencias;</w:t>
      </w:r>
    </w:p>
    <w:p>
      <w:pPr>
        <w:numPr>
          <w:ilvl w:val="0"/>
          <w:numId w:val="1347"/>
        </w:numPr>
        <w:pStyle w:val="Compact"/>
      </w:pPr>
      <w:r>
        <w:t xml:space="preserve">registros de escalada y paquetes de información;</w:t>
      </w:r>
    </w:p>
    <w:p>
      <w:pPr>
        <w:numPr>
          <w:ilvl w:val="0"/>
          <w:numId w:val="1347"/>
        </w:numPr>
        <w:pStyle w:val="Compact"/>
      </w:pPr>
      <w:r>
        <w:t xml:space="preserve">actas de reuniones, decisiones y actas de disenso;</w:t>
      </w:r>
    </w:p>
    <w:p>
      <w:pPr>
        <w:numPr>
          <w:ilvl w:val="0"/>
          <w:numId w:val="1347"/>
        </w:numPr>
        <w:pStyle w:val="Compact"/>
      </w:pPr>
      <w:r>
        <w:t xml:space="preserve">las homologaciones de restricción, suspensión, retroceso, retirada o retirada;</w:t>
      </w:r>
    </w:p>
    <w:p>
      <w:pPr>
        <w:numPr>
          <w:ilvl w:val="0"/>
          <w:numId w:val="1347"/>
        </w:numPr>
        <w:pStyle w:val="Compact"/>
      </w:pPr>
      <w:r>
        <w:t xml:space="preserve">pruebas de contención y comunicación;</w:t>
      </w:r>
    </w:p>
    <w:p>
      <w:pPr>
        <w:numPr>
          <w:ilvl w:val="0"/>
          <w:numId w:val="1347"/>
        </w:numPr>
        <w:pStyle w:val="Compact"/>
      </w:pPr>
      <w:r>
        <w:t xml:space="preserve">informes ejecutivos y de los consejos de administración;</w:t>
      </w:r>
    </w:p>
    <w:p>
      <w:pPr>
        <w:numPr>
          <w:ilvl w:val="0"/>
          <w:numId w:val="1347"/>
        </w:numPr>
        <w:pStyle w:val="Compact"/>
      </w:pPr>
      <w:r>
        <w:t xml:space="preserve">los propietarios de las acciones y los seguimientos de plazos;</w:t>
      </w:r>
    </w:p>
    <w:p>
      <w:pPr>
        <w:numPr>
          <w:ilvl w:val="0"/>
          <w:numId w:val="1347"/>
        </w:numPr>
        <w:pStyle w:val="Compact"/>
      </w:pPr>
      <w:r>
        <w:t xml:space="preserve">las decisiones de notificación y la correspondencia de los reguladores;</w:t>
      </w:r>
    </w:p>
    <w:p>
      <w:pPr>
        <w:numPr>
          <w:ilvl w:val="0"/>
          <w:numId w:val="1347"/>
        </w:numPr>
        <w:pStyle w:val="Compact"/>
      </w:pPr>
      <w:r>
        <w:t xml:space="preserve">pruebas de cierre y validación;</w:t>
      </w:r>
    </w:p>
    <w:p>
      <w:pPr>
        <w:numPr>
          <w:ilvl w:val="0"/>
          <w:numId w:val="1347"/>
        </w:numPr>
        <w:pStyle w:val="Compact"/>
      </w:pPr>
      <w:r>
        <w:t xml:space="preserve">las revisiones posteriores a los incidentes;</w:t>
      </w:r>
    </w:p>
    <w:p>
      <w:pPr>
        <w:numPr>
          <w:ilvl w:val="0"/>
          <w:numId w:val="1347"/>
        </w:numPr>
        <w:pStyle w:val="Compact"/>
      </w:pPr>
      <w:r>
        <w:t xml:space="preserve">ejercicios de escalada y registros de entrenamiento.</w:t>
      </w:r>
    </w:p>
    <w:bookmarkEnd w:id="1177"/>
    <w:bookmarkStart w:id="1178" w:name="pruebas-de-auditoría-4"/>
    <w:p>
      <w:pPr>
        <w:pStyle w:val="Heading2"/>
      </w:pPr>
      <w:r>
        <w:rPr>
          <w:rStyle w:val="SectionNumber"/>
        </w:rPr>
        <w:t xml:space="preserve">1.1132</w:t>
      </w:r>
      <w:r>
        <w:tab/>
      </w:r>
      <w:r>
        <w:t xml:space="preserve">Pruebas de auditoría</w:t>
      </w:r>
    </w:p>
    <w:p>
      <w:pPr>
        <w:numPr>
          <w:ilvl w:val="0"/>
          <w:numId w:val="1348"/>
        </w:numPr>
        <w:pStyle w:val="Compact"/>
      </w:pPr>
      <w:r>
        <w:t xml:space="preserve">Seleccionar los problemas materiales de IA y confirmar la escalada se produjo dentro de umbrales y plazos definidos.</w:t>
      </w:r>
    </w:p>
    <w:p>
      <w:pPr>
        <w:numPr>
          <w:ilvl w:val="0"/>
          <w:numId w:val="1348"/>
        </w:numPr>
        <w:pStyle w:val="Compact"/>
      </w:pPr>
      <w:r>
        <w:t xml:space="preserve">Verificar que los responsables de la adopción de decisiones tengan autoridad, independencia e información adecuadas.</w:t>
      </w:r>
    </w:p>
    <w:p>
      <w:pPr>
        <w:numPr>
          <w:ilvl w:val="0"/>
          <w:numId w:val="1348"/>
        </w:numPr>
        <w:pStyle w:val="Compact"/>
      </w:pPr>
      <w:r>
        <w:t xml:space="preserve">Confirme los paquetes de información que distinguen hechos, suposiciones, incertidumbres y lagunas de evidencia.</w:t>
      </w:r>
    </w:p>
    <w:p>
      <w:pPr>
        <w:numPr>
          <w:ilvl w:val="0"/>
          <w:numId w:val="1348"/>
        </w:numPr>
        <w:pStyle w:val="Compact"/>
      </w:pPr>
      <w:r>
        <w:t xml:space="preserve">Localizar las decisiones de contención, rehabilitación, notificación, retiro, retiro y cierre de pruebas.</w:t>
      </w:r>
    </w:p>
    <w:p>
      <w:pPr>
        <w:numPr>
          <w:ilvl w:val="0"/>
          <w:numId w:val="1348"/>
        </w:numPr>
        <w:pStyle w:val="Compact"/>
      </w:pPr>
      <w:r>
        <w:t xml:space="preserve">Confirme que se intensificaron los hallazgos atrasados de alta gravedad.</w:t>
      </w:r>
    </w:p>
    <w:p>
      <w:pPr>
        <w:numPr>
          <w:ilvl w:val="0"/>
          <w:numId w:val="1348"/>
        </w:numPr>
        <w:pStyle w:val="Compact"/>
      </w:pPr>
      <w:r>
        <w:t xml:space="preserve">Examinar si los informes presentados por la junta o el comité cumplen los criterios establecidos.</w:t>
      </w:r>
    </w:p>
    <w:p>
      <w:pPr>
        <w:numPr>
          <w:ilvl w:val="0"/>
          <w:numId w:val="1348"/>
        </w:numPr>
        <w:pStyle w:val="Compact"/>
      </w:pPr>
      <w:r>
        <w:t xml:space="preserve">Prueba las rutas de escalada de emergencia a través de simulación o registros.</w:t>
      </w:r>
    </w:p>
    <w:p>
      <w:pPr>
        <w:numPr>
          <w:ilvl w:val="0"/>
          <w:numId w:val="1348"/>
        </w:numPr>
        <w:pStyle w:val="Compact"/>
      </w:pPr>
      <w:r>
        <w:t xml:space="preserve">Confirmar el cierre fue apoyado por pruebas verificadas en lugar de solo el debate.</w:t>
      </w:r>
    </w:p>
    <w:p>
      <w:pPr>
        <w:numPr>
          <w:ilvl w:val="0"/>
          <w:numId w:val="1348"/>
        </w:numPr>
        <w:pStyle w:val="Compact"/>
      </w:pPr>
      <w:r>
        <w:t xml:space="preserve">Confirmar lecciones de escalada resultó en umbral, proceso, control, o mejoras en la capacitación.</w:t>
      </w:r>
    </w:p>
    <w:bookmarkEnd w:id="1178"/>
    <w:bookmarkStart w:id="1179" w:name="métricas-2"/>
    <w:p>
      <w:pPr>
        <w:pStyle w:val="Heading2"/>
      </w:pPr>
      <w:r>
        <w:rPr>
          <w:rStyle w:val="SectionNumber"/>
        </w:rPr>
        <w:t xml:space="preserve">1.1133</w:t>
      </w:r>
      <w:r>
        <w:tab/>
      </w:r>
      <w:r>
        <w:t xml:space="preserve">Métricas</w:t>
      </w:r>
    </w:p>
    <w:p>
      <w:pPr>
        <w:numPr>
          <w:ilvl w:val="0"/>
          <w:numId w:val="1349"/>
        </w:numPr>
        <w:pStyle w:val="Compact"/>
      </w:pPr>
      <w:r>
        <w:t xml:space="preserve">el tiempo transcurrido desde la detección hasta la intensificación del poder ejecutivo;</w:t>
      </w:r>
    </w:p>
    <w:p>
      <w:pPr>
        <w:numPr>
          <w:ilvl w:val="0"/>
          <w:numId w:val="1349"/>
        </w:numPr>
        <w:pStyle w:val="Compact"/>
      </w:pPr>
      <w:r>
        <w:t xml:space="preserve">el tiempo transcurrido desde la escalada hasta la adopción de decisiones;</w:t>
      </w:r>
    </w:p>
    <w:p>
      <w:pPr>
        <w:numPr>
          <w:ilvl w:val="0"/>
          <w:numId w:val="1349"/>
        </w:numPr>
        <w:pStyle w:val="Compact"/>
      </w:pPr>
      <w:r>
        <w:t xml:space="preserve">las cuestiones materiales no se intensificaron a tiempo;</w:t>
      </w:r>
    </w:p>
    <w:p>
      <w:pPr>
        <w:numPr>
          <w:ilvl w:val="0"/>
          <w:numId w:val="1349"/>
        </w:numPr>
        <w:pStyle w:val="Compact"/>
      </w:pPr>
      <w:r>
        <w:t xml:space="preserve">medidas ejecutivas atrasadas;</w:t>
      </w:r>
    </w:p>
    <w:p>
      <w:pPr>
        <w:numPr>
          <w:ilvl w:val="0"/>
          <w:numId w:val="1349"/>
        </w:numPr>
        <w:pStyle w:val="Compact"/>
      </w:pPr>
      <w:r>
        <w:t xml:space="preserve">sistemas restringidos, suspendidos, retirados o retirados;</w:t>
      </w:r>
    </w:p>
    <w:p>
      <w:pPr>
        <w:numPr>
          <w:ilvl w:val="0"/>
          <w:numId w:val="1349"/>
        </w:numPr>
        <w:pStyle w:val="Compact"/>
      </w:pPr>
      <w:r>
        <w:t xml:space="preserve">repetir cuestiones después de la decisión ejecutiva;</w:t>
      </w:r>
    </w:p>
    <w:p>
      <w:pPr>
        <w:numPr>
          <w:ilvl w:val="0"/>
          <w:numId w:val="1349"/>
        </w:numPr>
        <w:pStyle w:val="Compact"/>
      </w:pPr>
      <w:r>
        <w:t xml:space="preserve">cuestiones relativas a la IA que puedan ser objeto de informes de la junta;</w:t>
      </w:r>
    </w:p>
    <w:p>
      <w:pPr>
        <w:numPr>
          <w:ilvl w:val="0"/>
          <w:numId w:val="1349"/>
        </w:numPr>
        <w:pStyle w:val="Compact"/>
      </w:pPr>
      <w:r>
        <w:t xml:space="preserve">ejercicios de escalada de emergencia completados;</w:t>
      </w:r>
    </w:p>
    <w:p>
      <w:pPr>
        <w:numPr>
          <w:ilvl w:val="0"/>
          <w:numId w:val="1349"/>
        </w:numPr>
        <w:pStyle w:val="Compact"/>
      </w:pPr>
      <w:r>
        <w:t xml:space="preserve">escaladas con paquetes de pruebas incompletos;</w:t>
      </w:r>
    </w:p>
    <w:p>
      <w:pPr>
        <w:numPr>
          <w:ilvl w:val="0"/>
          <w:numId w:val="1349"/>
        </w:numPr>
        <w:pStyle w:val="Compact"/>
      </w:pPr>
      <w:r>
        <w:t xml:space="preserve">escaladas cerradas sin validación independiente.</w:t>
      </w:r>
    </w:p>
    <w:bookmarkEnd w:id="1179"/>
    <w:bookmarkStart w:id="1180" w:name="lista-de-verificación-de-gestión-4"/>
    <w:p>
      <w:pPr>
        <w:pStyle w:val="Heading2"/>
      </w:pPr>
      <w:r>
        <w:rPr>
          <w:rStyle w:val="SectionNumber"/>
        </w:rPr>
        <w:t xml:space="preserve">1.1134</w:t>
      </w:r>
      <w:r>
        <w:tab/>
      </w:r>
      <w:r>
        <w:t xml:space="preserve">Lista de verificación de gestión</w:t>
      </w:r>
    </w:p>
    <w:p>
      <w:pPr>
        <w:numPr>
          <w:ilvl w:val="0"/>
          <w:numId w:val="1350"/>
        </w:numPr>
        <w:pStyle w:val="Compact"/>
      </w:pPr>
      <w:r>
        <w:t xml:space="preserve">¿Están claros y entendidos los umbrales de materialidad?</w:t>
      </w:r>
    </w:p>
    <w:p>
      <w:pPr>
        <w:numPr>
          <w:ilvl w:val="0"/>
          <w:numId w:val="1350"/>
        </w:numPr>
        <w:pStyle w:val="Compact"/>
      </w:pPr>
      <w:r>
        <w:t xml:space="preserve">¿Pueden los problemas urgentes llegar a un ejecutivo autorizado de inmediato?</w:t>
      </w:r>
    </w:p>
    <w:p>
      <w:pPr>
        <w:numPr>
          <w:ilvl w:val="0"/>
          <w:numId w:val="1350"/>
        </w:numPr>
        <w:pStyle w:val="Compact"/>
      </w:pPr>
      <w:r>
        <w:t xml:space="preserve">¿El paquete de escalada distingue hechos, suposiciones e incógnitas?</w:t>
      </w:r>
    </w:p>
    <w:p>
      <w:pPr>
        <w:numPr>
          <w:ilvl w:val="0"/>
          <w:numId w:val="1350"/>
        </w:numPr>
        <w:pStyle w:val="Compact"/>
      </w:pPr>
      <w:r>
        <w:t xml:space="preserve">¿Se dan a los líderes alternativas realistas, incluyendo la suspensión, la retirada y el recuerdo?</w:t>
      </w:r>
    </w:p>
    <w:p>
      <w:pPr>
        <w:numPr>
          <w:ilvl w:val="0"/>
          <w:numId w:val="1350"/>
        </w:numPr>
        <w:pStyle w:val="Compact"/>
      </w:pPr>
      <w:r>
        <w:t xml:space="preserve">¿Están documentadas las decisiones, el disenso, las condiciones, los propietarios y los plazos?</w:t>
      </w:r>
    </w:p>
    <w:p>
      <w:pPr>
        <w:numPr>
          <w:ilvl w:val="0"/>
          <w:numId w:val="1350"/>
        </w:numPr>
        <w:pStyle w:val="Compact"/>
      </w:pPr>
      <w:r>
        <w:t xml:space="preserve">¿La junta recibe asuntos que excedan la autoridad de gestión o el apetito de riesgo?</w:t>
      </w:r>
    </w:p>
    <w:p>
      <w:pPr>
        <w:numPr>
          <w:ilvl w:val="0"/>
          <w:numId w:val="1350"/>
        </w:numPr>
        <w:pStyle w:val="Compact"/>
      </w:pPr>
      <w:r>
        <w:t xml:space="preserve">¿El cierre está respaldado por pruebas verificadas?</w:t>
      </w:r>
    </w:p>
    <w:bookmarkEnd w:id="1180"/>
    <w:bookmarkStart w:id="1181" w:name="referencias-jurídicas-primarias-94"/>
    <w:p>
      <w:pPr>
        <w:pStyle w:val="Heading2"/>
      </w:pPr>
      <w:r>
        <w:rPr>
          <w:rStyle w:val="SectionNumber"/>
        </w:rPr>
        <w:t xml:space="preserve">1.1135</w:t>
      </w:r>
      <w:r>
        <w:tab/>
      </w:r>
      <w:r>
        <w:t xml:space="preserve">Referencias jurídicas primarias</w:t>
      </w:r>
    </w:p>
    <w:p>
      <w:pPr>
        <w:numPr>
          <w:ilvl w:val="0"/>
          <w:numId w:val="1351"/>
        </w:numPr>
        <w:pStyle w:val="Compact"/>
      </w:pPr>
      <w:r>
        <w:t xml:space="preserve">Reglamento (UE) 2024/1689, modificado: normas aplicables de gobernanza, gestión de la calidad, gestión del riesgo, notificación de incidentes, medidas correctoras, seguimiento posterior a la comercialización, proveedor, despliegue, conformidad y cooperación de la autoridad.</w:t>
      </w:r>
    </w:p>
    <w:p>
      <w:pPr>
        <w:numPr>
          <w:ilvl w:val="0"/>
          <w:numId w:val="1351"/>
        </w:numPr>
        <w:pStyle w:val="Compact"/>
      </w:pPr>
      <w:r>
        <w:t xml:space="preserve">Reglamento (UE) 2026/1744, en su caso.</w:t>
      </w:r>
    </w:p>
    <w:p>
      <w:pPr>
        <w:numPr>
          <w:ilvl w:val="0"/>
          <w:numId w:val="1351"/>
        </w:numPr>
        <w:pStyle w:val="Compact"/>
      </w:pPr>
      <w:r>
        <w:t xml:space="preserve">Los mecanismos de escalonamiento del poder ejecutivo en este capítulo son los controles de gobernanza, no las obligaciones estatutarias independientes a menos que estén vinculadas a una obligación jurídica específica.</w:t>
      </w:r>
    </w:p>
    <w:bookmarkEnd w:id="1181"/>
    <w:bookmarkStart w:id="1182" w:name="X1594b92b93d8e86750b80d3bd47ca5f03d2541c"/>
    <w:p>
      <w:pPr>
        <w:pStyle w:val="Heading2"/>
      </w:pPr>
      <w:r>
        <w:rPr>
          <w:rStyle w:val="SectionNumber"/>
        </w:rPr>
        <w:t xml:space="preserve">1.1136</w:t>
      </w:r>
      <w:r>
        <w:tab/>
      </w:r>
      <w:r>
        <w:t xml:space="preserve">Especificación de la figura — Escalera ejecutiva AI</w:t>
      </w:r>
    </w:p>
    <w:p>
      <w:pPr>
        <w:pStyle w:val="FirstParagraph"/>
      </w:pPr>
      <w:r>
        <w:t xml:space="preserve">Crear una escala de escala de escala de propietario operacional a comité ejecutivo de riesgo de IA y supervisión de la junta directiva. Mostrar la gravedad del desencadenante, tiempo de respuesta, evidencia requerida, autoridad de decisión, opciones de contención, decisiones de notificación, seguimiento de la rehabilitación, validación y cierre.</w:t>
      </w:r>
    </w:p>
    <w:p>
      <w:pPr>
        <w:pStyle w:val="BodyText"/>
      </w:pPr>
      <w:r>
        <w:t xml:space="preserve">** Texto Alt:** Escala de escala de escala ejecutiva de IA que traslada las cuestiones materiales de la propiedad operacional a los responsables ejecutivos y de la toma de decisiones, con factores desencadenantes de severidad, evidencia, contención, notificación, rehabilitación, validación y cierre.</w:t>
      </w:r>
    </w:p>
    <w:bookmarkEnd w:id="1182"/>
    <w:bookmarkStart w:id="1183" w:name="capítulo-127-notificación-reglamentaria"/>
    <w:p>
      <w:pPr>
        <w:pStyle w:val="Heading2"/>
      </w:pPr>
      <w:r>
        <w:rPr>
          <w:rStyle w:val="SectionNumber"/>
        </w:rPr>
        <w:t xml:space="preserve">1.1137</w:t>
      </w:r>
      <w:r>
        <w:tab/>
      </w:r>
      <w:r>
        <w:t xml:space="preserve">Capítulo 127 — Notificación reglamentaria</w:t>
      </w:r>
    </w:p>
    <w:p>
      <w:pPr>
        <w:pStyle w:val="BlockText"/>
      </w:pPr>
      <w:r>
        <w:rPr>
          <w:bCs/>
          <w:b/>
        </w:rPr>
        <w:t xml:space="preserve">Estatus legal:</w:t>
      </w:r>
      <w:r>
        <w:t xml:space="preserve"> </w:t>
      </w:r>
      <w:r>
        <w:t xml:space="preserve">Corregido Maestro de inglés para la consolidación. Este archivo controla el lenguaje de borrador anterior del Capítulo 127.</w:t>
      </w:r>
    </w:p>
    <w:bookmarkEnd w:id="1183"/>
    <w:bookmarkStart w:id="1184" w:name="finalidad-5"/>
    <w:p>
      <w:pPr>
        <w:pStyle w:val="Heading2"/>
      </w:pPr>
      <w:r>
        <w:rPr>
          <w:rStyle w:val="SectionNumber"/>
        </w:rPr>
        <w:t xml:space="preserve">1.1138</w:t>
      </w:r>
      <w:r>
        <w:tab/>
      </w:r>
      <w:r>
        <w:t xml:space="preserve">Finalidad</w:t>
      </w:r>
    </w:p>
    <w:p>
      <w:pPr>
        <w:pStyle w:val="FirstParagraph"/>
      </w:pPr>
      <w:r>
        <w:t xml:space="preserve">En este capítulo se explica cómo las organizaciones deben identificar, evaluar, aprobar y entregar notificaciones reglamentarias sobre incidentes graves, incumplimiento, medidas correctivas, restricciones de mercado y otros asuntos de IA notificables.</w:t>
      </w:r>
    </w:p>
    <w:p>
      <w:pPr>
        <w:pStyle w:val="BodyText"/>
      </w:pPr>
      <w:r>
        <w:t xml:space="preserve">AI puede apoyar la toma de decisiones humanas, pero no debe eliminar la responsabilidad humana, el juicio o la rendición de cuentas.</w:t>
      </w:r>
    </w:p>
    <w:bookmarkEnd w:id="1184"/>
    <w:bookmarkStart w:id="1185" w:name="requisito-125"/>
    <w:p>
      <w:pPr>
        <w:pStyle w:val="Heading2"/>
      </w:pPr>
      <w:r>
        <w:rPr>
          <w:rStyle w:val="SectionNumber"/>
        </w:rPr>
        <w:t xml:space="preserve">1.1139</w:t>
      </w:r>
      <w:r>
        <w:tab/>
      </w:r>
      <w:r>
        <w:t xml:space="preserve">Requisito</w:t>
      </w:r>
    </w:p>
    <w:p>
      <w:pPr>
        <w:pStyle w:val="FirstParagraph"/>
      </w:pPr>
      <w:r>
        <w:t xml:space="preserve">Las organizaciones deben identificar y cumplir todas las obligaciones de notificación aplicables de la UE en materia de IA y leyes conexas.Las obligaciones de notificación difieren según el actor regulado, el evento, la provisión, la autoridad, la regla de tiempo, el requisito de contenido y el régimen legal; no hay un único plazo universal de notificación de IA.</w:t>
      </w:r>
    </w:p>
    <w:p>
      <w:pPr>
        <w:pStyle w:val="BodyText"/>
      </w:pPr>
      <w:r>
        <w:t xml:space="preserve">Las organizaciones deben mantener un proceso de notificación documentado en el que se identifiquen las autoridades aplicables, los factores legales desencadenantes, los plazos de presentación de informes, el contenido requerido, la autoridad de aprobación, los canales de comunicación, los requisitos de conservación de pruebas y los compromisos de seguimiento.</w:t>
      </w:r>
    </w:p>
    <w:bookmarkEnd w:id="1185"/>
    <w:bookmarkStart w:id="1186" w:name="explicación-en-lenguaje-sencillo-122"/>
    <w:p>
      <w:pPr>
        <w:pStyle w:val="Heading2"/>
      </w:pPr>
      <w:r>
        <w:rPr>
          <w:rStyle w:val="SectionNumber"/>
        </w:rPr>
        <w:t xml:space="preserve">1.1140</w:t>
      </w:r>
      <w:r>
        <w:tab/>
      </w:r>
      <w:r>
        <w:t xml:space="preserve">Explicación en lenguaje sencillo</w:t>
      </w:r>
    </w:p>
    <w:p>
      <w:pPr>
        <w:pStyle w:val="FirstParagraph"/>
      </w:pPr>
      <w:r>
        <w:t xml:space="preserve">Una cuestión de IA importante puede desencadenar la notificación a una autoridad de vigilancia del mercado, la Oficina de IA, otra autoridad competente, una autoridad de protección de datos, una autoridad de ciberseguridad, clientes, trabajadores, personas afectadas u otros organismos. La organización debe determinar qué deber se aplica, quién debe notificar, cuando el reloj comience, qué información se requiere, y cómo se gestionarán las actualizaciones.</w:t>
      </w:r>
    </w:p>
    <w:p>
      <w:pPr>
        <w:pStyle w:val="BodyText"/>
      </w:pPr>
      <w:r>
        <w:t xml:space="preserve">La obligación aplicable puede depender del papel de la organización, la clasificación del sistema, el tipo y la gravedad del daño, dónde se utiliza el sistema y qué autoridad tiene jurisdicción. La organización debe moverse rápidamente sin presentar información no verificada o engañosa. Los informes iniciales pueden ser preliminares cuando la ley aplicable permite la presentación de informes escalonados, pero deben distinguir claramente los hechos conocidos, las evaluaciones razonables, los supuestos y las preguntas sin resolver.</w:t>
      </w:r>
    </w:p>
    <w:bookmarkEnd w:id="1186"/>
    <w:bookmarkStart w:id="1187" w:name="Xa1b00669e9976d442ff30881b21d1442d9e6a1a"/>
    <w:p>
      <w:pPr>
        <w:pStyle w:val="Heading2"/>
      </w:pPr>
      <w:r>
        <w:rPr>
          <w:rStyle w:val="SectionNumber"/>
        </w:rPr>
        <w:t xml:space="preserve">1.1141</w:t>
      </w:r>
      <w:r>
        <w:tab/>
      </w:r>
      <w:r>
        <w:t xml:space="preserve">Posibles desencadenantes de la notificación</w:t>
      </w:r>
    </w:p>
    <w:p>
      <w:pPr>
        <w:pStyle w:val="FirstParagraph"/>
      </w:pPr>
      <w:r>
        <w:t xml:space="preserve">Evaluar si la notificación puede ser requerida después de:</w:t>
      </w:r>
    </w:p>
    <w:p>
      <w:pPr>
        <w:numPr>
          <w:ilvl w:val="0"/>
          <w:numId w:val="1352"/>
        </w:numPr>
        <w:pStyle w:val="Compact"/>
      </w:pPr>
      <w:r>
        <w:t xml:space="preserve">un incidente grave;</w:t>
      </w:r>
    </w:p>
    <w:p>
      <w:pPr>
        <w:numPr>
          <w:ilvl w:val="0"/>
          <w:numId w:val="1352"/>
        </w:numPr>
        <w:pStyle w:val="Compact"/>
      </w:pPr>
      <w:r>
        <w:t xml:space="preserve">muerte, lesiones graves o un riesgo significativo para la salud o la seguridad;</w:t>
      </w:r>
    </w:p>
    <w:p>
      <w:pPr>
        <w:numPr>
          <w:ilvl w:val="0"/>
          <w:numId w:val="1352"/>
        </w:numPr>
        <w:pStyle w:val="Compact"/>
      </w:pPr>
      <w:r>
        <w:t xml:space="preserve">perturbaciones graves e irreversibles de las infraestructuras críticas;</w:t>
      </w:r>
    </w:p>
    <w:p>
      <w:pPr>
        <w:numPr>
          <w:ilvl w:val="0"/>
          <w:numId w:val="1352"/>
        </w:numPr>
        <w:pStyle w:val="Compact"/>
      </w:pPr>
      <w:r>
        <w:t xml:space="preserve">una infracción de las obligaciones de protección de los derechos fundamentales;</w:t>
      </w:r>
    </w:p>
    <w:p>
      <w:pPr>
        <w:numPr>
          <w:ilvl w:val="0"/>
          <w:numId w:val="1352"/>
        </w:numPr>
        <w:pStyle w:val="Compact"/>
      </w:pPr>
      <w:r>
        <w:t xml:space="preserve">una presunta práctica de IA prohibida;</w:t>
      </w:r>
    </w:p>
    <w:p>
      <w:pPr>
        <w:numPr>
          <w:ilvl w:val="0"/>
          <w:numId w:val="1352"/>
        </w:numPr>
        <w:pStyle w:val="Compact"/>
      </w:pPr>
      <w:r>
        <w:t xml:space="preserve">Incumplimiento material de un sistema de IA de alto riesgo;</w:t>
      </w:r>
    </w:p>
    <w:p>
      <w:pPr>
        <w:numPr>
          <w:ilvl w:val="0"/>
          <w:numId w:val="1352"/>
        </w:numPr>
        <w:pStyle w:val="Compact"/>
      </w:pPr>
      <w:r>
        <w:t xml:space="preserve">medidas correctoras, restricciones, suspensión, retirada o retirada;</w:t>
      </w:r>
    </w:p>
    <w:p>
      <w:pPr>
        <w:numPr>
          <w:ilvl w:val="0"/>
          <w:numId w:val="1352"/>
        </w:numPr>
        <w:pStyle w:val="Compact"/>
      </w:pPr>
      <w:r>
        <w:t xml:space="preserve">compromiso de ciberseguridad que afecte a la seguridad, integridad, disponibilidad o cumplimiento de la IA;</w:t>
      </w:r>
    </w:p>
    <w:p>
      <w:pPr>
        <w:numPr>
          <w:ilvl w:val="0"/>
          <w:numId w:val="1352"/>
        </w:numPr>
        <w:pStyle w:val="Compact"/>
      </w:pPr>
      <w:r>
        <w:t xml:space="preserve">una solicitud de autoridad, investigación, inspección o acción de vigilancia del mercado;</w:t>
      </w:r>
    </w:p>
    <w:p>
      <w:pPr>
        <w:numPr>
          <w:ilvl w:val="0"/>
          <w:numId w:val="1352"/>
        </w:numPr>
        <w:pStyle w:val="Compact"/>
      </w:pPr>
      <w:r>
        <w:t xml:space="preserve">una modificación sustancial que afecte al estatuto reglamentario;</w:t>
      </w:r>
    </w:p>
    <w:p>
      <w:pPr>
        <w:numPr>
          <w:ilvl w:val="0"/>
          <w:numId w:val="1352"/>
        </w:numPr>
        <w:pStyle w:val="Compact"/>
      </w:pPr>
      <w:r>
        <w:t xml:space="preserve">un proveedor de materiales, modelo, datos o fallo de componentes;</w:t>
      </w:r>
    </w:p>
    <w:p>
      <w:pPr>
        <w:numPr>
          <w:ilvl w:val="0"/>
          <w:numId w:val="1352"/>
        </w:numPr>
        <w:pStyle w:val="Compact"/>
      </w:pPr>
      <w:r>
        <w:t xml:space="preserve">privacidad relacionada, protección del consumidor, seguridad de los productos, empleo, seguridad cibernética o obligaciones de notificación sectorial.</w:t>
      </w:r>
    </w:p>
    <w:bookmarkEnd w:id="1187"/>
    <w:bookmarkStart w:id="1188" w:name="evaluación-de-la-notificación"/>
    <w:p>
      <w:pPr>
        <w:pStyle w:val="Heading2"/>
      </w:pPr>
      <w:r>
        <w:rPr>
          <w:rStyle w:val="SectionNumber"/>
        </w:rPr>
        <w:t xml:space="preserve">1.1142</w:t>
      </w:r>
      <w:r>
        <w:tab/>
      </w:r>
      <w:r>
        <w:t xml:space="preserve">Evaluación de la notificación</w:t>
      </w:r>
    </w:p>
    <w:p>
      <w:pPr>
        <w:pStyle w:val="FirstParagraph"/>
      </w:pPr>
      <w:r>
        <w:t xml:space="preserve">Para cada posible notificación, determinar y documentar:</w:t>
      </w:r>
    </w:p>
    <w:p>
      <w:pPr>
        <w:numPr>
          <w:ilvl w:val="0"/>
          <w:numId w:val="1353"/>
        </w:numPr>
        <w:pStyle w:val="Compact"/>
      </w:pPr>
      <w:r>
        <w:t xml:space="preserve">el régimen jurídico y el desencadenante exacto;</w:t>
      </w:r>
    </w:p>
    <w:p>
      <w:pPr>
        <w:numPr>
          <w:ilvl w:val="0"/>
          <w:numId w:val="1353"/>
        </w:numPr>
        <w:pStyle w:val="Compact"/>
      </w:pPr>
      <w:r>
        <w:t xml:space="preserve">el agente responsable regulado;</w:t>
      </w:r>
    </w:p>
    <w:p>
      <w:pPr>
        <w:numPr>
          <w:ilvl w:val="0"/>
          <w:numId w:val="1353"/>
        </w:numPr>
        <w:pStyle w:val="Compact"/>
      </w:pPr>
      <w:r>
        <w:t xml:space="preserve">la autoridad receptora competente o la parte afectada;</w:t>
      </w:r>
    </w:p>
    <w:p>
      <w:pPr>
        <w:numPr>
          <w:ilvl w:val="0"/>
          <w:numId w:val="1353"/>
        </w:numPr>
        <w:pStyle w:val="Compact"/>
      </w:pPr>
      <w:r>
        <w:t xml:space="preserve">la fecha límite y el evento que inicia el reloj;</w:t>
      </w:r>
    </w:p>
    <w:p>
      <w:pPr>
        <w:numPr>
          <w:ilvl w:val="0"/>
          <w:numId w:val="1353"/>
        </w:numPr>
        <w:pStyle w:val="Compact"/>
      </w:pPr>
      <w:r>
        <w:t xml:space="preserve">los hechos iniciales requeridos y si está permitido presentar informes escalonados;</w:t>
      </w:r>
    </w:p>
    <w:p>
      <w:pPr>
        <w:numPr>
          <w:ilvl w:val="0"/>
          <w:numId w:val="1353"/>
        </w:numPr>
        <w:pStyle w:val="Compact"/>
      </w:pPr>
      <w:r>
        <w:t xml:space="preserve">incidencia grave, seguridad, derechos, privacidad, seguridad, conformidad o riesgo de mercado;</w:t>
      </w:r>
    </w:p>
    <w:p>
      <w:pPr>
        <w:numPr>
          <w:ilvl w:val="0"/>
          <w:numId w:val="1353"/>
        </w:numPr>
        <w:pStyle w:val="Compact"/>
      </w:pPr>
      <w:r>
        <w:t xml:space="preserve">sistemas, modelos, versiones, entornos, jurisdicciones, proveedores y personas afectados;</w:t>
      </w:r>
    </w:p>
    <w:p>
      <w:pPr>
        <w:numPr>
          <w:ilvl w:val="0"/>
          <w:numId w:val="1353"/>
        </w:numPr>
        <w:pStyle w:val="Compact"/>
      </w:pPr>
      <w:r>
        <w:t xml:space="preserve">el calendario del evento y la fecha de detección;</w:t>
      </w:r>
    </w:p>
    <w:p>
      <w:pPr>
        <w:numPr>
          <w:ilvl w:val="0"/>
          <w:numId w:val="1353"/>
        </w:numPr>
        <w:pStyle w:val="Compact"/>
      </w:pPr>
      <w:r>
        <w:t xml:space="preserve">consecuencias conocidas y potenciales;</w:t>
      </w:r>
    </w:p>
    <w:p>
      <w:pPr>
        <w:numPr>
          <w:ilvl w:val="0"/>
          <w:numId w:val="1353"/>
        </w:numPr>
        <w:pStyle w:val="Compact"/>
      </w:pPr>
      <w:r>
        <w:t xml:space="preserve">pruebas disponibles, desaparecidas, conservadas o sujetas a privilegios;</w:t>
      </w:r>
    </w:p>
    <w:p>
      <w:pPr>
        <w:numPr>
          <w:ilvl w:val="0"/>
          <w:numId w:val="1353"/>
        </w:numPr>
        <w:pStyle w:val="Compact"/>
      </w:pPr>
      <w:r>
        <w:t xml:space="preserve">medidas de contención y correctoras;</w:t>
      </w:r>
    </w:p>
    <w:p>
      <w:pPr>
        <w:numPr>
          <w:ilvl w:val="0"/>
          <w:numId w:val="1353"/>
        </w:numPr>
        <w:pStyle w:val="Compact"/>
      </w:pPr>
      <w:r>
        <w:t xml:space="preserve">si se aplican regímenes de notificación paralelos;</w:t>
      </w:r>
    </w:p>
    <w:p>
      <w:pPr>
        <w:numPr>
          <w:ilvl w:val="0"/>
          <w:numId w:val="1353"/>
        </w:numPr>
        <w:pStyle w:val="Compact"/>
      </w:pPr>
      <w:r>
        <w:t xml:space="preserve">autoridad de homologación y canal de presentación;</w:t>
      </w:r>
    </w:p>
    <w:p>
      <w:pPr>
        <w:numPr>
          <w:ilvl w:val="0"/>
          <w:numId w:val="1353"/>
        </w:numPr>
        <w:pStyle w:val="Compact"/>
      </w:pPr>
      <w:r>
        <w:t xml:space="preserve">actualizaciones suplementarias, correctivas y de cierre;</w:t>
      </w:r>
    </w:p>
    <w:p>
      <w:pPr>
        <w:numPr>
          <w:ilvl w:val="0"/>
          <w:numId w:val="1353"/>
        </w:numPr>
        <w:pStyle w:val="Compact"/>
      </w:pPr>
      <w:r>
        <w:t xml:space="preserve">registros que demuestren puntualidad, exhaustividad y entrega.</w:t>
      </w:r>
    </w:p>
    <w:bookmarkEnd w:id="1188"/>
    <w:bookmarkStart w:id="1189" w:name="X6c00c8964cd62bec14b1412818d0b0e05a1b32c"/>
    <w:p>
      <w:pPr>
        <w:pStyle w:val="Heading2"/>
      </w:pPr>
      <w:r>
        <w:rPr>
          <w:rStyle w:val="SectionNumber"/>
        </w:rPr>
        <w:t xml:space="preserve">1.1143</w:t>
      </w:r>
      <w:r>
        <w:tab/>
      </w:r>
      <w:r>
        <w:t xml:space="preserve">Cartografía de la autoridad y la jurisdicción</w:t>
      </w:r>
    </w:p>
    <w:p>
      <w:pPr>
        <w:pStyle w:val="FirstParagraph"/>
      </w:pPr>
      <w:r>
        <w:t xml:space="preserve">Mantener un registro actual de:</w:t>
      </w:r>
    </w:p>
    <w:p>
      <w:pPr>
        <w:numPr>
          <w:ilvl w:val="0"/>
          <w:numId w:val="1354"/>
        </w:numPr>
        <w:pStyle w:val="Compact"/>
      </w:pPr>
      <w:r>
        <w:t xml:space="preserve">las autoridades nacionales competentes;</w:t>
      </w:r>
    </w:p>
    <w:p>
      <w:pPr>
        <w:numPr>
          <w:ilvl w:val="0"/>
          <w:numId w:val="1354"/>
        </w:numPr>
        <w:pStyle w:val="Compact"/>
      </w:pPr>
      <w:r>
        <w:t xml:space="preserve">las autoridades de vigilancia del mercado;</w:t>
      </w:r>
    </w:p>
    <w:p>
      <w:pPr>
        <w:numPr>
          <w:ilvl w:val="0"/>
          <w:numId w:val="1354"/>
        </w:numPr>
        <w:pStyle w:val="Compact"/>
      </w:pPr>
      <w:r>
        <w:t xml:space="preserve">la Oficina de Inteligencia Artificial, cuando proceda;</w:t>
      </w:r>
    </w:p>
    <w:p>
      <w:pPr>
        <w:numPr>
          <w:ilvl w:val="0"/>
          <w:numId w:val="1354"/>
        </w:numPr>
        <w:pStyle w:val="Compact"/>
      </w:pPr>
      <w:r>
        <w:t xml:space="preserve">las autoridades notificantes y los organismos notificados, cuando proceda;</w:t>
      </w:r>
    </w:p>
    <w:p>
      <w:pPr>
        <w:numPr>
          <w:ilvl w:val="0"/>
          <w:numId w:val="1354"/>
        </w:numPr>
        <w:pStyle w:val="Compact"/>
      </w:pPr>
      <w:r>
        <w:t xml:space="preserve">la protección de datos, la seguridad de los productos, los consumidores, el empleo, el sector y las autoridades de ciberseguridad;</w:t>
      </w:r>
    </w:p>
    <w:p>
      <w:pPr>
        <w:numPr>
          <w:ilvl w:val="0"/>
          <w:numId w:val="1354"/>
        </w:numPr>
        <w:pStyle w:val="Compact"/>
      </w:pPr>
      <w:r>
        <w:t xml:space="preserve">los canales de contacto de la autoridad;</w:t>
      </w:r>
    </w:p>
    <w:p>
      <w:pPr>
        <w:numPr>
          <w:ilvl w:val="0"/>
          <w:numId w:val="1354"/>
        </w:numPr>
        <w:pStyle w:val="Compact"/>
      </w:pPr>
      <w:r>
        <w:t xml:space="preserve">los requisitos de idioma, formato y autenticación;</w:t>
      </w:r>
    </w:p>
    <w:p>
      <w:pPr>
        <w:numPr>
          <w:ilvl w:val="0"/>
          <w:numId w:val="1354"/>
        </w:numPr>
        <w:pStyle w:val="Compact"/>
      </w:pPr>
      <w:r>
        <w:t xml:space="preserve">responsabilidades jurídicas y de los agentes;</w:t>
      </w:r>
    </w:p>
    <w:p>
      <w:pPr>
        <w:numPr>
          <w:ilvl w:val="0"/>
          <w:numId w:val="1354"/>
        </w:numPr>
        <w:pStyle w:val="Compact"/>
      </w:pPr>
      <w:r>
        <w:t xml:space="preserve">la intensificación de los contactos con asesores externos;</w:t>
      </w:r>
    </w:p>
    <w:p>
      <w:pPr>
        <w:numPr>
          <w:ilvl w:val="0"/>
          <w:numId w:val="1354"/>
        </w:numPr>
        <w:pStyle w:val="Compact"/>
      </w:pPr>
      <w:r>
        <w:t xml:space="preserve">los plazos de notificación aplicables y las normas de puesta en marcha del reloj.</w:t>
      </w:r>
    </w:p>
    <w:bookmarkEnd w:id="1189"/>
    <w:bookmarkStart w:id="1190" w:name="contenido-de-la-notificación"/>
    <w:p>
      <w:pPr>
        <w:pStyle w:val="Heading2"/>
      </w:pPr>
      <w:r>
        <w:rPr>
          <w:rStyle w:val="SectionNumber"/>
        </w:rPr>
        <w:t xml:space="preserve">1.1144</w:t>
      </w:r>
      <w:r>
        <w:tab/>
      </w:r>
      <w:r>
        <w:t xml:space="preserve">Contenido de la notificación</w:t>
      </w:r>
    </w:p>
    <w:p>
      <w:pPr>
        <w:pStyle w:val="FirstParagraph"/>
      </w:pPr>
      <w:r>
        <w:t xml:space="preserve">La notificación deberá incluir, según proceda y sea legalmente necesaria:</w:t>
      </w:r>
    </w:p>
    <w:p>
      <w:pPr>
        <w:numPr>
          <w:ilvl w:val="0"/>
          <w:numId w:val="1355"/>
        </w:numPr>
        <w:pStyle w:val="Compact"/>
      </w:pPr>
      <w:r>
        <w:t xml:space="preserve">la organización informadora y la información de contacto;</w:t>
      </w:r>
    </w:p>
    <w:p>
      <w:pPr>
        <w:numPr>
          <w:ilvl w:val="0"/>
          <w:numId w:val="1355"/>
        </w:numPr>
        <w:pStyle w:val="Compact"/>
      </w:pPr>
      <w:r>
        <w:t xml:space="preserve">función de organización en la cadena de valor de la IA;</w:t>
      </w:r>
    </w:p>
    <w:p>
      <w:pPr>
        <w:numPr>
          <w:ilvl w:val="0"/>
          <w:numId w:val="1355"/>
        </w:numPr>
        <w:pStyle w:val="Compact"/>
      </w:pPr>
      <w:r>
        <w:t xml:space="preserve">el sistema de IA afectado y la finalidad prevista;</w:t>
      </w:r>
    </w:p>
    <w:p>
      <w:pPr>
        <w:numPr>
          <w:ilvl w:val="0"/>
          <w:numId w:val="1355"/>
        </w:numPr>
        <w:pStyle w:val="Compact"/>
      </w:pPr>
      <w:r>
        <w:t xml:space="preserve">versiones de sistemas, modelos y componentes;</w:t>
      </w:r>
    </w:p>
    <w:p>
      <w:pPr>
        <w:numPr>
          <w:ilvl w:val="0"/>
          <w:numId w:val="1355"/>
        </w:numPr>
        <w:pStyle w:val="Compact"/>
      </w:pPr>
      <w:r>
        <w:t xml:space="preserve">fecha del evento, fecha de detección y cronología;</w:t>
      </w:r>
    </w:p>
    <w:p>
      <w:pPr>
        <w:numPr>
          <w:ilvl w:val="0"/>
          <w:numId w:val="1355"/>
        </w:numPr>
        <w:pStyle w:val="Compact"/>
      </w:pPr>
      <w:r>
        <w:t xml:space="preserve">descripción de incidentes o incumplimientos;</w:t>
      </w:r>
    </w:p>
    <w:p>
      <w:pPr>
        <w:numPr>
          <w:ilvl w:val="0"/>
          <w:numId w:val="1355"/>
        </w:numPr>
        <w:pStyle w:val="Compact"/>
      </w:pPr>
      <w:r>
        <w:t xml:space="preserve">personas afectadas, lugares, derechos y servicios;</w:t>
      </w:r>
    </w:p>
    <w:p>
      <w:pPr>
        <w:numPr>
          <w:ilvl w:val="0"/>
          <w:numId w:val="1355"/>
        </w:numPr>
        <w:pStyle w:val="Compact"/>
      </w:pPr>
      <w:r>
        <w:t xml:space="preserve">daño conocido o potencial;</w:t>
      </w:r>
    </w:p>
    <w:p>
      <w:pPr>
        <w:numPr>
          <w:ilvl w:val="0"/>
          <w:numId w:val="1355"/>
        </w:numPr>
        <w:pStyle w:val="Compact"/>
      </w:pPr>
      <w:r>
        <w:t xml:space="preserve">contención inmediata;</w:t>
      </w:r>
    </w:p>
    <w:p>
      <w:pPr>
        <w:numPr>
          <w:ilvl w:val="0"/>
          <w:numId w:val="1355"/>
        </w:numPr>
        <w:pStyle w:val="Compact"/>
      </w:pPr>
      <w:r>
        <w:t xml:space="preserve">análisis técnico y organizativo;</w:t>
      </w:r>
    </w:p>
    <w:p>
      <w:pPr>
        <w:numPr>
          <w:ilvl w:val="0"/>
          <w:numId w:val="1355"/>
        </w:numPr>
        <w:pStyle w:val="Compact"/>
      </w:pPr>
      <w:r>
        <w:t xml:space="preserve">los proveedores y dependencias involucrados;</w:t>
      </w:r>
    </w:p>
    <w:p>
      <w:pPr>
        <w:numPr>
          <w:ilvl w:val="0"/>
          <w:numId w:val="1355"/>
        </w:numPr>
        <w:pStyle w:val="Compact"/>
      </w:pPr>
      <w:r>
        <w:t xml:space="preserve">plan de medidas correctoras;</w:t>
      </w:r>
    </w:p>
    <w:p>
      <w:pPr>
        <w:numPr>
          <w:ilvl w:val="0"/>
          <w:numId w:val="1355"/>
        </w:numPr>
        <w:pStyle w:val="Compact"/>
      </w:pPr>
      <w:r>
        <w:t xml:space="preserve">limitaciones de pruebas y preguntas abiertas;</w:t>
      </w:r>
    </w:p>
    <w:p>
      <w:pPr>
        <w:numPr>
          <w:ilvl w:val="0"/>
          <w:numId w:val="1355"/>
        </w:numPr>
        <w:pStyle w:val="Compact"/>
      </w:pPr>
      <w:r>
        <w:t xml:space="preserve">actualizaciones planificadas y contacto responsable.</w:t>
      </w:r>
    </w:p>
    <w:bookmarkEnd w:id="1190"/>
    <w:bookmarkStart w:id="1191" w:name="X897bb0c7fe901d5e3a1d4e3e1a75b8868861376"/>
    <w:p>
      <w:pPr>
        <w:pStyle w:val="Heading2"/>
      </w:pPr>
      <w:r>
        <w:rPr>
          <w:rStyle w:val="SectionNumber"/>
        </w:rPr>
        <w:t xml:space="preserve">1.1145</w:t>
      </w:r>
      <w:r>
        <w:tab/>
      </w:r>
      <w:r>
        <w:t xml:space="preserve">Puntualidad y presentación de informes por etapas</w:t>
      </w:r>
    </w:p>
    <w:p>
      <w:pPr>
        <w:pStyle w:val="FirstParagraph"/>
      </w:pPr>
      <w:r>
        <w:t xml:space="preserve">Cuando los hechos completos no estén disponibles antes de un plazo, presente una notificación preliminar aprobada cuando sea legalmente apropiado y proporcione actualizaciones verificadas. No retrase solamente para lograr un informe perfecto. Al mismo tiempo, no especule, oculte la incertidumbre, o haga admisiones no justificadas.</w:t>
      </w:r>
    </w:p>
    <w:p>
      <w:pPr>
        <w:pStyle w:val="BodyText"/>
      </w:pPr>
      <w:r>
        <w:t xml:space="preserve">Los cálculos de la fecha límite deberán identificar el hecho desencadenante, el huso horario, la entidad jurídica responsable, los fines de semana o las normas sobre vacaciones públicas, cuando proceda, y cualquier obligación de presentar informes provisionales o complementarios.</w:t>
      </w:r>
    </w:p>
    <w:bookmarkEnd w:id="1191"/>
    <w:bookmarkStart w:id="1192" w:name="coordinación-entre-regímenes"/>
    <w:p>
      <w:pPr>
        <w:pStyle w:val="Heading2"/>
      </w:pPr>
      <w:r>
        <w:rPr>
          <w:rStyle w:val="SectionNumber"/>
        </w:rPr>
        <w:t xml:space="preserve">1.1146</w:t>
      </w:r>
      <w:r>
        <w:tab/>
      </w:r>
      <w:r>
        <w:t xml:space="preserve">Coordinación entre regímenes</w:t>
      </w:r>
    </w:p>
    <w:p>
      <w:pPr>
        <w:pStyle w:val="FirstParagraph"/>
      </w:pPr>
      <w:r>
        <w:t xml:space="preserve">Un incidente de IA también puede desencadenar obligaciones bajo protección de datos, ciberseguridad, seguridad de productos, empleo, protección del consumidor, contratos, seguros o regulación sectorial.Coordine mensajes, hechos, plazos y acciones correctivas para que las presentaciones sean consistentes, respetando el alcance de cada régimen, las reglas de privilegios, el receptor y el plazo.</w:t>
      </w:r>
    </w:p>
    <w:p>
      <w:pPr>
        <w:pStyle w:val="BodyText"/>
      </w:pPr>
      <w:r>
        <w:t xml:space="preserve">Las obligaciones de notificación conexas deben evaluarse por separado; el cumplimiento de un régimen no satisface automáticamente a otro.</w:t>
      </w:r>
    </w:p>
    <w:bookmarkEnd w:id="1192"/>
    <w:bookmarkStart w:id="1193" w:name="Xfafd38bd5cb99678bf223eea92f5f75b6748d19"/>
    <w:p>
      <w:pPr>
        <w:pStyle w:val="Heading2"/>
      </w:pPr>
      <w:r>
        <w:rPr>
          <w:rStyle w:val="SectionNumber"/>
        </w:rPr>
        <w:t xml:space="preserve">1.1147</w:t>
      </w:r>
      <w:r>
        <w:tab/>
      </w:r>
      <w:r>
        <w:t xml:space="preserve">Ejemplo de servicios de viajes de GlobalWay</w:t>
      </w:r>
    </w:p>
    <w:p>
      <w:pPr>
        <w:pStyle w:val="FirstParagraph"/>
      </w:pPr>
      <w:r>
        <w:t xml:space="preserve">GlobalWay recibe pruebas de que un sistema de gestión de empleados de alto riesgo puede haber contribuido a un grave impacto en los derechos fundamentales después de una actualización del proveedor. Legal determina el actor y la ruta de presentación de informes de la Ley de IA aplicable, evalúa las obligaciones paralelas del RGPD y el empleo, conserva registros, versiones del sistema y registros de decisiones, y restringe las recomendaciones automatizadas.</w:t>
      </w:r>
    </w:p>
    <w:p>
      <w:pPr>
        <w:pStyle w:val="BodyText"/>
      </w:pPr>
      <w:r>
        <w:t xml:space="preserve">GlobalWay presenta la notificación inicial requerida utilizando hechos verificados, identifica preguntas abiertas y medidas de contención, y proporciona informes complementarios a medida que la investigación establece poblaciones afectadas, causa raíz, rehabilitación y evidencia que apoya cualquier reinicio seguro.</w:t>
      </w:r>
    </w:p>
    <w:bookmarkEnd w:id="1193"/>
    <w:bookmarkStart w:id="1194" w:name="actividades-de-control-5"/>
    <w:p>
      <w:pPr>
        <w:pStyle w:val="Heading2"/>
      </w:pPr>
      <w:r>
        <w:rPr>
          <w:rStyle w:val="SectionNumber"/>
        </w:rPr>
        <w:t xml:space="preserve">1.1148</w:t>
      </w:r>
      <w:r>
        <w:tab/>
      </w:r>
      <w:r>
        <w:t xml:space="preserve">Actividades de control</w:t>
      </w:r>
    </w:p>
    <w:p>
      <w:pPr>
        <w:numPr>
          <w:ilvl w:val="0"/>
          <w:numId w:val="1356"/>
        </w:numPr>
        <w:pStyle w:val="Compact"/>
      </w:pPr>
      <w:r>
        <w:t xml:space="preserve">Mantener un árbol de decisión de notificación y matriz de activación.</w:t>
      </w:r>
    </w:p>
    <w:p>
      <w:pPr>
        <w:numPr>
          <w:ilvl w:val="0"/>
          <w:numId w:val="1356"/>
        </w:numPr>
        <w:pStyle w:val="Compact"/>
      </w:pPr>
      <w:r>
        <w:t xml:space="preserve">Mantenga un registro de autoridad, jurisdicción, actor y fecha límite.</w:t>
      </w:r>
    </w:p>
    <w:p>
      <w:pPr>
        <w:numPr>
          <w:ilvl w:val="0"/>
          <w:numId w:val="1356"/>
        </w:numPr>
        <w:pStyle w:val="Compact"/>
      </w:pPr>
      <w:r>
        <w:t xml:space="preserve">Activar la revisión legal y ejecutiva inmediatamente después de los eventos materiales.</w:t>
      </w:r>
    </w:p>
    <w:p>
      <w:pPr>
        <w:numPr>
          <w:ilvl w:val="0"/>
          <w:numId w:val="1356"/>
        </w:numPr>
        <w:pStyle w:val="Compact"/>
      </w:pPr>
      <w:r>
        <w:t xml:space="preserve">Preservar versiones del sistema, registros, comunicaciones y pruebas de decisiones.</w:t>
      </w:r>
    </w:p>
    <w:p>
      <w:pPr>
        <w:numPr>
          <w:ilvl w:val="0"/>
          <w:numId w:val="1356"/>
        </w:numPr>
        <w:pStyle w:val="Compact"/>
      </w:pPr>
      <w:r>
        <w:t xml:space="preserve">Utilice plantillas controladas y flujos de trabajo de aprobación.</w:t>
      </w:r>
    </w:p>
    <w:p>
      <w:pPr>
        <w:numPr>
          <w:ilvl w:val="0"/>
          <w:numId w:val="1356"/>
        </w:numPr>
        <w:pStyle w:val="Compact"/>
      </w:pPr>
      <w:r>
        <w:t xml:space="preserve">Separar los hechos verificados de los supuestos y las cuestiones no resueltas.</w:t>
      </w:r>
    </w:p>
    <w:p>
      <w:pPr>
        <w:numPr>
          <w:ilvl w:val="0"/>
          <w:numId w:val="1356"/>
        </w:numPr>
        <w:pStyle w:val="Compact"/>
      </w:pPr>
      <w:r>
        <w:t xml:space="preserve">Coordinar los regímenes de notificación conexos.</w:t>
      </w:r>
    </w:p>
    <w:p>
      <w:pPr>
        <w:numPr>
          <w:ilvl w:val="0"/>
          <w:numId w:val="1356"/>
        </w:numPr>
        <w:pStyle w:val="Compact"/>
      </w:pPr>
      <w:r>
        <w:t xml:space="preserve">Seguimiento de los reconocimientos, preguntas reguladoras, informes complementarios, correcciones y compromisos.</w:t>
      </w:r>
    </w:p>
    <w:p>
      <w:pPr>
        <w:numPr>
          <w:ilvl w:val="0"/>
          <w:numId w:val="1356"/>
        </w:numPr>
        <w:pStyle w:val="Compact"/>
      </w:pPr>
      <w:r>
        <w:t xml:space="preserve">Validar las medidas correctoras antes del cierre.</w:t>
      </w:r>
    </w:p>
    <w:p>
      <w:pPr>
        <w:numPr>
          <w:ilvl w:val="0"/>
          <w:numId w:val="1356"/>
        </w:numPr>
        <w:pStyle w:val="Compact"/>
      </w:pPr>
      <w:r>
        <w:t xml:space="preserve">Revisión fallida, tardía, rechazada o corregida notificaciones para la mejora del proceso.</w:t>
      </w:r>
    </w:p>
    <w:bookmarkEnd w:id="1194"/>
    <w:bookmarkStart w:id="1195" w:name="pruebas-126"/>
    <w:p>
      <w:pPr>
        <w:pStyle w:val="Heading2"/>
      </w:pPr>
      <w:r>
        <w:rPr>
          <w:rStyle w:val="SectionNumber"/>
        </w:rPr>
        <w:t xml:space="preserve">1.1149</w:t>
      </w:r>
      <w:r>
        <w:tab/>
      </w:r>
      <w:r>
        <w:t xml:space="preserve">Pruebas</w:t>
      </w:r>
    </w:p>
    <w:p>
      <w:pPr>
        <w:numPr>
          <w:ilvl w:val="0"/>
          <w:numId w:val="1357"/>
        </w:numPr>
        <w:pStyle w:val="Compact"/>
      </w:pPr>
      <w:r>
        <w:t xml:space="preserve">la política de notificación, el árbol de decisiones y la matriz de activación;</w:t>
      </w:r>
    </w:p>
    <w:p>
      <w:pPr>
        <w:numPr>
          <w:ilvl w:val="0"/>
          <w:numId w:val="1357"/>
        </w:numPr>
        <w:pStyle w:val="Compact"/>
      </w:pPr>
      <w:r>
        <w:t xml:space="preserve">autoridad, jurisdicción, actor y registro del plazo;</w:t>
      </w:r>
    </w:p>
    <w:p>
      <w:pPr>
        <w:numPr>
          <w:ilvl w:val="0"/>
          <w:numId w:val="1357"/>
        </w:numPr>
        <w:pStyle w:val="Compact"/>
      </w:pPr>
      <w:r>
        <w:t xml:space="preserve">evaluaciones de incidentes y cronología;</w:t>
      </w:r>
    </w:p>
    <w:p>
      <w:pPr>
        <w:numPr>
          <w:ilvl w:val="0"/>
          <w:numId w:val="1357"/>
        </w:numPr>
        <w:pStyle w:val="Compact"/>
      </w:pPr>
      <w:r>
        <w:t xml:space="preserve">análisis jurídicos y registros de privilegios;</w:t>
      </w:r>
    </w:p>
    <w:p>
      <w:pPr>
        <w:numPr>
          <w:ilvl w:val="0"/>
          <w:numId w:val="1357"/>
        </w:numPr>
        <w:pStyle w:val="Compact"/>
      </w:pPr>
      <w:r>
        <w:t xml:space="preserve">el sistema, el modelo, el registro y los registros de conservación de pruebas;</w:t>
      </w:r>
    </w:p>
    <w:p>
      <w:pPr>
        <w:numPr>
          <w:ilvl w:val="0"/>
          <w:numId w:val="1357"/>
        </w:numPr>
        <w:pStyle w:val="Compact"/>
      </w:pPr>
      <w:r>
        <w:t xml:space="preserve">redactar y presentar notificaciones;</w:t>
      </w:r>
    </w:p>
    <w:p>
      <w:pPr>
        <w:numPr>
          <w:ilvl w:val="0"/>
          <w:numId w:val="1357"/>
        </w:numPr>
        <w:pStyle w:val="Compact"/>
      </w:pPr>
      <w:r>
        <w:t xml:space="preserve">los registros de aprobación;</w:t>
      </w:r>
    </w:p>
    <w:p>
      <w:pPr>
        <w:numPr>
          <w:ilvl w:val="0"/>
          <w:numId w:val="1357"/>
        </w:numPr>
        <w:pStyle w:val="Compact"/>
      </w:pPr>
      <w:r>
        <w:t xml:space="preserve">confirmaciones de entrega y acuse de recibo;</w:t>
      </w:r>
    </w:p>
    <w:p>
      <w:pPr>
        <w:numPr>
          <w:ilvl w:val="0"/>
          <w:numId w:val="1357"/>
        </w:numPr>
        <w:pStyle w:val="Compact"/>
      </w:pPr>
      <w:r>
        <w:t xml:space="preserve">correspondencia reguladora;</w:t>
      </w:r>
    </w:p>
    <w:p>
      <w:pPr>
        <w:numPr>
          <w:ilvl w:val="0"/>
          <w:numId w:val="1357"/>
        </w:numPr>
        <w:pStyle w:val="Compact"/>
      </w:pPr>
      <w:r>
        <w:t xml:space="preserve">informes complementarios, correctivos y de cierre;</w:t>
      </w:r>
    </w:p>
    <w:p>
      <w:pPr>
        <w:numPr>
          <w:ilvl w:val="0"/>
          <w:numId w:val="1357"/>
        </w:numPr>
        <w:pStyle w:val="Compact"/>
      </w:pPr>
      <w:r>
        <w:t xml:space="preserve">pruebas de medidas correctoras;</w:t>
      </w:r>
    </w:p>
    <w:p>
      <w:pPr>
        <w:numPr>
          <w:ilvl w:val="0"/>
          <w:numId w:val="1357"/>
        </w:numPr>
        <w:pStyle w:val="Compact"/>
      </w:pPr>
      <w:r>
        <w:t xml:space="preserve">los seguimientos de compromisos y plazos;</w:t>
      </w:r>
    </w:p>
    <w:p>
      <w:pPr>
        <w:numPr>
          <w:ilvl w:val="0"/>
          <w:numId w:val="1357"/>
        </w:numPr>
        <w:pStyle w:val="Compact"/>
      </w:pPr>
      <w:r>
        <w:t xml:space="preserve">registros aprendidos por las lecciones.</w:t>
      </w:r>
    </w:p>
    <w:bookmarkEnd w:id="1195"/>
    <w:bookmarkStart w:id="1196" w:name="pruebas-de-auditoría-5"/>
    <w:p>
      <w:pPr>
        <w:pStyle w:val="Heading2"/>
      </w:pPr>
      <w:r>
        <w:rPr>
          <w:rStyle w:val="SectionNumber"/>
        </w:rPr>
        <w:t xml:space="preserve">1.1150</w:t>
      </w:r>
      <w:r>
        <w:tab/>
      </w:r>
      <w:r>
        <w:t xml:space="preserve">Pruebas de auditoría</w:t>
      </w:r>
    </w:p>
    <w:p>
      <w:pPr>
        <w:numPr>
          <w:ilvl w:val="0"/>
          <w:numId w:val="1358"/>
        </w:numPr>
        <w:pStyle w:val="Compact"/>
      </w:pPr>
      <w:r>
        <w:t xml:space="preserve">Se evaluaron con prontitud algunos incidentes graves y problemas de cumplimiento de los materiales y se verificaron las obligaciones de notificación.</w:t>
      </w:r>
    </w:p>
    <w:p>
      <w:pPr>
        <w:numPr>
          <w:ilvl w:val="0"/>
          <w:numId w:val="1358"/>
        </w:numPr>
        <w:pStyle w:val="Compact"/>
      </w:pPr>
      <w:r>
        <w:t xml:space="preserve">Confirmar el desencadenante legal, actor, receptor, jurisdicción, fecha límite y evento de inicio de reloj fueron documentados.</w:t>
      </w:r>
    </w:p>
    <w:p>
      <w:pPr>
        <w:numPr>
          <w:ilvl w:val="0"/>
          <w:numId w:val="1358"/>
        </w:numPr>
        <w:pStyle w:val="Compact"/>
      </w:pPr>
      <w:r>
        <w:t xml:space="preserve">Volver a calcular los plazos y comparar las marcas de tiempo de envío con las pruebas de entrega.</w:t>
      </w:r>
    </w:p>
    <w:p>
      <w:pPr>
        <w:numPr>
          <w:ilvl w:val="0"/>
          <w:numId w:val="1358"/>
        </w:numPr>
        <w:pStyle w:val="Compact"/>
      </w:pPr>
      <w:r>
        <w:t xml:space="preserve">Compare los hechos presentados con las pruebas de la fuente, los registros del sistema y los plazos de los incidentes.</w:t>
      </w:r>
    </w:p>
    <w:p>
      <w:pPr>
        <w:numPr>
          <w:ilvl w:val="0"/>
          <w:numId w:val="1358"/>
        </w:numPr>
        <w:pStyle w:val="Compact"/>
      </w:pPr>
      <w:r>
        <w:t xml:space="preserve">Verificar los informes preliminares identificando la incertidumbre y las obligaciones de seguimiento.</w:t>
      </w:r>
    </w:p>
    <w:p>
      <w:pPr>
        <w:numPr>
          <w:ilvl w:val="0"/>
          <w:numId w:val="1358"/>
        </w:numPr>
        <w:pStyle w:val="Compact"/>
      </w:pPr>
      <w:r>
        <w:t xml:space="preserve">Revise la coherencia en las notificaciones de IA, privacidad, ciberseguridad, productos, empleo, consumidores y sector.</w:t>
      </w:r>
    </w:p>
    <w:p>
      <w:pPr>
        <w:numPr>
          <w:ilvl w:val="0"/>
          <w:numId w:val="1358"/>
        </w:numPr>
        <w:pStyle w:val="Compact"/>
      </w:pPr>
      <w:r>
        <w:t xml:space="preserve">Rastrear las preguntas y compromisos del regulador a través del cierre verificado.</w:t>
      </w:r>
    </w:p>
    <w:p>
      <w:pPr>
        <w:numPr>
          <w:ilvl w:val="0"/>
          <w:numId w:val="1358"/>
        </w:numPr>
        <w:pStyle w:val="Compact"/>
      </w:pPr>
      <w:r>
        <w:t xml:space="preserve">Confirmar que las notificaciones tardías, perdidas, rechazadas o corregidas fueron escaladas y reparadas.</w:t>
      </w:r>
    </w:p>
    <w:p>
      <w:pPr>
        <w:numPr>
          <w:ilvl w:val="0"/>
          <w:numId w:val="1358"/>
        </w:numPr>
        <w:pStyle w:val="Compact"/>
      </w:pPr>
      <w:r>
        <w:t xml:space="preserve">Verificar el cierre fue apoyado por medidas correctivas completas y pruebas retenidas.</w:t>
      </w:r>
    </w:p>
    <w:bookmarkEnd w:id="1196"/>
    <w:bookmarkStart w:id="1197" w:name="métricas-3"/>
    <w:p>
      <w:pPr>
        <w:pStyle w:val="Heading2"/>
      </w:pPr>
      <w:r>
        <w:rPr>
          <w:rStyle w:val="SectionNumber"/>
        </w:rPr>
        <w:t xml:space="preserve">1.1151</w:t>
      </w:r>
      <w:r>
        <w:tab/>
      </w:r>
      <w:r>
        <w:t xml:space="preserve">Métricas</w:t>
      </w:r>
    </w:p>
    <w:p>
      <w:pPr>
        <w:numPr>
          <w:ilvl w:val="0"/>
          <w:numId w:val="1359"/>
        </w:numPr>
        <w:pStyle w:val="Compact"/>
      </w:pPr>
      <w:r>
        <w:t xml:space="preserve">incidentes materiales evaluados para su notificación;</w:t>
      </w:r>
    </w:p>
    <w:p>
      <w:pPr>
        <w:numPr>
          <w:ilvl w:val="0"/>
          <w:numId w:val="1359"/>
        </w:numPr>
        <w:pStyle w:val="Compact"/>
      </w:pPr>
      <w:r>
        <w:t xml:space="preserve">el tiempo transcurrido desde la detección hasta la evaluación jurídica;</w:t>
      </w:r>
    </w:p>
    <w:p>
      <w:pPr>
        <w:numPr>
          <w:ilvl w:val="0"/>
          <w:numId w:val="1359"/>
        </w:numPr>
        <w:pStyle w:val="Compact"/>
      </w:pPr>
      <w:r>
        <w:t xml:space="preserve">las notificaciones presentadas a tiempo;</w:t>
      </w:r>
    </w:p>
    <w:p>
      <w:pPr>
        <w:numPr>
          <w:ilvl w:val="0"/>
          <w:numId w:val="1359"/>
        </w:numPr>
        <w:pStyle w:val="Compact"/>
      </w:pPr>
      <w:r>
        <w:t xml:space="preserve">notificaciones tardías o fallidas;</w:t>
      </w:r>
    </w:p>
    <w:p>
      <w:pPr>
        <w:numPr>
          <w:ilvl w:val="0"/>
          <w:numId w:val="1359"/>
        </w:numPr>
        <w:pStyle w:val="Compact"/>
      </w:pPr>
      <w:r>
        <w:t xml:space="preserve">los informes preliminares pendientes de actualización;</w:t>
      </w:r>
    </w:p>
    <w:p>
      <w:pPr>
        <w:numPr>
          <w:ilvl w:val="0"/>
          <w:numId w:val="1359"/>
        </w:numPr>
        <w:pStyle w:val="Compact"/>
      </w:pPr>
      <w:r>
        <w:t xml:space="preserve">presentación de información incoherente sobre regímenes cruzados;</w:t>
      </w:r>
    </w:p>
    <w:p>
      <w:pPr>
        <w:numPr>
          <w:ilvl w:val="0"/>
          <w:numId w:val="1359"/>
        </w:numPr>
        <w:pStyle w:val="Compact"/>
      </w:pPr>
      <w:r>
        <w:t xml:space="preserve">compromisos reguladores atrasados;</w:t>
      </w:r>
    </w:p>
    <w:p>
      <w:pPr>
        <w:numPr>
          <w:ilvl w:val="0"/>
          <w:numId w:val="1359"/>
        </w:numPr>
        <w:pStyle w:val="Compact"/>
      </w:pPr>
      <w:r>
        <w:t xml:space="preserve">las notificaciones que requieran corrección o nueva presentación;</w:t>
      </w:r>
    </w:p>
    <w:p>
      <w:pPr>
        <w:numPr>
          <w:ilvl w:val="0"/>
          <w:numId w:val="1359"/>
        </w:numPr>
        <w:pStyle w:val="Compact"/>
      </w:pPr>
      <w:r>
        <w:t xml:space="preserve">tiempo hasta el cierre validado;</w:t>
      </w:r>
    </w:p>
    <w:p>
      <w:pPr>
        <w:numPr>
          <w:ilvl w:val="0"/>
          <w:numId w:val="1359"/>
        </w:numPr>
        <w:pStyle w:val="Compact"/>
      </w:pPr>
      <w:r>
        <w:t xml:space="preserve">los acontecimientos en los que el inicio del reloj de notificación haya sido controvertido o no esté claro.</w:t>
      </w:r>
    </w:p>
    <w:bookmarkEnd w:id="1197"/>
    <w:bookmarkStart w:id="1198" w:name="lista-de-verificación-de-gestión-5"/>
    <w:p>
      <w:pPr>
        <w:pStyle w:val="Heading2"/>
      </w:pPr>
      <w:r>
        <w:rPr>
          <w:rStyle w:val="SectionNumber"/>
        </w:rPr>
        <w:t xml:space="preserve">1.1152</w:t>
      </w:r>
      <w:r>
        <w:tab/>
      </w:r>
      <w:r>
        <w:t xml:space="preserve">Lista de verificación de gestión</w:t>
      </w:r>
    </w:p>
    <w:p>
      <w:pPr>
        <w:numPr>
          <w:ilvl w:val="0"/>
          <w:numId w:val="1360"/>
        </w:numPr>
        <w:pStyle w:val="Compact"/>
      </w:pPr>
      <w:r>
        <w:t xml:space="preserve">¿Qué régimen jurídico, autoridad, actor y entidad jurídica son responsables?</w:t>
      </w:r>
    </w:p>
    <w:p>
      <w:pPr>
        <w:numPr>
          <w:ilvl w:val="0"/>
          <w:numId w:val="1360"/>
        </w:numPr>
        <w:pStyle w:val="Compact"/>
      </w:pPr>
      <w:r>
        <w:t xml:space="preserve">¿Qué plazo se aplica, y cuándo comenzó el reloj?</w:t>
      </w:r>
    </w:p>
    <w:p>
      <w:pPr>
        <w:numPr>
          <w:ilvl w:val="0"/>
          <w:numId w:val="1360"/>
        </w:numPr>
        <w:pStyle w:val="Compact"/>
      </w:pPr>
      <w:r>
        <w:t xml:space="preserve">¿Se separan los hechos conocidos de las suposiciones y las incógnitas?</w:t>
      </w:r>
    </w:p>
    <w:p>
      <w:pPr>
        <w:numPr>
          <w:ilvl w:val="0"/>
          <w:numId w:val="1360"/>
        </w:numPr>
        <w:pStyle w:val="Compact"/>
      </w:pPr>
      <w:r>
        <w:t xml:space="preserve">¿Se han examinado por separado todos los regímenes de notificación pertinentes?</w:t>
      </w:r>
    </w:p>
    <w:p>
      <w:pPr>
        <w:numPr>
          <w:ilvl w:val="0"/>
          <w:numId w:val="1360"/>
        </w:numPr>
        <w:pStyle w:val="Compact"/>
      </w:pPr>
      <w:r>
        <w:t xml:space="preserve">¿Están claramente documentadas la contención y las acciones correctivas?</w:t>
      </w:r>
    </w:p>
    <w:p>
      <w:pPr>
        <w:numPr>
          <w:ilvl w:val="0"/>
          <w:numId w:val="1360"/>
        </w:numPr>
        <w:pStyle w:val="Compact"/>
      </w:pPr>
      <w:r>
        <w:t xml:space="preserve">¿Son los hechos presentados coherentes con las pruebas de origen conservadas?</w:t>
      </w:r>
    </w:p>
    <w:p>
      <w:pPr>
        <w:numPr>
          <w:ilvl w:val="0"/>
          <w:numId w:val="1360"/>
        </w:numPr>
        <w:pStyle w:val="Compact"/>
      </w:pPr>
      <w:r>
        <w:t xml:space="preserve">¿Son los compromisos de seguimiento de propiedad y seguimiento?</w:t>
      </w:r>
    </w:p>
    <w:p>
      <w:pPr>
        <w:numPr>
          <w:ilvl w:val="0"/>
          <w:numId w:val="1360"/>
        </w:numPr>
        <w:pStyle w:val="Compact"/>
      </w:pPr>
      <w:r>
        <w:t xml:space="preserve">¿El cierre está respaldado por correspondencia reguladora y una rehabilitación verificada?</w:t>
      </w:r>
    </w:p>
    <w:bookmarkEnd w:id="1198"/>
    <w:bookmarkStart w:id="1199" w:name="referencias-jurídicas-primarias-95"/>
    <w:p>
      <w:pPr>
        <w:pStyle w:val="Heading2"/>
      </w:pPr>
      <w:r>
        <w:rPr>
          <w:rStyle w:val="SectionNumber"/>
        </w:rPr>
        <w:t xml:space="preserve">1.1153</w:t>
      </w:r>
      <w:r>
        <w:tab/>
      </w:r>
      <w:r>
        <w:t xml:space="preserve">Referencias jurídicas primarias</w:t>
      </w:r>
    </w:p>
    <w:p>
      <w:pPr>
        <w:numPr>
          <w:ilvl w:val="0"/>
          <w:numId w:val="1361"/>
        </w:numPr>
        <w:pStyle w:val="Compact"/>
      </w:pPr>
      <w:r>
        <w:t xml:space="preserve">Reglamento (UE) 2024/1689, en su versión modificada, que incluye las disposiciones aplicables en materia de incidentes graves, medidas correctoras, vigilancia del mercado, proveedor, despliegue, GPAI, conformidad y cooperación de la autoridad.</w:t>
      </w:r>
    </w:p>
    <w:p>
      <w:pPr>
        <w:numPr>
          <w:ilvl w:val="0"/>
          <w:numId w:val="1361"/>
        </w:numPr>
        <w:pStyle w:val="Compact"/>
      </w:pPr>
      <w:r>
        <w:t xml:space="preserve">Reglamento (UE) 2026/1744, en su caso.</w:t>
      </w:r>
    </w:p>
    <w:p>
      <w:pPr>
        <w:numPr>
          <w:ilvl w:val="0"/>
          <w:numId w:val="1361"/>
        </w:numPr>
        <w:pStyle w:val="Compact"/>
      </w:pPr>
      <w:r>
        <w:t xml:space="preserve">Las obligaciones de notificación conexas en materia de protección de datos, ciberseguridad, seguridad de los productos, empleo, protección de los consumidores y legislación sectorial deben evaluarse por separado.</w:t>
      </w:r>
    </w:p>
    <w:p>
      <w:pPr>
        <w:numPr>
          <w:ilvl w:val="0"/>
          <w:numId w:val="1361"/>
        </w:numPr>
        <w:pStyle w:val="Compact"/>
      </w:pPr>
      <w:r>
        <w:t xml:space="preserve">Los textos oficiales consolidados actuales controlan los resúmenes antiguos.</w:t>
      </w:r>
    </w:p>
    <w:bookmarkEnd w:id="1199"/>
    <w:bookmarkStart w:id="1200" w:name="X23dfab9f12dfa31ec0861d689833aabca13f6d9"/>
    <w:p>
      <w:pPr>
        <w:pStyle w:val="Heading2"/>
      </w:pPr>
      <w:r>
        <w:rPr>
          <w:rStyle w:val="SectionNumber"/>
        </w:rPr>
        <w:t xml:space="preserve">1.1154</w:t>
      </w:r>
      <w:r>
        <w:tab/>
      </w:r>
      <w:r>
        <w:t xml:space="preserve">Especificaciones de la figura — Flujo de la decisión de notificación reglamentaria de la IA</w:t>
      </w:r>
    </w:p>
    <w:p>
      <w:pPr>
        <w:pStyle w:val="FirstParagraph"/>
      </w:pPr>
      <w:r>
        <w:t xml:space="preserve">Crear un flujo de decisión a partir de la detección de incidentes mediante la evaluación de la gravedad y del desencadenante legal, el mapeo de actores y jurisdicciones, la identificación de las autoridades, el cálculo del plazo, la preservación de pruebas, la notificación preliminar o final, la coordinación del régimen paralelo, la presentación de informes de seguimiento, las medidas correctivas, la validación y el cierre.</w:t>
      </w:r>
    </w:p>
    <w:p>
      <w:pPr>
        <w:pStyle w:val="BodyText"/>
      </w:pPr>
      <w:r>
        <w:rPr>
          <w:bCs/>
          <w:b/>
        </w:rPr>
        <w:t xml:space="preserve">Texto Alt:</w:t>
      </w:r>
      <w:r>
        <w:t xml:space="preserve"> </w:t>
      </w:r>
      <w:r>
        <w:t xml:space="preserve">La decisión de notificación de la IA se deriva de la detección de incidentes y la evaluación del desencadenante legal a través del mapeo de actores y autoridades, el control de plazos, la preservación de pruebas, la presentación, la coordinación del régimen paralelo, la presentación de informes de seguimiento, las medidas correctivas, la validación y el cierre.</w:t>
      </w:r>
    </w:p>
    <w:bookmarkEnd w:id="1200"/>
    <w:bookmarkStart w:id="1201" w:name="X59450f49e9a12ebddcd08e94223c4ed76ec7960"/>
    <w:p>
      <w:pPr>
        <w:pStyle w:val="Heading2"/>
      </w:pPr>
      <w:r>
        <w:rPr>
          <w:rStyle w:val="SectionNumber"/>
        </w:rPr>
        <w:t xml:space="preserve">1.1155</w:t>
      </w:r>
      <w:r>
        <w:tab/>
      </w:r>
      <w:r>
        <w:t xml:space="preserve">Capítulo 128 — Preservación de pruebas y retención legal</w:t>
      </w:r>
    </w:p>
    <w:p>
      <w:pPr>
        <w:pStyle w:val="BlockText"/>
      </w:pPr>
      <w:r>
        <w:rPr>
          <w:bCs/>
          <w:b/>
        </w:rPr>
        <w:t xml:space="preserve">Estatus legal:</w:t>
      </w:r>
      <w:r>
        <w:t xml:space="preserve"> </w:t>
      </w:r>
      <w:r>
        <w:t xml:space="preserve">Corregido Maestro de inglés para la consolidación. Este archivo controla el lenguaje de borrador anterior del Capítulo 128.</w:t>
      </w:r>
    </w:p>
    <w:bookmarkEnd w:id="1201"/>
    <w:bookmarkStart w:id="1202" w:name="finalidad-6"/>
    <w:p>
      <w:pPr>
        <w:pStyle w:val="Heading2"/>
      </w:pPr>
      <w:r>
        <w:rPr>
          <w:rStyle w:val="SectionNumber"/>
        </w:rPr>
        <w:t xml:space="preserve">1.1156</w:t>
      </w:r>
      <w:r>
        <w:tab/>
      </w:r>
      <w:r>
        <w:t xml:space="preserve">Finalidad</w:t>
      </w:r>
    </w:p>
    <w:p>
      <w:pPr>
        <w:pStyle w:val="FirstParagraph"/>
      </w:pPr>
      <w:r>
        <w:t xml:space="preserve">En este capítulo se explica cómo las organizaciones deben preservar las pruebas relacionadas con la IA y poner en práctica las disposiciones legales cuando se prevea razonablemente un litigio, una investigación, la ejecución, un incidente grave, una denuncia o una controversia importante.</w:t>
      </w:r>
    </w:p>
    <w:p>
      <w:pPr>
        <w:pStyle w:val="BodyText"/>
      </w:pPr>
      <w:r>
        <w:t xml:space="preserve">AI puede apoyar la toma de decisiones humanas, pero no debe eliminar la responsabilidad humana, el juicio o la rendición de cuentas.</w:t>
      </w:r>
    </w:p>
    <w:bookmarkEnd w:id="1202"/>
    <w:bookmarkStart w:id="1203" w:name="requisito-126"/>
    <w:p>
      <w:pPr>
        <w:pStyle w:val="Heading2"/>
      </w:pPr>
      <w:r>
        <w:rPr>
          <w:rStyle w:val="SectionNumber"/>
        </w:rPr>
        <w:t xml:space="preserve">1.1157</w:t>
      </w:r>
      <w:r>
        <w:tab/>
      </w:r>
      <w:r>
        <w:t xml:space="preserve">Requisito</w:t>
      </w:r>
    </w:p>
    <w:p>
      <w:pPr>
        <w:pStyle w:val="FirstParagraph"/>
      </w:pPr>
      <w:r>
        <w:t xml:space="preserve">Las organizaciones deben preservar los registros exigidos por la Ley de IA de la UE y otras leyes aplicables y deben aplicar las restricciones legales cuando los litigios, la investigación, la aplicación, el incidente, la denuncia o la controversia se prevean razonablemente. Una retención legal es un control de proceso legal, no una obligación independiente de la Ley de IA de la UE, pero respalda el cumplimiento de las obligaciones de documentación, registro, registro, acceso a la autoridad, incidente, medidas correctivas y seguimiento posterior al mercado.</w:t>
      </w:r>
    </w:p>
    <w:bookmarkEnd w:id="1203"/>
    <w:bookmarkStart w:id="1204" w:name="explicación-en-lenguaje-sencillo-123"/>
    <w:p>
      <w:pPr>
        <w:pStyle w:val="Heading2"/>
      </w:pPr>
      <w:r>
        <w:rPr>
          <w:rStyle w:val="SectionNumber"/>
        </w:rPr>
        <w:t xml:space="preserve">1.1158</w:t>
      </w:r>
      <w:r>
        <w:tab/>
      </w:r>
      <w:r>
        <w:t xml:space="preserve">Explicación en lenguaje sencillo</w:t>
      </w:r>
    </w:p>
    <w:p>
      <w:pPr>
        <w:pStyle w:val="FirstParagraph"/>
      </w:pPr>
      <w:r>
        <w:t xml:space="preserve">La evidencia de IA puede distribuirse a través de servicios en la nube, proveedores de modelos, repositorios de código fuente, plataformas de monitoreo, sistemas de tickets, aplicaciones empresariales, comunicaciones de empleados y sistemas de terceros. La eliminación de rutina, rotación de registros, retiro de modelos o sobreescritura de proveedores debe detenerse cuando se necesite evidencia relevante. La preservación debe cubrir documentos y artefactos técnicos juntos para que las decisiones, el comportamiento del modelo, el contexto del sistema y las acciones humanas puedan reconstruirse.</w:t>
      </w:r>
    </w:p>
    <w:bookmarkEnd w:id="1204"/>
    <w:bookmarkStart w:id="1205" w:name="actos-de-activación"/>
    <w:p>
      <w:pPr>
        <w:pStyle w:val="Heading2"/>
      </w:pPr>
      <w:r>
        <w:rPr>
          <w:rStyle w:val="SectionNumber"/>
        </w:rPr>
        <w:t xml:space="preserve">1.1159</w:t>
      </w:r>
      <w:r>
        <w:tab/>
      </w:r>
      <w:r>
        <w:t xml:space="preserve">Actos de activación</w:t>
      </w:r>
    </w:p>
    <w:p>
      <w:pPr>
        <w:pStyle w:val="FirstParagraph"/>
      </w:pPr>
      <w:r>
        <w:t xml:space="preserve">Considere la preservación o una retención legal después de:</w:t>
      </w:r>
    </w:p>
    <w:p>
      <w:pPr>
        <w:numPr>
          <w:ilvl w:val="0"/>
          <w:numId w:val="1362"/>
        </w:numPr>
        <w:pStyle w:val="Compact"/>
      </w:pPr>
      <w:r>
        <w:t xml:space="preserve">una investigación normativa, inspección o solicitud de información;</w:t>
      </w:r>
    </w:p>
    <w:p>
      <w:pPr>
        <w:numPr>
          <w:ilvl w:val="0"/>
          <w:numId w:val="1362"/>
        </w:numPr>
        <w:pStyle w:val="Compact"/>
      </w:pPr>
      <w:r>
        <w:t xml:space="preserve">amenazada o demandada;</w:t>
      </w:r>
    </w:p>
    <w:p>
      <w:pPr>
        <w:numPr>
          <w:ilvl w:val="0"/>
          <w:numId w:val="1362"/>
        </w:numPr>
        <w:pStyle w:val="Compact"/>
      </w:pPr>
      <w:r>
        <w:t xml:space="preserve">un incidente grave o una alegación creíble de daño;</w:t>
      </w:r>
    </w:p>
    <w:p>
      <w:pPr>
        <w:numPr>
          <w:ilvl w:val="0"/>
          <w:numId w:val="1362"/>
        </w:numPr>
        <w:pStyle w:val="Compact"/>
      </w:pPr>
      <w:r>
        <w:t xml:space="preserve">la sospecha de uso de una práctica prohibida de IA;</w:t>
      </w:r>
    </w:p>
    <w:p>
      <w:pPr>
        <w:numPr>
          <w:ilvl w:val="0"/>
          <w:numId w:val="1362"/>
        </w:numPr>
        <w:pStyle w:val="Compact"/>
      </w:pPr>
      <w:r>
        <w:t xml:space="preserve">una discriminación, privacidad, seguridad, empleo o reclamación de los consumidores;</w:t>
      </w:r>
    </w:p>
    <w:p>
      <w:pPr>
        <w:numPr>
          <w:ilvl w:val="0"/>
          <w:numId w:val="1362"/>
        </w:numPr>
        <w:pStyle w:val="Compact"/>
      </w:pPr>
      <w:r>
        <w:t xml:space="preserve">un compromiso de ciberseguridad que afecte a la operación de IA o a la integridad de las pruebas;</w:t>
      </w:r>
    </w:p>
    <w:p>
      <w:pPr>
        <w:numPr>
          <w:ilvl w:val="0"/>
          <w:numId w:val="1362"/>
        </w:numPr>
        <w:pStyle w:val="Compact"/>
      </w:pPr>
      <w:r>
        <w:t xml:space="preserve">un informe de denuncia o una investigación interna;</w:t>
      </w:r>
    </w:p>
    <w:p>
      <w:pPr>
        <w:numPr>
          <w:ilvl w:val="0"/>
          <w:numId w:val="1362"/>
        </w:numPr>
        <w:pStyle w:val="Compact"/>
      </w:pPr>
      <w:r>
        <w:t xml:space="preserve">una disputa, interrupción del servicio o cambio de modelo por parte de un proveedor de materiales;</w:t>
      </w:r>
    </w:p>
    <w:p>
      <w:pPr>
        <w:numPr>
          <w:ilvl w:val="0"/>
          <w:numId w:val="1362"/>
        </w:numPr>
        <w:pStyle w:val="Compact"/>
      </w:pPr>
      <w:r>
        <w:t xml:space="preserve">una revisión dirigida por el ejecutivo o el consejo de administración;</w:t>
      </w:r>
    </w:p>
    <w:p>
      <w:pPr>
        <w:numPr>
          <w:ilvl w:val="0"/>
          <w:numId w:val="1362"/>
        </w:numPr>
        <w:pStyle w:val="Compact"/>
      </w:pPr>
      <w:r>
        <w:t xml:space="preserve">una solicitud de seguro prevista;</w:t>
      </w:r>
    </w:p>
    <w:p>
      <w:pPr>
        <w:numPr>
          <w:ilvl w:val="0"/>
          <w:numId w:val="1362"/>
        </w:numPr>
        <w:pStyle w:val="Compact"/>
      </w:pPr>
      <w:r>
        <w:t xml:space="preserve">restricción del sistema, suspensión, retirada, retirada o medidas correctivas importantes.</w:t>
      </w:r>
    </w:p>
    <w:bookmarkEnd w:id="1205"/>
    <w:bookmarkStart w:id="1206" w:name="requisitos-de-conservación"/>
    <w:p>
      <w:pPr>
        <w:pStyle w:val="Heading2"/>
      </w:pPr>
      <w:r>
        <w:rPr>
          <w:rStyle w:val="SectionNumber"/>
        </w:rPr>
        <w:t xml:space="preserve">1.1160</w:t>
      </w:r>
      <w:r>
        <w:tab/>
      </w:r>
      <w:r>
        <w:t xml:space="preserve">Requisitos de conservación</w:t>
      </w:r>
    </w:p>
    <w:p>
      <w:pPr>
        <w:pStyle w:val="FirstParagraph"/>
      </w:pPr>
      <w:r>
        <w:t xml:space="preserve">Definir como mínimo:</w:t>
      </w:r>
    </w:p>
    <w:p>
      <w:pPr>
        <w:numPr>
          <w:ilvl w:val="0"/>
          <w:numId w:val="1363"/>
        </w:numPr>
        <w:pStyle w:val="Compact"/>
      </w:pPr>
      <w:r>
        <w:t xml:space="preserve">obligaciones legales, reglamentarias, contractuales y de retención de pólizas;</w:t>
      </w:r>
    </w:p>
    <w:p>
      <w:pPr>
        <w:numPr>
          <w:ilvl w:val="0"/>
          <w:numId w:val="1363"/>
        </w:numPr>
        <w:pStyle w:val="Compact"/>
      </w:pPr>
      <w:r>
        <w:t xml:space="preserve">desencadenantes legales, autoridad de decisión y rutas de escalada;</w:t>
      </w:r>
    </w:p>
    <w:p>
      <w:pPr>
        <w:numPr>
          <w:ilvl w:val="0"/>
          <w:numId w:val="1363"/>
        </w:numPr>
        <w:pStyle w:val="Compact"/>
      </w:pPr>
      <w:r>
        <w:t xml:space="preserve">custodios, sistemas, modelos, versiones, repositorios, entornos y proveedores en su ámbito de aplicación;</w:t>
      </w:r>
    </w:p>
    <w:p>
      <w:pPr>
        <w:numPr>
          <w:ilvl w:val="0"/>
          <w:numId w:val="1363"/>
        </w:numPr>
        <w:pStyle w:val="Compact"/>
      </w:pPr>
      <w:r>
        <w:t xml:space="preserve">registros, avisos, salidas, conjuntos de datos, código, configuración, documentación y comunicaciones pertinentes;</w:t>
      </w:r>
    </w:p>
    <w:p>
      <w:pPr>
        <w:numPr>
          <w:ilvl w:val="0"/>
          <w:numId w:val="1363"/>
        </w:numPr>
        <w:pStyle w:val="Compact"/>
      </w:pPr>
      <w:r>
        <w:t xml:space="preserve">conservación de metadatos, autenticidad, integridad, contexto y cadena de custodia;</w:t>
      </w:r>
    </w:p>
    <w:p>
      <w:pPr>
        <w:numPr>
          <w:ilvl w:val="0"/>
          <w:numId w:val="1363"/>
        </w:numPr>
        <w:pStyle w:val="Compact"/>
      </w:pPr>
      <w:r>
        <w:t xml:space="preserve">suspensión de la supresión, rotación, sobreescritura, eliminación de archivos y retiro del modelo;</w:t>
      </w:r>
    </w:p>
    <w:p>
      <w:pPr>
        <w:numPr>
          <w:ilvl w:val="0"/>
          <w:numId w:val="1363"/>
        </w:numPr>
        <w:pStyle w:val="Compact"/>
      </w:pPr>
      <w:r>
        <w:t xml:space="preserve">captura rápida de pruebas volátiles, efímeras o controladas externamente;</w:t>
      </w:r>
    </w:p>
    <w:p>
      <w:pPr>
        <w:numPr>
          <w:ilvl w:val="0"/>
          <w:numId w:val="1363"/>
        </w:numPr>
        <w:pStyle w:val="Compact"/>
      </w:pPr>
      <w:r>
        <w:t xml:space="preserve">avisos de preservación de terceros, acuse de recibo y verificación;</w:t>
      </w:r>
    </w:p>
    <w:p>
      <w:pPr>
        <w:numPr>
          <w:ilvl w:val="0"/>
          <w:numId w:val="1363"/>
        </w:numPr>
        <w:pStyle w:val="Compact"/>
      </w:pPr>
      <w:r>
        <w:t xml:space="preserve">la privacidad, la minimización de datos, la confidencialidad, los privilegios, la seguridad y los controles de acceso;</w:t>
      </w:r>
    </w:p>
    <w:p>
      <w:pPr>
        <w:numPr>
          <w:ilvl w:val="0"/>
          <w:numId w:val="1363"/>
        </w:numPr>
        <w:pStyle w:val="Compact"/>
      </w:pPr>
      <w:r>
        <w:t xml:space="preserve">la recogida, exportación, indización, reproducibilidad y revisión de los requisitos;</w:t>
      </w:r>
    </w:p>
    <w:p>
      <w:pPr>
        <w:numPr>
          <w:ilvl w:val="0"/>
          <w:numId w:val="1363"/>
        </w:numPr>
        <w:pStyle w:val="Compact"/>
      </w:pPr>
      <w:r>
        <w:t xml:space="preserve">revisión periódica, ampliación, modificación y liberación autorizada de la bodega;</w:t>
      </w:r>
    </w:p>
    <w:p>
      <w:pPr>
        <w:numPr>
          <w:ilvl w:val="0"/>
          <w:numId w:val="1363"/>
        </w:numPr>
        <w:pStyle w:val="Compact"/>
      </w:pPr>
      <w:r>
        <w:t xml:space="preserve">documentación de pruebas no disponibles, lagunas en la conservación, medidas de compensación y medidas correctivas;</w:t>
      </w:r>
    </w:p>
    <w:p>
      <w:pPr>
        <w:numPr>
          <w:ilvl w:val="0"/>
          <w:numId w:val="1363"/>
        </w:numPr>
        <w:pStyle w:val="Compact"/>
      </w:pPr>
      <w:r>
        <w:t xml:space="preserve">seguridad de la disposición después de la liberación legal.</w:t>
      </w:r>
    </w:p>
    <w:bookmarkEnd w:id="1206"/>
    <w:bookmarkStart w:id="1207" w:name="alcance-de-las-pruebas"/>
    <w:p>
      <w:pPr>
        <w:pStyle w:val="Heading2"/>
      </w:pPr>
      <w:r>
        <w:rPr>
          <w:rStyle w:val="SectionNumber"/>
        </w:rPr>
        <w:t xml:space="preserve">1.1161</w:t>
      </w:r>
      <w:r>
        <w:tab/>
      </w:r>
      <w:r>
        <w:t xml:space="preserve">Alcance de las pruebas</w:t>
      </w:r>
    </w:p>
    <w:p>
      <w:pPr>
        <w:pStyle w:val="FirstParagraph"/>
      </w:pPr>
      <w:r>
        <w:t xml:space="preserve">Preservar según proceda:</w:t>
      </w:r>
    </w:p>
    <w:p>
      <w:pPr>
        <w:numPr>
          <w:ilvl w:val="0"/>
          <w:numId w:val="1364"/>
        </w:numPr>
        <w:pStyle w:val="Compact"/>
      </w:pPr>
      <w:r>
        <w:t xml:space="preserve">Inventario de IA, propiedad, función y registros de clasificación;</w:t>
      </w:r>
    </w:p>
    <w:p>
      <w:pPr>
        <w:numPr>
          <w:ilvl w:val="0"/>
          <w:numId w:val="1364"/>
        </w:numPr>
        <w:pStyle w:val="Compact"/>
      </w:pPr>
      <w:r>
        <w:t xml:space="preserve">modelar binarios, pesos, versiones, identificadores, suma de comprobación y metadatos de liberación cuando estén disponibles;</w:t>
      </w:r>
    </w:p>
    <w:p>
      <w:pPr>
        <w:numPr>
          <w:ilvl w:val="0"/>
          <w:numId w:val="1364"/>
        </w:numPr>
        <w:pStyle w:val="Compact"/>
      </w:pPr>
      <w:r>
        <w:t xml:space="preserve">código fuente, scripts, avisos, instrucciones del sistema, configuración de recuperación y definiciones de herramientas;</w:t>
      </w:r>
    </w:p>
    <w:p>
      <w:pPr>
        <w:numPr>
          <w:ilvl w:val="0"/>
          <w:numId w:val="1364"/>
        </w:numPr>
        <w:pStyle w:val="Compact"/>
      </w:pPr>
      <w:r>
        <w:t xml:space="preserve">la formación, la afinación, la validación, las pruebas y los datos de producción cuando sean lícitos;</w:t>
      </w:r>
    </w:p>
    <w:p>
      <w:pPr>
        <w:numPr>
          <w:ilvl w:val="0"/>
          <w:numId w:val="1364"/>
        </w:numPr>
        <w:pStyle w:val="Compact"/>
      </w:pPr>
      <w:r>
        <w:t xml:space="preserve">linaje de datos, procedencia, calidad, representatividad, sesgo y registros de preprocesamiento;</w:t>
      </w:r>
    </w:p>
    <w:p>
      <w:pPr>
        <w:numPr>
          <w:ilvl w:val="0"/>
          <w:numId w:val="1364"/>
        </w:numPr>
        <w:pStyle w:val="Compact"/>
      </w:pPr>
      <w:r>
        <w:t xml:space="preserve">registros, alertas de seguimiento, salidas, anulaciones, aprobaciones e interacciones de usuarios;</w:t>
      </w:r>
    </w:p>
    <w:p>
      <w:pPr>
        <w:numPr>
          <w:ilvl w:val="0"/>
          <w:numId w:val="1364"/>
        </w:numPr>
        <w:pStyle w:val="Compact"/>
      </w:pPr>
      <w:r>
        <w:t xml:space="preserve">los registros de despliegue, liberación, reversión y gestión del cambio;</w:t>
      </w:r>
    </w:p>
    <w:p>
      <w:pPr>
        <w:numPr>
          <w:ilvl w:val="0"/>
          <w:numId w:val="1364"/>
        </w:numPr>
        <w:pStyle w:val="Compact"/>
      </w:pPr>
      <w:r>
        <w:t xml:space="preserve">las evaluaciones de riesgo, impacto, privacidad, seguridad, legalidad y conformidad;</w:t>
      </w:r>
    </w:p>
    <w:p>
      <w:pPr>
        <w:numPr>
          <w:ilvl w:val="0"/>
          <w:numId w:val="1364"/>
        </w:numPr>
        <w:pStyle w:val="Compact"/>
      </w:pPr>
      <w:r>
        <w:t xml:space="preserve">documentación técnica, instrucciones de uso y registros de registro;</w:t>
      </w:r>
    </w:p>
    <w:p>
      <w:pPr>
        <w:numPr>
          <w:ilvl w:val="0"/>
          <w:numId w:val="1364"/>
        </w:numPr>
        <w:pStyle w:val="Compact"/>
      </w:pPr>
      <w:r>
        <w:t xml:space="preserve">instrucciones de supervisión humana, acciones del revisor y registros de decisiones;</w:t>
      </w:r>
    </w:p>
    <w:p>
      <w:pPr>
        <w:numPr>
          <w:ilvl w:val="0"/>
          <w:numId w:val="1364"/>
        </w:numPr>
        <w:pStyle w:val="Compact"/>
      </w:pPr>
      <w:r>
        <w:t xml:space="preserve">contratos de proveedores, avisos, certificaciones, registros de incidentes y comunicaciones;</w:t>
      </w:r>
    </w:p>
    <w:p>
      <w:pPr>
        <w:numPr>
          <w:ilvl w:val="0"/>
          <w:numId w:val="1364"/>
        </w:numPr>
        <w:pStyle w:val="Compact"/>
      </w:pPr>
      <w:r>
        <w:t xml:space="preserve">reclamaciones, multas, investigaciones, medidas correctivas y pruebas de cierre;</w:t>
      </w:r>
    </w:p>
    <w:p>
      <w:pPr>
        <w:numPr>
          <w:ilvl w:val="0"/>
          <w:numId w:val="1364"/>
        </w:numPr>
        <w:pStyle w:val="Compact"/>
      </w:pPr>
      <w:r>
        <w:t xml:space="preserve">correos electrónicos, mensajes, actas de reuniones, decisiones ejecutivas y correspondencia reguladora.</w:t>
      </w:r>
    </w:p>
    <w:bookmarkEnd w:id="1207"/>
    <w:bookmarkStart w:id="1208" w:name="X3383ee45354d7807a2bd0e5e6835d9d15b74e4c"/>
    <w:p>
      <w:pPr>
        <w:pStyle w:val="Heading2"/>
      </w:pPr>
      <w:r>
        <w:rPr>
          <w:rStyle w:val="SectionNumber"/>
        </w:rPr>
        <w:t xml:space="preserve">1.1162</w:t>
      </w:r>
      <w:r>
        <w:tab/>
      </w:r>
      <w:r>
        <w:t xml:space="preserve">Problemas de conservación específicos de la IA</w:t>
      </w:r>
    </w:p>
    <w:p>
      <w:pPr>
        <w:pStyle w:val="FirstParagraph"/>
      </w:pPr>
      <w:r>
        <w:t xml:space="preserve">Dirección:</w:t>
      </w:r>
    </w:p>
    <w:p>
      <w:pPr>
        <w:numPr>
          <w:ilvl w:val="0"/>
          <w:numId w:val="1365"/>
        </w:numPr>
        <w:pStyle w:val="Compact"/>
      </w:pPr>
      <w:r>
        <w:t xml:space="preserve">modelos de proveedores rápidamente cambiantes y artefactos propietarios inaccesibles;</w:t>
      </w:r>
    </w:p>
    <w:p>
      <w:pPr>
        <w:numPr>
          <w:ilvl w:val="0"/>
          <w:numId w:val="1365"/>
        </w:numPr>
        <w:pStyle w:val="Compact"/>
      </w:pPr>
      <w:r>
        <w:t xml:space="preserve">avisos efímeros, sesiones temporales y períodos cortos de retención logarítmica;</w:t>
      </w:r>
    </w:p>
    <w:p>
      <w:pPr>
        <w:numPr>
          <w:ilvl w:val="0"/>
          <w:numId w:val="1365"/>
        </w:numPr>
        <w:pStyle w:val="Compact"/>
      </w:pPr>
      <w:r>
        <w:t xml:space="preserve">fuentes de recuperación dinámica y conjuntos de datos continuamente actualizados;</w:t>
      </w:r>
    </w:p>
    <w:p>
      <w:pPr>
        <w:numPr>
          <w:ilvl w:val="0"/>
          <w:numId w:val="1365"/>
        </w:numPr>
        <w:pStyle w:val="Compact"/>
      </w:pPr>
      <w:r>
        <w:t xml:space="preserve">llamadas de herramientas de agente, acciones de API externas y cambios en el sistema descendente;</w:t>
      </w:r>
    </w:p>
    <w:p>
      <w:pPr>
        <w:numPr>
          <w:ilvl w:val="0"/>
          <w:numId w:val="1365"/>
        </w:numPr>
        <w:pStyle w:val="Compact"/>
      </w:pPr>
      <w:r>
        <w:t xml:space="preserve">modelo de límites de nodeterminismo y reproducibilidad;</w:t>
      </w:r>
    </w:p>
    <w:p>
      <w:pPr>
        <w:numPr>
          <w:ilvl w:val="0"/>
          <w:numId w:val="1365"/>
        </w:numPr>
        <w:pStyle w:val="Compact"/>
      </w:pPr>
      <w:r>
        <w:t xml:space="preserve">la nube distribuida, el almacenamiento regional y las restricciones transfronterizas;</w:t>
      </w:r>
    </w:p>
    <w:p>
      <w:pPr>
        <w:numPr>
          <w:ilvl w:val="0"/>
          <w:numId w:val="1365"/>
        </w:numPr>
        <w:pStyle w:val="Compact"/>
      </w:pPr>
      <w:r>
        <w:t xml:space="preserve">restricciones de privacidad y datos de categorías especiales;</w:t>
      </w:r>
    </w:p>
    <w:p>
      <w:pPr>
        <w:numPr>
          <w:ilvl w:val="0"/>
          <w:numId w:val="1365"/>
        </w:numPr>
        <w:pStyle w:val="Compact"/>
      </w:pPr>
      <w:r>
        <w:t xml:space="preserve">cambios en los componentes de código abierto y sustitución de dependencias;</w:t>
      </w:r>
    </w:p>
    <w:p>
      <w:pPr>
        <w:numPr>
          <w:ilvl w:val="0"/>
          <w:numId w:val="1365"/>
        </w:numPr>
        <w:pStyle w:val="Compact"/>
      </w:pPr>
      <w:r>
        <w:t xml:space="preserve">uso por los empleados de herramientas de IA no aprobadas o personales.</w:t>
      </w:r>
    </w:p>
    <w:bookmarkEnd w:id="1208"/>
    <w:bookmarkStart w:id="1209" w:name="preservación-del-vendedor"/>
    <w:p>
      <w:pPr>
        <w:pStyle w:val="Heading2"/>
      </w:pPr>
      <w:r>
        <w:rPr>
          <w:rStyle w:val="SectionNumber"/>
        </w:rPr>
        <w:t xml:space="preserve">1.1163</w:t>
      </w:r>
      <w:r>
        <w:tab/>
      </w:r>
      <w:r>
        <w:t xml:space="preserve">Preservación del vendedor</w:t>
      </w:r>
    </w:p>
    <w:p>
      <w:pPr>
        <w:pStyle w:val="FirstParagraph"/>
      </w:pPr>
      <w:r>
        <w:t xml:space="preserve">Los contratos y procedimientos de incidentes deben apoyar la pronta conservación por parte del proveedor de versiones de modelos, registros, documentación, subprocesadores, cambios en el servicio y pruebas de incidentes pertinentes.</w:t>
      </w:r>
    </w:p>
    <w:bookmarkEnd w:id="1209"/>
    <w:bookmarkStart w:id="1210" w:name="integridad-y-cadena-de-custodia"/>
    <w:p>
      <w:pPr>
        <w:pStyle w:val="Heading2"/>
      </w:pPr>
      <w:r>
        <w:rPr>
          <w:rStyle w:val="SectionNumber"/>
        </w:rPr>
        <w:t xml:space="preserve">1.1164</w:t>
      </w:r>
      <w:r>
        <w:tab/>
      </w:r>
      <w:r>
        <w:t xml:space="preserve">Integridad y cadena de custodia</w:t>
      </w:r>
    </w:p>
    <w:p>
      <w:pPr>
        <w:pStyle w:val="FirstParagraph"/>
      </w:pPr>
      <w:r>
        <w:t xml:space="preserve">Mantener:</w:t>
      </w:r>
    </w:p>
    <w:p>
      <w:pPr>
        <w:numPr>
          <w:ilvl w:val="0"/>
          <w:numId w:val="1366"/>
        </w:numPr>
        <w:pStyle w:val="Compact"/>
      </w:pPr>
      <w:r>
        <w:t xml:space="preserve">fuente, custodio y sistema de registro;</w:t>
      </w:r>
    </w:p>
    <w:p>
      <w:pPr>
        <w:numPr>
          <w:ilvl w:val="0"/>
          <w:numId w:val="1366"/>
        </w:numPr>
        <w:pStyle w:val="Compact"/>
      </w:pPr>
      <w:r>
        <w:t xml:space="preserve">fecha de recogida, método y colector;</w:t>
      </w:r>
    </w:p>
    <w:p>
      <w:pPr>
        <w:numPr>
          <w:ilvl w:val="0"/>
          <w:numId w:val="1366"/>
        </w:numPr>
        <w:pStyle w:val="Compact"/>
      </w:pPr>
      <w:r>
        <w:t xml:space="preserve">identificadores de archivo, objeto, modelo y versión;</w:t>
      </w:r>
    </w:p>
    <w:p>
      <w:pPr>
        <w:numPr>
          <w:ilvl w:val="0"/>
          <w:numId w:val="1366"/>
        </w:numPr>
        <w:pStyle w:val="Compact"/>
      </w:pPr>
      <w:r>
        <w:t xml:space="preserve">los hashes u otros controles de integridad, cuando proceda;</w:t>
      </w:r>
    </w:p>
    <w:p>
      <w:pPr>
        <w:numPr>
          <w:ilvl w:val="0"/>
          <w:numId w:val="1366"/>
        </w:numPr>
        <w:pStyle w:val="Compact"/>
      </w:pPr>
      <w:r>
        <w:t xml:space="preserve">metadatos originales y relaciones contextuales;</w:t>
      </w:r>
    </w:p>
    <w:p>
      <w:pPr>
        <w:numPr>
          <w:ilvl w:val="0"/>
          <w:numId w:val="1366"/>
        </w:numPr>
        <w:pStyle w:val="Compact"/>
      </w:pPr>
      <w:r>
        <w:t xml:space="preserve">la ubicación segura del almacenamiento y los controles de acceso;</w:t>
      </w:r>
    </w:p>
    <w:p>
      <w:pPr>
        <w:numPr>
          <w:ilvl w:val="0"/>
          <w:numId w:val="1366"/>
        </w:numPr>
        <w:pStyle w:val="Compact"/>
      </w:pPr>
      <w:r>
        <w:t xml:space="preserve">acceso, transferencia, exportación y historial de producción;</w:t>
      </w:r>
    </w:p>
    <w:p>
      <w:pPr>
        <w:numPr>
          <w:ilvl w:val="0"/>
          <w:numId w:val="1366"/>
        </w:numPr>
        <w:pStyle w:val="Compact"/>
      </w:pPr>
      <w:r>
        <w:t xml:space="preserve">transformaciones, redacciones o conversiones de formato;</w:t>
      </w:r>
    </w:p>
    <w:p>
      <w:pPr>
        <w:numPr>
          <w:ilvl w:val="0"/>
          <w:numId w:val="1366"/>
        </w:numPr>
        <w:pStyle w:val="Compact"/>
      </w:pPr>
      <w:r>
        <w:t xml:space="preserve">revisor, aprobación, y registros de liberación.</w:t>
      </w:r>
    </w:p>
    <w:p>
      <w:pPr>
        <w:pStyle w:val="FirstParagraph"/>
      </w:pPr>
      <w:r>
        <w:t xml:space="preserve">Preservar los originales por separado de las copias de trabajo.</w:t>
      </w:r>
    </w:p>
    <w:bookmarkEnd w:id="1210"/>
    <w:bookmarkStart w:id="1211" w:name="privacidad-confidencialidad-y-privilegio"/>
    <w:p>
      <w:pPr>
        <w:pStyle w:val="Heading2"/>
      </w:pPr>
      <w:r>
        <w:rPr>
          <w:rStyle w:val="SectionNumber"/>
        </w:rPr>
        <w:t xml:space="preserve">1.1165</w:t>
      </w:r>
      <w:r>
        <w:tab/>
      </w:r>
      <w:r>
        <w:t xml:space="preserve">Privacidad, confidencialidad y privilegio</w:t>
      </w:r>
    </w:p>
    <w:p>
      <w:pPr>
        <w:pStyle w:val="FirstParagraph"/>
      </w:pPr>
      <w:r>
        <w:t xml:space="preserve">La preservación no elimina la privacidad, la confidencialidad, la ciberseguridad, la seguridad profesional o las obligaciones de privilegio.Limite el acceso, aplique límites legales de recolección, proteja datos confidenciales, documente las redacciones y obtenga revisión legal y de privacidad para transferencias transfronterizas, datos de categoría especial, datos de empleados y pruebas controladas por proveedores.</w:t>
      </w:r>
    </w:p>
    <w:bookmarkEnd w:id="1211"/>
    <w:bookmarkStart w:id="1212" w:name="X2d2d4b65caf566819a092697f8cc9a35ae7d6d5"/>
    <w:p>
      <w:pPr>
        <w:pStyle w:val="Heading2"/>
      </w:pPr>
      <w:r>
        <w:rPr>
          <w:rStyle w:val="SectionNumber"/>
        </w:rPr>
        <w:t xml:space="preserve">1.1166</w:t>
      </w:r>
      <w:r>
        <w:tab/>
      </w:r>
      <w:r>
        <w:t xml:space="preserve">Ejemplo de servicios de viajes de GlobalWay</w:t>
      </w:r>
    </w:p>
    <w:p>
      <w:pPr>
        <w:pStyle w:val="FirstParagraph"/>
      </w:pPr>
      <w:r>
        <w:t xml:space="preserve">Después de que los viajeros aleguen bloqueo discriminatorio por el sistema de detección de fraude de GlobalWay, el asesor legal emite una suspensión que cubre la versión de modelo desplegada, configuración de características, decisiones de transacción, anulaciones humanas, pruebas de subgrupos, quejas, avisos de cambio de proveedor y comunicaciones internas.</w:t>
      </w:r>
    </w:p>
    <w:p>
      <w:pPr>
        <w:pStyle w:val="BodyText"/>
      </w:pPr>
      <w:r>
        <w:t xml:space="preserve">GlobalWay descubre que los registros de aplicaciones rotan normalmente después de 30 días. Suspende la eliminación, exporta registros relevantes con comprobaciones de integridad, obtiene confirmación de preservación del proveedor y documentos que un artefacto histórico del modelo propietario no está disponible. La limitación se revela, intensifica y considera en el plan de investigación y rehabilitación.</w:t>
      </w:r>
    </w:p>
    <w:bookmarkEnd w:id="1212"/>
    <w:bookmarkStart w:id="1213" w:name="actividad-de-control-120"/>
    <w:p>
      <w:pPr>
        <w:pStyle w:val="Heading2"/>
      </w:pPr>
      <w:r>
        <w:rPr>
          <w:rStyle w:val="SectionNumber"/>
        </w:rPr>
        <w:t xml:space="preserve">1.1167</w:t>
      </w:r>
      <w:r>
        <w:tab/>
      </w:r>
      <w:r>
        <w:t xml:space="preserve">Actividad de control</w:t>
      </w:r>
    </w:p>
    <w:p>
      <w:pPr>
        <w:pStyle w:val="FirstParagraph"/>
      </w:pPr>
      <w:r>
        <w:t xml:space="preserve">La organización debe verificar si las pruebas de IA técnicamente volátiles pueden realmente conservarse, vincularse a la versión correcta y reproducirse lo suficiente para la investigación, auditoría o revisión de la autoridad.</w:t>
      </w:r>
    </w:p>
    <w:bookmarkEnd w:id="1213"/>
    <w:bookmarkStart w:id="1214" w:name="pruebas-127"/>
    <w:p>
      <w:pPr>
        <w:pStyle w:val="Heading2"/>
      </w:pPr>
      <w:r>
        <w:rPr>
          <w:rStyle w:val="SectionNumber"/>
        </w:rPr>
        <w:t xml:space="preserve">1.1168</w:t>
      </w:r>
      <w:r>
        <w:tab/>
      </w:r>
      <w:r>
        <w:t xml:space="preserve">Pruebas</w:t>
      </w:r>
    </w:p>
    <w:p>
      <w:pPr>
        <w:numPr>
          <w:ilvl w:val="0"/>
          <w:numId w:val="1367"/>
        </w:numPr>
        <w:pStyle w:val="Compact"/>
      </w:pPr>
      <w:r>
        <w:t xml:space="preserve">el calendario de retención y el procedimiento de retención legal;</w:t>
      </w:r>
    </w:p>
    <w:p>
      <w:pPr>
        <w:numPr>
          <w:ilvl w:val="0"/>
          <w:numId w:val="1367"/>
        </w:numPr>
        <w:pStyle w:val="Compact"/>
      </w:pPr>
      <w:r>
        <w:t xml:space="preserve">los mapas de fuentes de pruebas y sistemas;</w:t>
      </w:r>
    </w:p>
    <w:p>
      <w:pPr>
        <w:numPr>
          <w:ilvl w:val="0"/>
          <w:numId w:val="1367"/>
        </w:numPr>
        <w:pStyle w:val="Compact"/>
      </w:pPr>
      <w:r>
        <w:t xml:space="preserve">mantener avisos, cambios en el ámbito de aplicación y acuse de recibo;</w:t>
      </w:r>
    </w:p>
    <w:p>
      <w:pPr>
        <w:numPr>
          <w:ilvl w:val="0"/>
          <w:numId w:val="1367"/>
        </w:numPr>
        <w:pStyle w:val="Compact"/>
      </w:pPr>
      <w:r>
        <w:t xml:space="preserve">las listas de custodios, repositorios, proveedores y sistemas;</w:t>
      </w:r>
    </w:p>
    <w:p>
      <w:pPr>
        <w:numPr>
          <w:ilvl w:val="0"/>
          <w:numId w:val="1367"/>
        </w:numPr>
        <w:pStyle w:val="Compact"/>
      </w:pPr>
      <w:r>
        <w:t xml:space="preserve">la conservación, recogida y exportación de troncos;</w:t>
      </w:r>
    </w:p>
    <w:p>
      <w:pPr>
        <w:numPr>
          <w:ilvl w:val="0"/>
          <w:numId w:val="1367"/>
        </w:numPr>
        <w:pStyle w:val="Compact"/>
      </w:pPr>
      <w:r>
        <w:t xml:space="preserve">hashes, metadatos y registros de la cadena de custodia;</w:t>
      </w:r>
    </w:p>
    <w:p>
      <w:pPr>
        <w:numPr>
          <w:ilvl w:val="0"/>
          <w:numId w:val="1367"/>
        </w:numPr>
        <w:pStyle w:val="Compact"/>
      </w:pPr>
      <w:r>
        <w:t xml:space="preserve">las confirmaciones de la preservación del proveedor y las limitaciones reveladas;</w:t>
      </w:r>
    </w:p>
    <w:p>
      <w:pPr>
        <w:numPr>
          <w:ilvl w:val="0"/>
          <w:numId w:val="1367"/>
        </w:numPr>
        <w:pStyle w:val="Compact"/>
      </w:pPr>
      <w:r>
        <w:t xml:space="preserve">los registros de acceso, redacción y producción;</w:t>
      </w:r>
    </w:p>
    <w:p>
      <w:pPr>
        <w:numPr>
          <w:ilvl w:val="0"/>
          <w:numId w:val="1367"/>
        </w:numPr>
        <w:pStyle w:val="Compact"/>
      </w:pPr>
      <w:r>
        <w:t xml:space="preserve">los exámenes periódicos de las bodegas;</w:t>
      </w:r>
    </w:p>
    <w:p>
      <w:pPr>
        <w:numPr>
          <w:ilvl w:val="0"/>
          <w:numId w:val="1367"/>
        </w:numPr>
        <w:pStyle w:val="Compact"/>
      </w:pPr>
      <w:r>
        <w:t xml:space="preserve">la excepción, la brecha y los registros de rehabilitación;</w:t>
      </w:r>
    </w:p>
    <w:p>
      <w:pPr>
        <w:numPr>
          <w:ilvl w:val="0"/>
          <w:numId w:val="1367"/>
        </w:numPr>
        <w:pStyle w:val="Compact"/>
      </w:pPr>
      <w:r>
        <w:t xml:space="preserve">homologaciones de suspensión y disposición.</w:t>
      </w:r>
    </w:p>
    <w:bookmarkEnd w:id="1214"/>
    <w:bookmarkStart w:id="1215" w:name="prueba-de-auditoría-121"/>
    <w:p>
      <w:pPr>
        <w:pStyle w:val="Heading2"/>
      </w:pPr>
      <w:r>
        <w:rPr>
          <w:rStyle w:val="SectionNumber"/>
        </w:rPr>
        <w:t xml:space="preserve">1.1169</w:t>
      </w:r>
      <w:r>
        <w:tab/>
      </w:r>
      <w:r>
        <w:t xml:space="preserve">Prueba de auditoría</w:t>
      </w:r>
    </w:p>
    <w:p>
      <w:pPr>
        <w:pStyle w:val="FirstParagraph"/>
      </w:pPr>
      <w:r>
        <w:t xml:space="preserve">Confirmar que los desencadenantes se identificaron rápidamente, el alcance incluyó pruebas técnicas y humanas pertinentes, se suspendieron la eliminación y sobreescritura, se abordaron pruebas volátiles y controladas por los proveedores, se protegió la integridad y la custodia, se aplicaron controles de privacidad y privilegios, se revelaron lagunas y se autorizó y documentó la liberación.</w:t>
      </w:r>
    </w:p>
    <w:bookmarkEnd w:id="1215"/>
    <w:bookmarkStart w:id="1216" w:name="métricas-4"/>
    <w:p>
      <w:pPr>
        <w:pStyle w:val="Heading2"/>
      </w:pPr>
      <w:r>
        <w:rPr>
          <w:rStyle w:val="SectionNumber"/>
        </w:rPr>
        <w:t xml:space="preserve">1.1170</w:t>
      </w:r>
      <w:r>
        <w:tab/>
      </w:r>
      <w:r>
        <w:t xml:space="preserve">Métricas</w:t>
      </w:r>
    </w:p>
    <w:p>
      <w:pPr>
        <w:numPr>
          <w:ilvl w:val="0"/>
          <w:numId w:val="1368"/>
        </w:numPr>
        <w:pStyle w:val="Compact"/>
      </w:pPr>
      <w:r>
        <w:t xml:space="preserve">tiempo desde el disparador hasta la acción de preservación;</w:t>
      </w:r>
    </w:p>
    <w:p>
      <w:pPr>
        <w:numPr>
          <w:ilvl w:val="0"/>
          <w:numId w:val="1368"/>
        </w:numPr>
        <w:pStyle w:val="Compact"/>
      </w:pPr>
      <w:r>
        <w:t xml:space="preserve">los custodios, sistemas, proveedores y fuentes de pruebas en posesión;</w:t>
      </w:r>
    </w:p>
    <w:p>
      <w:pPr>
        <w:numPr>
          <w:ilvl w:val="0"/>
          <w:numId w:val="1368"/>
        </w:numPr>
        <w:pStyle w:val="Compact"/>
      </w:pPr>
      <w:r>
        <w:t xml:space="preserve">reconocimientos perdidos o tardíos;</w:t>
      </w:r>
    </w:p>
    <w:p>
      <w:pPr>
        <w:numPr>
          <w:ilvl w:val="0"/>
          <w:numId w:val="1368"/>
        </w:numPr>
        <w:pStyle w:val="Compact"/>
      </w:pPr>
      <w:r>
        <w:t xml:space="preserve">las pruebas perdidas antes de la conservación;</w:t>
      </w:r>
    </w:p>
    <w:p>
      <w:pPr>
        <w:numPr>
          <w:ilvl w:val="0"/>
          <w:numId w:val="1368"/>
        </w:numPr>
        <w:pStyle w:val="Compact"/>
      </w:pPr>
      <w:r>
        <w:t xml:space="preserve">lagunas en la preservación del proveedor;</w:t>
      </w:r>
    </w:p>
    <w:p>
      <w:pPr>
        <w:numPr>
          <w:ilvl w:val="0"/>
          <w:numId w:val="1368"/>
        </w:numPr>
        <w:pStyle w:val="Compact"/>
      </w:pPr>
      <w:r>
        <w:t xml:space="preserve">fuentes de registro con retención inadecuada;</w:t>
      </w:r>
    </w:p>
    <w:p>
      <w:pPr>
        <w:numPr>
          <w:ilvl w:val="0"/>
          <w:numId w:val="1368"/>
        </w:numPr>
        <w:pStyle w:val="Compact"/>
      </w:pPr>
      <w:r>
        <w:t xml:space="preserve">excepciones a la cadena de custodia;</w:t>
      </w:r>
    </w:p>
    <w:p>
      <w:pPr>
        <w:numPr>
          <w:ilvl w:val="0"/>
          <w:numId w:val="1368"/>
        </w:numPr>
        <w:pStyle w:val="Compact"/>
      </w:pPr>
      <w:r>
        <w:t xml:space="preserve">acceso no autorizado a las pruebas presentadas;</w:t>
      </w:r>
    </w:p>
    <w:p>
      <w:pPr>
        <w:numPr>
          <w:ilvl w:val="0"/>
          <w:numId w:val="1368"/>
        </w:numPr>
        <w:pStyle w:val="Compact"/>
      </w:pPr>
      <w:r>
        <w:t xml:space="preserve">las bodegas abiertas por edad;</w:t>
      </w:r>
    </w:p>
    <w:p>
      <w:pPr>
        <w:numPr>
          <w:ilvl w:val="0"/>
          <w:numId w:val="1368"/>
        </w:numPr>
        <w:pStyle w:val="Compact"/>
      </w:pPr>
      <w:r>
        <w:t xml:space="preserve">se han puesto en libertad en espera de que se verifique su disposición.</w:t>
      </w:r>
    </w:p>
    <w:bookmarkEnd w:id="1216"/>
    <w:bookmarkStart w:id="1217" w:name="lista-de-verificación-de-gestión-6"/>
    <w:p>
      <w:pPr>
        <w:pStyle w:val="Heading2"/>
      </w:pPr>
      <w:r>
        <w:rPr>
          <w:rStyle w:val="SectionNumber"/>
        </w:rPr>
        <w:t xml:space="preserve">1.1171</w:t>
      </w:r>
      <w:r>
        <w:tab/>
      </w:r>
      <w:r>
        <w:t xml:space="preserve">Lista de verificación de gestión</w:t>
      </w:r>
    </w:p>
    <w:p>
      <w:pPr>
        <w:numPr>
          <w:ilvl w:val="0"/>
          <w:numId w:val="1369"/>
        </w:numPr>
        <w:pStyle w:val="Compact"/>
      </w:pPr>
      <w:r>
        <w:t xml:space="preserve">¿Sabemos dónde reside la evidencia de IA?</w:t>
      </w:r>
    </w:p>
    <w:p>
      <w:pPr>
        <w:numPr>
          <w:ilvl w:val="0"/>
          <w:numId w:val="1369"/>
        </w:numPr>
        <w:pStyle w:val="Compact"/>
      </w:pPr>
      <w:r>
        <w:t xml:space="preserve">¿Podemos detener la eliminación, la rotación, la jubilación del modelo y la sobreescritura del vendedor rápidamente?</w:t>
      </w:r>
    </w:p>
    <w:p>
      <w:pPr>
        <w:numPr>
          <w:ilvl w:val="0"/>
          <w:numId w:val="1369"/>
        </w:numPr>
        <w:pStyle w:val="Compact"/>
      </w:pPr>
      <w:r>
        <w:t xml:space="preserve">¿Se conservan juntos el modelo, la rapidez, los datos, el registro, la configuración y los registros de decisiones humanas?</w:t>
      </w:r>
    </w:p>
    <w:p>
      <w:pPr>
        <w:numPr>
          <w:ilvl w:val="0"/>
          <w:numId w:val="1369"/>
        </w:numPr>
        <w:pStyle w:val="Compact"/>
      </w:pPr>
      <w:r>
        <w:t xml:space="preserve">¿Podemos demostrar autenticidad, integridad, contexto y cadena de custodia?</w:t>
      </w:r>
    </w:p>
    <w:p>
      <w:pPr>
        <w:numPr>
          <w:ilvl w:val="0"/>
          <w:numId w:val="1369"/>
        </w:numPr>
        <w:pStyle w:val="Compact"/>
      </w:pPr>
      <w:r>
        <w:t xml:space="preserve">¿Están protegidas la privacidad, la confidencialidad, los privilegios y las restricciones transfronterizas?</w:t>
      </w:r>
    </w:p>
    <w:p>
      <w:pPr>
        <w:numPr>
          <w:ilvl w:val="0"/>
          <w:numId w:val="1369"/>
        </w:numPr>
        <w:pStyle w:val="Compact"/>
      </w:pPr>
      <w:r>
        <w:t xml:space="preserve">¿Se revelan e intensifican las limitaciones de los proveedores y las lagunas en materia de pruebas?</w:t>
      </w:r>
    </w:p>
    <w:p>
      <w:pPr>
        <w:numPr>
          <w:ilvl w:val="0"/>
          <w:numId w:val="1369"/>
        </w:numPr>
        <w:pStyle w:val="Compact"/>
      </w:pPr>
      <w:r>
        <w:t xml:space="preserve">¿Se controla y verifica la liberación de la bodega?</w:t>
      </w:r>
    </w:p>
    <w:bookmarkEnd w:id="1217"/>
    <w:bookmarkStart w:id="1218" w:name="X5d342756d13b84f8449b0e1117bf8c30c7a43e0"/>
    <w:p>
      <w:pPr>
        <w:pStyle w:val="Heading2"/>
      </w:pPr>
      <w:r>
        <w:rPr>
          <w:rStyle w:val="SectionNumber"/>
        </w:rPr>
        <w:t xml:space="preserve">1.1172</w:t>
      </w:r>
      <w:r>
        <w:tab/>
      </w:r>
      <w:r>
        <w:t xml:space="preserve">Especificación de la figura — Mapa de Preservación de Pruebas de Inteligencia Artificial</w:t>
      </w:r>
    </w:p>
    <w:p>
      <w:pPr>
        <w:pStyle w:val="FirstParagraph"/>
      </w:pPr>
      <w:r>
        <w:t xml:space="preserve">Cree un mapa que conecte eventos desencadenantes a activación legal, custodios, modelos, datos, avisos, registros, código, proveedores, comunicaciones, recopilación, validación de integridad, almacenamiento seguro, revisión, producción y liberación autorizada.</w:t>
      </w:r>
    </w:p>
    <w:p>
      <w:pPr>
        <w:pStyle w:val="BodyText"/>
      </w:pPr>
      <w:r>
        <w:rPr>
          <w:bCs/>
          <w:b/>
        </w:rPr>
        <w:t xml:space="preserve">Texto Alt:</w:t>
      </w:r>
      <w:r>
        <w:t xml:space="preserve"> </w:t>
      </w:r>
      <w:r>
        <w:t xml:space="preserve">Mapa de preservación de pruebas de IA que vincula los desencadenantes de la retención legal con los custodios y las fuentes de pruebas técnicas, seguido de recolección, validación de integridad, almacenamiento seguro, revisión controlada, producción y liberación autorizada.</w:t>
      </w:r>
    </w:p>
    <w:bookmarkEnd w:id="1218"/>
    <w:bookmarkStart w:id="1219" w:name="referencias-jurídicas-primarias-96"/>
    <w:p>
      <w:pPr>
        <w:pStyle w:val="Heading2"/>
      </w:pPr>
      <w:r>
        <w:rPr>
          <w:rStyle w:val="SectionNumber"/>
        </w:rPr>
        <w:t xml:space="preserve">1.1173</w:t>
      </w:r>
      <w:r>
        <w:tab/>
      </w:r>
      <w:r>
        <w:t xml:space="preserve">Referencias jurídicas primarias</w:t>
      </w:r>
    </w:p>
    <w:p>
      <w:pPr>
        <w:numPr>
          <w:ilvl w:val="0"/>
          <w:numId w:val="1370"/>
        </w:numPr>
        <w:pStyle w:val="Compact"/>
      </w:pPr>
      <w:r>
        <w:t xml:space="preserve">Reglamento (UE) 2024/1689, modificado: disposiciones aplicables en materia de documentación técnica, tala, mantenimiento de registros, gestión de la calidad, seguimiento, incidentes, medidas correctivas y acceso a la autoridad.</w:t>
      </w:r>
    </w:p>
    <w:p>
      <w:pPr>
        <w:numPr>
          <w:ilvl w:val="0"/>
          <w:numId w:val="1370"/>
        </w:numPr>
        <w:pStyle w:val="Compact"/>
      </w:pPr>
      <w:r>
        <w:t xml:space="preserve">Reglamento (UE) 2016/679 y otras normas aplicables de privacidad, empleo, pruebas y procedimiento.</w:t>
      </w:r>
    </w:p>
    <w:p>
      <w:pPr>
        <w:numPr>
          <w:ilvl w:val="0"/>
          <w:numId w:val="1370"/>
        </w:numPr>
        <w:pStyle w:val="Compact"/>
      </w:pPr>
      <w:r>
        <w:t xml:space="preserve">Reglamento (UE) 2026/1744, en su caso.</w:t>
      </w:r>
    </w:p>
    <w:p>
      <w:pPr>
        <w:numPr>
          <w:ilvl w:val="0"/>
          <w:numId w:val="1370"/>
        </w:numPr>
        <w:pStyle w:val="Compact"/>
      </w:pPr>
      <w:r>
        <w:t xml:space="preserve">Los deberes de posesión legal dependen del derecho procesal y sustantivo aplicable y no deben presentarse como un requisito único de la Ley de IA de la UE.</w:t>
      </w:r>
    </w:p>
    <w:bookmarkEnd w:id="1219"/>
    <w:bookmarkStart w:id="1220" w:name="capítulo-129-primeros-30-días"/>
    <w:p>
      <w:pPr>
        <w:pStyle w:val="Heading2"/>
      </w:pPr>
      <w:r>
        <w:rPr>
          <w:rStyle w:val="SectionNumber"/>
        </w:rPr>
        <w:t xml:space="preserve">1.1174</w:t>
      </w:r>
      <w:r>
        <w:tab/>
      </w:r>
      <w:r>
        <w:t xml:space="preserve">Capítulo 129 — Primeros 30 días</w:t>
      </w:r>
    </w:p>
    <w:p>
      <w:pPr>
        <w:pStyle w:val="BlockText"/>
      </w:pPr>
      <w:r>
        <w:rPr>
          <w:bCs/>
          <w:b/>
        </w:rPr>
        <w:t xml:space="preserve">Estatus legal:</w:t>
      </w:r>
      <w:r>
        <w:t xml:space="preserve"> </w:t>
      </w:r>
      <w:r>
        <w:t xml:space="preserve">Corregido Maestro de inglés para la consolidación. Este archivo controla el lenguaje de borrador anterior del Capítulo 129.</w:t>
      </w:r>
    </w:p>
    <w:bookmarkEnd w:id="1220"/>
    <w:bookmarkStart w:id="1221" w:name="finalidad-7"/>
    <w:p>
      <w:pPr>
        <w:pStyle w:val="Heading2"/>
      </w:pPr>
      <w:r>
        <w:rPr>
          <w:rStyle w:val="SectionNumber"/>
        </w:rPr>
        <w:t xml:space="preserve">1.1175</w:t>
      </w:r>
      <w:r>
        <w:tab/>
      </w:r>
      <w:r>
        <w:t xml:space="preserve">Finalidad</w:t>
      </w:r>
    </w:p>
    <w:p>
      <w:pPr>
        <w:pStyle w:val="FirstParagraph"/>
      </w:pPr>
      <w:r>
        <w:t xml:space="preserve">Este capítulo proporciona un plan práctico de implementación de primer a 30 días para establecer control, visibilidad, rendición de cuentas y reducción inmediata del riesgo en las actividades de IA de una organización.</w:t>
      </w:r>
    </w:p>
    <w:bookmarkEnd w:id="1221"/>
    <w:bookmarkStart w:id="1222" w:name="requisito-127"/>
    <w:p>
      <w:pPr>
        <w:pStyle w:val="Heading2"/>
      </w:pPr>
      <w:r>
        <w:rPr>
          <w:rStyle w:val="SectionNumber"/>
        </w:rPr>
        <w:t xml:space="preserve">1.1176</w:t>
      </w:r>
      <w:r>
        <w:tab/>
      </w:r>
      <w:r>
        <w:t xml:space="preserve">Requisito</w:t>
      </w:r>
    </w:p>
    <w:p>
      <w:pPr>
        <w:pStyle w:val="FirstParagraph"/>
      </w:pPr>
      <w:r>
        <w:t xml:space="preserve">La primera hoja de ruta de 30 días es una guía para la implementación, no un requisito independiente de la Ley de IA de la UE. Las organizaciones deben utilizar este período para establecer la aplicabilidad legal, roles de actores, prohibiciones y deberes de aplicación inmediata, propiedad de la gobernanza, integridad del inventario, triaje de riesgos, preservación de pruebas y prioridades urgentes de rehabilitación.</w:t>
      </w:r>
    </w:p>
    <w:bookmarkEnd w:id="1222"/>
    <w:bookmarkStart w:id="1223" w:name="explicación-en-lenguaje-sencillo-124"/>
    <w:p>
      <w:pPr>
        <w:pStyle w:val="Heading2"/>
      </w:pPr>
      <w:r>
        <w:rPr>
          <w:rStyle w:val="SectionNumber"/>
        </w:rPr>
        <w:t xml:space="preserve">1.1177</w:t>
      </w:r>
      <w:r>
        <w:tab/>
      </w:r>
      <w:r>
        <w:t xml:space="preserve">Explicación en lenguaje sencillo</w:t>
      </w:r>
    </w:p>
    <w:p>
      <w:pPr>
        <w:pStyle w:val="FirstParagraph"/>
      </w:pPr>
      <w:r>
        <w:t xml:space="preserve">El primer mes debe crear el control sobre el alcance y la exposición urgente. No es el momento de declarar el pleno cumplimiento. La administración debe saber qué sistemas de IA y modelos GPAI existen, qué usos pueden ser prohibidos o de alto riesgo, quién los posee, qué datos utilizan, qué proveedores están involucrados, quiénes pueden ser afectados, y dónde se requiere restricción, suspensión o escalada inmediata.</w:t>
      </w:r>
    </w:p>
    <w:bookmarkEnd w:id="1223"/>
    <w:bookmarkStart w:id="1224" w:name="días-15-movilizar"/>
    <w:p>
      <w:pPr>
        <w:pStyle w:val="Heading2"/>
      </w:pPr>
      <w:r>
        <w:rPr>
          <w:rStyle w:val="SectionNumber"/>
        </w:rPr>
        <w:t xml:space="preserve">1.1178</w:t>
      </w:r>
      <w:r>
        <w:tab/>
      </w:r>
      <w:r>
        <w:t xml:space="preserve">Días 1–5: movilizar</w:t>
      </w:r>
    </w:p>
    <w:p>
      <w:pPr>
        <w:numPr>
          <w:ilvl w:val="0"/>
          <w:numId w:val="1371"/>
        </w:numPr>
        <w:pStyle w:val="Compact"/>
      </w:pPr>
      <w:r>
        <w:t xml:space="preserve">nombrar un patrocinador ejecutivo y responsable de la dirección del programa;</w:t>
      </w:r>
    </w:p>
    <w:p>
      <w:pPr>
        <w:numPr>
          <w:ilvl w:val="0"/>
          <w:numId w:val="1371"/>
        </w:numPr>
        <w:pStyle w:val="Compact"/>
      </w:pPr>
      <w:r>
        <w:t xml:space="preserve">establecer un grupo de dirección interfuncional;</w:t>
      </w:r>
    </w:p>
    <w:p>
      <w:pPr>
        <w:numPr>
          <w:ilvl w:val="0"/>
          <w:numId w:val="1371"/>
        </w:numPr>
        <w:pStyle w:val="Compact"/>
      </w:pPr>
      <w:r>
        <w:t xml:space="preserve">definir los aspectos jurídicos, de cumplimiento, de riesgo, de privacidad, de seguridad, de tecnología, de adquisición, de recursos humanos, de auditoría interna y de participación empresarial;</w:t>
      </w:r>
    </w:p>
    <w:p>
      <w:pPr>
        <w:numPr>
          <w:ilvl w:val="0"/>
          <w:numId w:val="1371"/>
        </w:numPr>
        <w:pStyle w:val="Compact"/>
      </w:pPr>
      <w:r>
        <w:t xml:space="preserve">aprobar un mandato provisional de gobernanza de la IA;</w:t>
      </w:r>
    </w:p>
    <w:p>
      <w:pPr>
        <w:numPr>
          <w:ilvl w:val="0"/>
          <w:numId w:val="1371"/>
        </w:numPr>
        <w:pStyle w:val="Compact"/>
      </w:pPr>
      <w:r>
        <w:t xml:space="preserve">establecer una autoridad de decisión, intensificación, interrupción del uso y notificación;</w:t>
      </w:r>
    </w:p>
    <w:p>
      <w:pPr>
        <w:numPr>
          <w:ilvl w:val="0"/>
          <w:numId w:val="1371"/>
        </w:numPr>
        <w:pStyle w:val="Compact"/>
      </w:pPr>
      <w:r>
        <w:t xml:space="preserve">identificar las entidades jurídicas, jurisdicciones, sectores y servicios empresariales pertinentes;</w:t>
      </w:r>
    </w:p>
    <w:p>
      <w:pPr>
        <w:numPr>
          <w:ilvl w:val="0"/>
          <w:numId w:val="1371"/>
        </w:numPr>
        <w:pStyle w:val="Compact"/>
      </w:pPr>
      <w:r>
        <w:t xml:space="preserve">confirmar la base jurídica actual y las fechas aplicables;</w:t>
      </w:r>
    </w:p>
    <w:p>
      <w:pPr>
        <w:numPr>
          <w:ilvl w:val="0"/>
          <w:numId w:val="1371"/>
        </w:numPr>
        <w:pStyle w:val="Compact"/>
      </w:pPr>
      <w:r>
        <w:t xml:space="preserve">conservar los registros y las decisiones críticos existentes.</w:t>
      </w:r>
    </w:p>
    <w:bookmarkEnd w:id="1224"/>
    <w:bookmarkStart w:id="1225" w:name="días-6-10-descubrir"/>
    <w:p>
      <w:pPr>
        <w:pStyle w:val="Heading2"/>
      </w:pPr>
      <w:r>
        <w:rPr>
          <w:rStyle w:val="SectionNumber"/>
        </w:rPr>
        <w:t xml:space="preserve">1.1179</w:t>
      </w:r>
      <w:r>
        <w:tab/>
      </w:r>
      <w:r>
        <w:t xml:space="preserve">Días 6-10: descubrir</w:t>
      </w:r>
    </w:p>
    <w:p>
      <w:pPr>
        <w:pStyle w:val="FirstParagraph"/>
      </w:pPr>
      <w:r>
        <w:t xml:space="preserve">Lanzar un inventario rápido que abarque los sistemas de producción, los pilotos, las pruebas de concepto, la IA en la sombra, las características integradas de los proveedores, el uso generativo de la IA en los empleados, los servicios habilitados para la GPAI, las decisiones automatizadas de alto impacto, los modelos, las fuentes de datos, los proveedores, las dependencias, los propietarios, los grupos afectados, las jurisdicciones, los incidentes, las quejas y las conclusiones no resueltas.</w:t>
      </w:r>
    </w:p>
    <w:p>
      <w:pPr>
        <w:pStyle w:val="BodyText"/>
      </w:pPr>
      <w:r>
        <w:t xml:space="preserve">Utilice entrevistas, registros de adquisiciones, inventarios de software, registros en la nube y en la red, registros de gastos, registros de proveedores y certificaciones de dependencias comerciales para mejorar la integridad.</w:t>
      </w:r>
    </w:p>
    <w:bookmarkEnd w:id="1225"/>
    <w:bookmarkStart w:id="1226" w:name="días-1115-triaje"/>
    <w:p>
      <w:pPr>
        <w:pStyle w:val="Heading2"/>
      </w:pPr>
      <w:r>
        <w:rPr>
          <w:rStyle w:val="SectionNumber"/>
        </w:rPr>
        <w:t xml:space="preserve">1.1180</w:t>
      </w:r>
      <w:r>
        <w:tab/>
      </w:r>
      <w:r>
        <w:t xml:space="preserve">Días 11–15: triaje</w:t>
      </w:r>
    </w:p>
    <w:p>
      <w:pPr>
        <w:pStyle w:val="FirstParagraph"/>
      </w:pPr>
      <w:r>
        <w:t xml:space="preserve">Dar prioridad a las prácticas presuntamente prohibidas, los casos de empleo y uso de servicios esenciales, los sistemas biométricos o relacionados con la seguridad, los sistemas que afectan a grupos vulnerables, la IA generativa orientada al público, el procesamiento de datos sensibles, los sistemas sin supervisión humana significativa, los sistemas con incidentes o cambios materiales y los servicios de los proveedores que carecen de documentación o garantías contractuales adecuadas.</w:t>
      </w:r>
    </w:p>
    <w:bookmarkEnd w:id="1226"/>
    <w:bookmarkStart w:id="1227" w:name="días-1620-estabilizar"/>
    <w:p>
      <w:pPr>
        <w:pStyle w:val="Heading2"/>
      </w:pPr>
      <w:r>
        <w:rPr>
          <w:rStyle w:val="SectionNumber"/>
        </w:rPr>
        <w:t xml:space="preserve">1.1181</w:t>
      </w:r>
      <w:r>
        <w:tab/>
      </w:r>
      <w:r>
        <w:t xml:space="preserve">Días 16–20: estabilizar</w:t>
      </w:r>
    </w:p>
    <w:p>
      <w:pPr>
        <w:pStyle w:val="FirstParagraph"/>
      </w:pPr>
      <w:r>
        <w:t xml:space="preserve">Aplicar medidas provisionales como la suspensión, la restricción funcional o geográfica, la revisión humana obligatoria, los límites de datos sensibles, los avisos temporales de transparencia, la preservación de pruebas, el bloqueo de instrumentos no aprobados, la escalada de los proveedores, la congelación de cambios, los procedimientos de parada segura y las decisiones documentadas sobre riesgos residuales.</w:t>
      </w:r>
    </w:p>
    <w:bookmarkEnd w:id="1227"/>
    <w:bookmarkStart w:id="1228" w:name="X0b267af2e168243b13dab8a48cea05ee94637f9"/>
    <w:p>
      <w:pPr>
        <w:pStyle w:val="Heading2"/>
      </w:pPr>
      <w:r>
        <w:rPr>
          <w:rStyle w:val="SectionNumber"/>
        </w:rPr>
        <w:t xml:space="preserve">1.1182</w:t>
      </w:r>
      <w:r>
        <w:tab/>
      </w:r>
      <w:r>
        <w:t xml:space="preserve">Días 21–25: establecer una gobernanza mínima</w:t>
      </w:r>
    </w:p>
    <w:p>
      <w:pPr>
        <w:pStyle w:val="FirstParagraph"/>
      </w:pPr>
      <w:r>
        <w:t xml:space="preserve">Aprobar versiones provisionales de la política de IA, normas de uso aceptable, proceso de admisión y aprobación, estándar de inventario, pantalla de prácticas prohibidas, métodos de clasificación de actores y riesgos, procedimientos de incidentes y notificaciones, diligencia debida de los proveedores, expectativas de retención de pruebas, requisitos de alfabetización de IA y autoridad de excepción.</w:t>
      </w:r>
    </w:p>
    <w:bookmarkEnd w:id="1228"/>
    <w:bookmarkStart w:id="1229" w:name="días-26-30-planificar-el-programa"/>
    <w:p>
      <w:pPr>
        <w:pStyle w:val="Heading2"/>
      </w:pPr>
      <w:r>
        <w:rPr>
          <w:rStyle w:val="SectionNumber"/>
        </w:rPr>
        <w:t xml:space="preserve">1.1183</w:t>
      </w:r>
      <w:r>
        <w:tab/>
      </w:r>
      <w:r>
        <w:t xml:space="preserve">Días 26-30: planificar el programa</w:t>
      </w:r>
    </w:p>
    <w:p>
      <w:pPr>
        <w:pStyle w:val="FirstParagraph"/>
      </w:pPr>
      <w:r>
        <w:t xml:space="preserve">Crear hojas de ruta priorizadas de 90 días y 12 meses que cubran las lagunas legales y de control, la rehabilitación específica del sistema, las fechas de regulación, las necesidades de recursos y competencias, los propietarios responsables, las dependencias, las garantías y pruebas, la cadencia de informes, el presupuesto, los requisitos tecnológicos y las opciones de salida o suspensión.</w:t>
      </w:r>
    </w:p>
    <w:bookmarkEnd w:id="1229"/>
    <w:bookmarkStart w:id="1230" w:name="X30be87d0cc40b942bbd9274955ac73af3d494cf"/>
    <w:p>
      <w:pPr>
        <w:pStyle w:val="Heading2"/>
      </w:pPr>
      <w:r>
        <w:rPr>
          <w:rStyle w:val="SectionNumber"/>
        </w:rPr>
        <w:t xml:space="preserve">1.1184</w:t>
      </w:r>
      <w:r>
        <w:tab/>
      </w:r>
      <w:r>
        <w:t xml:space="preserve">Ejemplo de servicios de viajes de GlobalWay</w:t>
      </w:r>
    </w:p>
    <w:p>
      <w:pPr>
        <w:pStyle w:val="FirstParagraph"/>
      </w:pPr>
      <w:r>
        <w:t xml:space="preserve">GlobalWay comienza con un inventario rápido y descubre 42 casos de uso de IA, incluyendo 11 no conocidos previamente por la gobernanza central. Identifica roles de actores, suspende un piloto de fuerza laboral no apoyado, restringe una herramienta de reclutamiento pendiente de clasificación y revisión de sesgos, agrega avisos de IA a dos chatbots de viajeros, preserva evidencia de una queja abierta y congela una actualización de modelo de proveedor hasta que la evaluación del cambio esté completa.</w:t>
      </w:r>
    </w:p>
    <w:p>
      <w:pPr>
        <w:pStyle w:val="BodyText"/>
      </w:pPr>
      <w:r>
        <w:t xml:space="preserve">Para el día 30, GlobalWay tiene un patrocinador ejecutivo, oficina de programas, inventario triado, política provisional, rastreador de medidas correctivas urgentes, decisiones documentadas de parada y hojas de ruta de 90 días y 12 meses.</w:t>
      </w:r>
    </w:p>
    <w:bookmarkEnd w:id="1230"/>
    <w:bookmarkStart w:id="1231" w:name="actividad-de-control-121"/>
    <w:p>
      <w:pPr>
        <w:pStyle w:val="Heading2"/>
      </w:pPr>
      <w:r>
        <w:rPr>
          <w:rStyle w:val="SectionNumber"/>
        </w:rPr>
        <w:t xml:space="preserve">1.1185</w:t>
      </w:r>
      <w:r>
        <w:tab/>
      </w:r>
      <w:r>
        <w:t xml:space="preserve">Actividad de control</w:t>
      </w:r>
    </w:p>
    <w:p>
      <w:pPr>
        <w:pStyle w:val="FirstParagraph"/>
      </w:pPr>
      <w:r>
        <w:t xml:space="preserve">El ejecutivo responsable debe aprobar el alcance de los primeros 30 días, los propietarios, las decisiones urgentes, las cuestiones jurídicas no resueltas y la transición al plan de 31 a 90 días.</w:t>
      </w:r>
    </w:p>
    <w:bookmarkEnd w:id="1231"/>
    <w:bookmarkStart w:id="1232" w:name="pruebas-128"/>
    <w:p>
      <w:pPr>
        <w:pStyle w:val="Heading2"/>
      </w:pPr>
      <w:r>
        <w:rPr>
          <w:rStyle w:val="SectionNumber"/>
        </w:rPr>
        <w:t xml:space="preserve">1.1186</w:t>
      </w:r>
      <w:r>
        <w:tab/>
      </w:r>
      <w:r>
        <w:t xml:space="preserve">Pruebas</w:t>
      </w:r>
    </w:p>
    <w:p>
      <w:pPr>
        <w:numPr>
          <w:ilvl w:val="0"/>
          <w:numId w:val="1372"/>
        </w:numPr>
        <w:pStyle w:val="Compact"/>
      </w:pPr>
      <w:r>
        <w:t xml:space="preserve">Carta del programa y nombramientos para la gobernanza;</w:t>
      </w:r>
    </w:p>
    <w:p>
      <w:pPr>
        <w:numPr>
          <w:ilvl w:val="0"/>
          <w:numId w:val="1372"/>
        </w:numPr>
        <w:pStyle w:val="Compact"/>
      </w:pPr>
      <w:r>
        <w:t xml:space="preserve">el registro jurídico-base de referencia vigente;</w:t>
      </w:r>
    </w:p>
    <w:p>
      <w:pPr>
        <w:numPr>
          <w:ilvl w:val="0"/>
          <w:numId w:val="1372"/>
        </w:numPr>
        <w:pStyle w:val="Compact"/>
      </w:pPr>
      <w:r>
        <w:t xml:space="preserve">el inventario rápido y las certificaciones de las unidades empresariales;</w:t>
      </w:r>
    </w:p>
    <w:p>
      <w:pPr>
        <w:numPr>
          <w:ilvl w:val="0"/>
          <w:numId w:val="1372"/>
        </w:numPr>
        <w:pStyle w:val="Compact"/>
      </w:pPr>
      <w:r>
        <w:t xml:space="preserve">la función del actor, la aplicabilidad y las evaluaciones de prácticas prohibidas;</w:t>
      </w:r>
    </w:p>
    <w:p>
      <w:pPr>
        <w:numPr>
          <w:ilvl w:val="0"/>
          <w:numId w:val="1372"/>
        </w:numPr>
        <w:pStyle w:val="Compact"/>
      </w:pPr>
      <w:r>
        <w:t xml:space="preserve">los criterios y resultados de la prueba de riesgo;</w:t>
      </w:r>
    </w:p>
    <w:p>
      <w:pPr>
        <w:numPr>
          <w:ilvl w:val="0"/>
          <w:numId w:val="1372"/>
        </w:numPr>
        <w:pStyle w:val="Compact"/>
      </w:pPr>
      <w:r>
        <w:t xml:space="preserve">las decisiones de suspensión, restricción y control provisional;</w:t>
      </w:r>
    </w:p>
    <w:p>
      <w:pPr>
        <w:numPr>
          <w:ilvl w:val="0"/>
          <w:numId w:val="1372"/>
        </w:numPr>
        <w:pStyle w:val="Compact"/>
      </w:pPr>
      <w:r>
        <w:t xml:space="preserve">incidentes, quejas y revisiones de proveedores;</w:t>
      </w:r>
    </w:p>
    <w:p>
      <w:pPr>
        <w:numPr>
          <w:ilvl w:val="0"/>
          <w:numId w:val="1372"/>
        </w:numPr>
        <w:pStyle w:val="Compact"/>
      </w:pPr>
      <w:r>
        <w:t xml:space="preserve">los registros de conservación de pruebas;</w:t>
      </w:r>
    </w:p>
    <w:p>
      <w:pPr>
        <w:numPr>
          <w:ilvl w:val="0"/>
          <w:numId w:val="1372"/>
        </w:numPr>
        <w:pStyle w:val="Compact"/>
      </w:pPr>
      <w:r>
        <w:t xml:space="preserve">las políticas y procedimientos provisionales;</w:t>
      </w:r>
    </w:p>
    <w:p>
      <w:pPr>
        <w:numPr>
          <w:ilvl w:val="0"/>
          <w:numId w:val="1372"/>
        </w:numPr>
        <w:pStyle w:val="Compact"/>
      </w:pPr>
      <w:r>
        <w:t xml:space="preserve">registro de medidas urgentes de rehabilitación;</w:t>
      </w:r>
    </w:p>
    <w:p>
      <w:pPr>
        <w:numPr>
          <w:ilvl w:val="0"/>
          <w:numId w:val="1372"/>
        </w:numPr>
        <w:pStyle w:val="Compact"/>
      </w:pPr>
      <w:r>
        <w:t xml:space="preserve">informes ejecutivos y de los consejos de administración;</w:t>
      </w:r>
    </w:p>
    <w:p>
      <w:pPr>
        <w:numPr>
          <w:ilvl w:val="0"/>
          <w:numId w:val="1372"/>
        </w:numPr>
        <w:pStyle w:val="Compact"/>
      </w:pPr>
      <w:r>
        <w:t xml:space="preserve">se aprobaron hojas de ruta de 90 días y 12 meses.</w:t>
      </w:r>
    </w:p>
    <w:bookmarkEnd w:id="1232"/>
    <w:bookmarkStart w:id="1233" w:name="prueba-de-auditoría-122"/>
    <w:p>
      <w:pPr>
        <w:pStyle w:val="Heading2"/>
      </w:pPr>
      <w:r>
        <w:rPr>
          <w:rStyle w:val="SectionNumber"/>
        </w:rPr>
        <w:t xml:space="preserve">1.1187</w:t>
      </w:r>
      <w:r>
        <w:tab/>
      </w:r>
      <w:r>
        <w:t xml:space="preserve">Prueba de auditoría</w:t>
      </w:r>
    </w:p>
    <w:p>
      <w:pPr>
        <w:pStyle w:val="FirstParagraph"/>
      </w:pPr>
      <w:r>
        <w:t xml:space="preserve">Revisar el programa de los primeros 30 días, confirmar que estableció un inventario justificable, identificó riesgos legales y operacionales urgentes, asignó a los propietarios responsables, documentó las salvaguardias provisionales y las decisiones de parar el uso, preservó pruebas críticas, aumentó la exposición al material y no falsificó la labor planeada como cumplimiento completado.</w:t>
      </w:r>
    </w:p>
    <w:bookmarkEnd w:id="1233"/>
    <w:bookmarkStart w:id="1234" w:name="métricas-5"/>
    <w:p>
      <w:pPr>
        <w:pStyle w:val="Heading2"/>
      </w:pPr>
      <w:r>
        <w:rPr>
          <w:rStyle w:val="SectionNumber"/>
        </w:rPr>
        <w:t xml:space="preserve">1.1188</w:t>
      </w:r>
      <w:r>
        <w:tab/>
      </w:r>
      <w:r>
        <w:t xml:space="preserve">Métricas</w:t>
      </w:r>
    </w:p>
    <w:p>
      <w:pPr>
        <w:numPr>
          <w:ilvl w:val="0"/>
          <w:numId w:val="1373"/>
        </w:numPr>
        <w:pStyle w:val="Compact"/>
      </w:pPr>
      <w:r>
        <w:t xml:space="preserve">Se identificaron los sistemas de IA y los modelos GPAI;</w:t>
      </w:r>
    </w:p>
    <w:p>
      <w:pPr>
        <w:numPr>
          <w:ilvl w:val="0"/>
          <w:numId w:val="1373"/>
        </w:numPr>
        <w:pStyle w:val="Compact"/>
      </w:pPr>
      <w:r>
        <w:t xml:space="preserve">nuevos casos descubiertos de uso de la AI en la sombra;</w:t>
      </w:r>
    </w:p>
    <w:p>
      <w:pPr>
        <w:numPr>
          <w:ilvl w:val="0"/>
          <w:numId w:val="1373"/>
        </w:numPr>
        <w:pStyle w:val="Compact"/>
      </w:pPr>
      <w:r>
        <w:t xml:space="preserve">unidades de negocio que cumplimenten los certificados;</w:t>
      </w:r>
    </w:p>
    <w:p>
      <w:pPr>
        <w:numPr>
          <w:ilvl w:val="0"/>
          <w:numId w:val="1373"/>
        </w:numPr>
        <w:pStyle w:val="Compact"/>
      </w:pPr>
      <w:r>
        <w:t xml:space="preserve">sistemas urgentes triados;</w:t>
      </w:r>
    </w:p>
    <w:p>
      <w:pPr>
        <w:numPr>
          <w:ilvl w:val="0"/>
          <w:numId w:val="1373"/>
        </w:numPr>
        <w:pStyle w:val="Compact"/>
      </w:pPr>
      <w:r>
        <w:t xml:space="preserve">sistemas suspendidos, restringidos o congelados;</w:t>
      </w:r>
    </w:p>
    <w:p>
      <w:pPr>
        <w:numPr>
          <w:ilvl w:val="0"/>
          <w:numId w:val="1373"/>
        </w:numPr>
        <w:pStyle w:val="Compact"/>
      </w:pPr>
      <w:r>
        <w:t xml:space="preserve">sistemas sin propietarios responsables;</w:t>
      </w:r>
    </w:p>
    <w:p>
      <w:pPr>
        <w:numPr>
          <w:ilvl w:val="0"/>
          <w:numId w:val="1373"/>
        </w:numPr>
        <w:pStyle w:val="Compact"/>
      </w:pPr>
      <w:r>
        <w:t xml:space="preserve">pruebas críticas y lagunas en la documentación de los proveedores;</w:t>
      </w:r>
    </w:p>
    <w:p>
      <w:pPr>
        <w:numPr>
          <w:ilvl w:val="0"/>
          <w:numId w:val="1373"/>
        </w:numPr>
        <w:pStyle w:val="Compact"/>
      </w:pPr>
      <w:r>
        <w:t xml:space="preserve">medidas atrasadas del primer mes;</w:t>
      </w:r>
    </w:p>
    <w:p>
      <w:pPr>
        <w:numPr>
          <w:ilvl w:val="0"/>
          <w:numId w:val="1373"/>
        </w:numPr>
        <w:pStyle w:val="Compact"/>
      </w:pPr>
      <w:r>
        <w:t xml:space="preserve">las prácticas prohibidas y los exámenes de alto riesgo pendientes;</w:t>
      </w:r>
    </w:p>
    <w:p>
      <w:pPr>
        <w:numPr>
          <w:ilvl w:val="0"/>
          <w:numId w:val="1373"/>
        </w:numPr>
        <w:pStyle w:val="Compact"/>
      </w:pPr>
      <w:r>
        <w:t xml:space="preserve">decisiones de clasificación jurídica no resueltas.</w:t>
      </w:r>
    </w:p>
    <w:bookmarkEnd w:id="1234"/>
    <w:bookmarkStart w:id="1235" w:name="lista-de-verificación-de-gestión-7"/>
    <w:p>
      <w:pPr>
        <w:pStyle w:val="Heading2"/>
      </w:pPr>
      <w:r>
        <w:rPr>
          <w:rStyle w:val="SectionNumber"/>
        </w:rPr>
        <w:t xml:space="preserve">1.1189</w:t>
      </w:r>
      <w:r>
        <w:tab/>
      </w:r>
      <w:r>
        <w:t xml:space="preserve">Lista de verificación de gestión</w:t>
      </w:r>
    </w:p>
    <w:p>
      <w:pPr>
        <w:numPr>
          <w:ilvl w:val="0"/>
          <w:numId w:val="1374"/>
        </w:numPr>
        <w:pStyle w:val="Compact"/>
      </w:pPr>
      <w:r>
        <w:t xml:space="preserve">¿Quién es responsable del programa y de las decisiones urgentes?</w:t>
      </w:r>
    </w:p>
    <w:p>
      <w:pPr>
        <w:numPr>
          <w:ilvl w:val="0"/>
          <w:numId w:val="1374"/>
        </w:numPr>
        <w:pStyle w:val="Compact"/>
      </w:pPr>
      <w:r>
        <w:t xml:space="preserve">¿Sabemos dónde se utilizan los servicios habilitados para IA y GPAI?</w:t>
      </w:r>
    </w:p>
    <w:p>
      <w:pPr>
        <w:numPr>
          <w:ilvl w:val="0"/>
          <w:numId w:val="1374"/>
        </w:numPr>
        <w:pStyle w:val="Compact"/>
      </w:pPr>
      <w:r>
        <w:t xml:space="preserve">¿Qué casos de uso requieren suspensión o restricción inmediata?</w:t>
      </w:r>
    </w:p>
    <w:p>
      <w:pPr>
        <w:numPr>
          <w:ilvl w:val="0"/>
          <w:numId w:val="1374"/>
        </w:numPr>
        <w:pStyle w:val="Compact"/>
      </w:pPr>
      <w:r>
        <w:t xml:space="preserve">¿Se conservan registros críticos, versiones, decisiones y registros?</w:t>
      </w:r>
    </w:p>
    <w:p>
      <w:pPr>
        <w:numPr>
          <w:ilvl w:val="0"/>
          <w:numId w:val="1374"/>
        </w:numPr>
        <w:pStyle w:val="Compact"/>
      </w:pPr>
      <w:r>
        <w:t xml:space="preserve">¿Se han identificado roles de actores, jurisdicciones, grupos afectados y proveedores?</w:t>
      </w:r>
    </w:p>
    <w:p>
      <w:pPr>
        <w:numPr>
          <w:ilvl w:val="0"/>
          <w:numId w:val="1374"/>
        </w:numPr>
        <w:pStyle w:val="Compact"/>
      </w:pPr>
      <w:r>
        <w:t xml:space="preserve">¿Se asignan propietarios, plazos, dependencias y caminos de escalada?</w:t>
      </w:r>
    </w:p>
    <w:p>
      <w:pPr>
        <w:numPr>
          <w:ilvl w:val="0"/>
          <w:numId w:val="1374"/>
        </w:numPr>
        <w:pStyle w:val="Compact"/>
      </w:pPr>
      <w:r>
        <w:t xml:space="preserve">¿La junta entiende la exposición más importante y la incertidumbre?</w:t>
      </w:r>
    </w:p>
    <w:p>
      <w:pPr>
        <w:numPr>
          <w:ilvl w:val="0"/>
          <w:numId w:val="1374"/>
        </w:numPr>
        <w:pStyle w:val="Compact"/>
      </w:pPr>
      <w:r>
        <w:t xml:space="preserve">¿Las acciones terminadas están respaldadas por pruebas y no por afirmaciones de estatus?</w:t>
      </w:r>
    </w:p>
    <w:bookmarkEnd w:id="1235"/>
    <w:bookmarkStart w:id="1236" w:name="X88ba89bd8b82626b2bb484b9dde82ca5d4886bc"/>
    <w:p>
      <w:pPr>
        <w:pStyle w:val="Heading2"/>
      </w:pPr>
      <w:r>
        <w:rPr>
          <w:rStyle w:val="SectionNumber"/>
        </w:rPr>
        <w:t xml:space="preserve">1.1190</w:t>
      </w:r>
      <w:r>
        <w:tab/>
      </w:r>
      <w:r>
        <w:t xml:space="preserve">Especificación de la figura — Primeros 30 días AI Governance Sprint</w:t>
      </w:r>
    </w:p>
    <w:p>
      <w:pPr>
        <w:pStyle w:val="FirstParagraph"/>
      </w:pPr>
      <w:r>
        <w:t xml:space="preserve">Crear un sprint de 30 días dividido en movilizar, descubrir, triar, estabilizar, establecer gobernanza y aprobar hoja de ruta. Mostrar el patrocinio ejecutivo, preservación de pruebas, revisión legal, escalada de proveedores, y la autoridad urgente de parar el uso como controles transversales.</w:t>
      </w:r>
    </w:p>
    <w:p>
      <w:pPr>
        <w:pStyle w:val="BodyText"/>
      </w:pPr>
      <w:r>
        <w:rPr>
          <w:bCs/>
          <w:b/>
        </w:rPr>
        <w:t xml:space="preserve">Texto Alt:</w:t>
      </w:r>
      <w:r>
        <w:t xml:space="preserve"> </w:t>
      </w:r>
      <w:r>
        <w:t xml:space="preserve">30 días de gobierno de IA pasando de movilización y descubrimiento a triaje, estabilización, gobernanza mínima y una hoja de ruta de implementación aprobada, con supervisión ejecutiva, revisión legal, preservación de evidencia y escalada urgente.</w:t>
      </w:r>
    </w:p>
    <w:bookmarkEnd w:id="1236"/>
    <w:bookmarkStart w:id="1237" w:name="referencias-jurídicas-primarias-97"/>
    <w:p>
      <w:pPr>
        <w:pStyle w:val="Heading2"/>
      </w:pPr>
      <w:r>
        <w:rPr>
          <w:rStyle w:val="SectionNumber"/>
        </w:rPr>
        <w:t xml:space="preserve">1.1191</w:t>
      </w:r>
      <w:r>
        <w:tab/>
      </w:r>
      <w:r>
        <w:t xml:space="preserve">Referencias jurídicas primarias</w:t>
      </w:r>
    </w:p>
    <w:p>
      <w:pPr>
        <w:numPr>
          <w:ilvl w:val="0"/>
          <w:numId w:val="1375"/>
        </w:numPr>
        <w:pStyle w:val="Compact"/>
      </w:pPr>
      <w:r>
        <w:t xml:space="preserve">Reglamento (UE) 2024/1689, modificado por el Reglamento (UE) 2026/1744, en su caso.</w:t>
      </w:r>
    </w:p>
    <w:p>
      <w:pPr>
        <w:numPr>
          <w:ilvl w:val="0"/>
          <w:numId w:val="1375"/>
        </w:numPr>
        <w:pStyle w:val="Compact"/>
      </w:pPr>
      <w:r>
        <w:t xml:space="preserve">Las disposiciones aplicables de la Ley de IA dependen de la función del actor, la clasificación del sistema, el propósito previsto, el contexto de uso, la jurisdicción y la fecha de aplicación.</w:t>
      </w:r>
    </w:p>
    <w:p>
      <w:pPr>
        <w:numPr>
          <w:ilvl w:val="0"/>
          <w:numId w:val="1375"/>
        </w:numPr>
        <w:pStyle w:val="Compact"/>
      </w:pPr>
      <w:r>
        <w:t xml:space="preserve">Este capítulo es una guía para la aplicación y no sustituye el análisis jurídico de los plazos y obligaciones legales exactos.</w:t>
      </w:r>
    </w:p>
    <w:p>
      <w:pPr>
        <w:numPr>
          <w:ilvl w:val="0"/>
          <w:numId w:val="1375"/>
        </w:numPr>
        <w:pStyle w:val="Compact"/>
      </w:pPr>
      <w:r>
        <w:t xml:space="preserve">Los actuales controles de texto oficial consolidado sobre los resúmenes antiguos.</w:t>
      </w:r>
    </w:p>
    <w:bookmarkEnd w:id="1237"/>
    <w:bookmarkStart w:id="1238" w:name="capítulo-130-días-3190"/>
    <w:p>
      <w:pPr>
        <w:pStyle w:val="Heading2"/>
      </w:pPr>
      <w:r>
        <w:rPr>
          <w:rStyle w:val="SectionNumber"/>
        </w:rPr>
        <w:t xml:space="preserve">1.1192</w:t>
      </w:r>
      <w:r>
        <w:tab/>
      </w:r>
      <w:r>
        <w:t xml:space="preserve">Capítulo 130 — Días 31–90</w:t>
      </w:r>
    </w:p>
    <w:p>
      <w:pPr>
        <w:pStyle w:val="BlockText"/>
      </w:pPr>
      <w:r>
        <w:rPr>
          <w:bCs/>
          <w:b/>
        </w:rPr>
        <w:t xml:space="preserve">Estatus legal:</w:t>
      </w:r>
      <w:r>
        <w:t xml:space="preserve"> </w:t>
      </w:r>
      <w:r>
        <w:t xml:space="preserve">Corregido Maestro Inglés para la consolidación. Este capítulo es una hoja de ruta de implementación, no un calendario legal. Controla el conflicto anterior Capítulo 130 idioma.</w:t>
      </w:r>
    </w:p>
    <w:bookmarkEnd w:id="1238"/>
    <w:bookmarkStart w:id="1239" w:name="finalidad-8"/>
    <w:p>
      <w:pPr>
        <w:pStyle w:val="Heading2"/>
      </w:pPr>
      <w:r>
        <w:rPr>
          <w:rStyle w:val="SectionNumber"/>
        </w:rPr>
        <w:t xml:space="preserve">1.1193</w:t>
      </w:r>
      <w:r>
        <w:tab/>
      </w:r>
      <w:r>
        <w:t xml:space="preserve">Finalidad</w:t>
      </w:r>
    </w:p>
    <w:p>
      <w:pPr>
        <w:pStyle w:val="FirstParagraph"/>
      </w:pPr>
      <w:r>
        <w:t xml:space="preserve">En este capítulo se proporciona un plan de aplicación práctica para los días 31 a 90, pasando del control inicial y la triage a la gobernanza repetible, la evaluación oficial de riesgos, la rehabilitación con prioridades y la rendición de cuentas medible.</w:t>
      </w:r>
    </w:p>
    <w:bookmarkEnd w:id="1239"/>
    <w:bookmarkStart w:id="1240" w:name="requisito-128"/>
    <w:p>
      <w:pPr>
        <w:pStyle w:val="Heading2"/>
      </w:pPr>
      <w:r>
        <w:rPr>
          <w:rStyle w:val="SectionNumber"/>
        </w:rPr>
        <w:t xml:space="preserve">1.1194</w:t>
      </w:r>
      <w:r>
        <w:tab/>
      </w:r>
      <w:r>
        <w:t xml:space="preserve">Requisito</w:t>
      </w:r>
    </w:p>
    <w:p>
      <w:pPr>
        <w:pStyle w:val="FirstParagraph"/>
      </w:pPr>
      <w:r>
        <w:t xml:space="preserve">Las organizaciones deben utilizar los días 31 a 90 para convertir el triaje inicial de IA en gobernanza repetible, evaluación de riesgos, operación de control, rehabilitación, capacitación y reporte de gestión. La secuencia debe ajustarse a los roles legales de la organización, fechas efectivas aplicables, madurez de control existente y perfil de riesgo.</w:t>
      </w:r>
    </w:p>
    <w:bookmarkEnd w:id="1240"/>
    <w:bookmarkStart w:id="1241" w:name="explicación-en-lenguaje-sencillo-125"/>
    <w:p>
      <w:pPr>
        <w:pStyle w:val="Heading2"/>
      </w:pPr>
      <w:r>
        <w:rPr>
          <w:rStyle w:val="SectionNumber"/>
        </w:rPr>
        <w:t xml:space="preserve">1.1195</w:t>
      </w:r>
      <w:r>
        <w:tab/>
      </w:r>
      <w:r>
        <w:t xml:space="preserve">Explicación en lenguaje sencillo</w:t>
      </w:r>
    </w:p>
    <w:p>
      <w:pPr>
        <w:pStyle w:val="FirstParagraph"/>
      </w:pPr>
      <w:r>
        <w:t xml:space="preserve">La Ley de IA de la UE no requiere que las organizaciones completen estas actividades en un plazo de 90 días. La hoja de ruta es un método de implementación recomendado. Los deberes vinculantes surgen de la Ley, en su forma enmendada, y de otras leyes aplicables, no de este calendario interno.El segundo y tercer mes debe dejar de depender de hojas de cálculo únicas y decisiones informales mediante la incorporación de la ingesta, clasificación, revisión, aprobación, supervisión y escalada en operaciones comerciales normales.</w:t>
      </w:r>
    </w:p>
    <w:bookmarkEnd w:id="1241"/>
    <w:bookmarkStart w:id="1242" w:name="X922dec4061fa9e3a590a9f910aaba0f8b30bde5"/>
    <w:p>
      <w:pPr>
        <w:pStyle w:val="Heading2"/>
      </w:pPr>
      <w:r>
        <w:rPr>
          <w:rStyle w:val="SectionNumber"/>
        </w:rPr>
        <w:t xml:space="preserve">1.1196</w:t>
      </w:r>
      <w:r>
        <w:tab/>
      </w:r>
      <w:r>
        <w:t xml:space="preserve">Días 31–45: validar el alcance y la responsabilidad</w:t>
      </w:r>
    </w:p>
    <w:p>
      <w:pPr>
        <w:numPr>
          <w:ilvl w:val="0"/>
          <w:numId w:val="1376"/>
        </w:numPr>
        <w:pStyle w:val="Compact"/>
      </w:pPr>
      <w:r>
        <w:t xml:space="preserve">conciliar el inventario rápido con los registros de adquisiciones, nube, software, seguridad, datos, recursos humanos, finanzas y negocios;</w:t>
      </w:r>
    </w:p>
    <w:p>
      <w:pPr>
        <w:numPr>
          <w:ilvl w:val="0"/>
          <w:numId w:val="1376"/>
        </w:numPr>
        <w:pStyle w:val="Compact"/>
      </w:pPr>
      <w:r>
        <w:t xml:space="preserve">confirmar las personas jurídicas, los sistemas, las versiones, los fines previstos, los proveedores, las jurisdicciones y las poblaciones afectadas;</w:t>
      </w:r>
    </w:p>
    <w:p>
      <w:pPr>
        <w:numPr>
          <w:ilvl w:val="0"/>
          <w:numId w:val="1376"/>
        </w:numPr>
        <w:pStyle w:val="Compact"/>
      </w:pPr>
      <w:r>
        <w:t xml:space="preserve">asignar a los propietarios comerciales, técnicos, de riesgo, de datos, de privacidad, de seguridad y legales;</w:t>
      </w:r>
    </w:p>
    <w:p>
      <w:pPr>
        <w:numPr>
          <w:ilvl w:val="0"/>
          <w:numId w:val="1376"/>
        </w:numPr>
        <w:pStyle w:val="Compact"/>
      </w:pPr>
      <w:r>
        <w:t xml:space="preserve">el proveedor de documentos, el desplieguer, el importador, el distribuidor, el representante autorizado y, en su caso, el fabricante de productos;</w:t>
      </w:r>
    </w:p>
    <w:p>
      <w:pPr>
        <w:numPr>
          <w:ilvl w:val="0"/>
          <w:numId w:val="1376"/>
        </w:numPr>
        <w:pStyle w:val="Compact"/>
      </w:pPr>
      <w:r>
        <w:t xml:space="preserve">establecer certificados de inventario recurrentes y controles de la calidad de los datos;</w:t>
      </w:r>
    </w:p>
    <w:p>
      <w:pPr>
        <w:numPr>
          <w:ilvl w:val="0"/>
          <w:numId w:val="1376"/>
        </w:numPr>
        <w:pStyle w:val="Compact"/>
      </w:pPr>
      <w:r>
        <w:t xml:space="preserve">restringir, suspender o intensificar los sistemas indocumentados y sin propietario según el riesgo.</w:t>
      </w:r>
    </w:p>
    <w:bookmarkEnd w:id="1242"/>
    <w:bookmarkStart w:id="1243" w:name="días-4660-evaluar-y-clasificar"/>
    <w:p>
      <w:pPr>
        <w:pStyle w:val="Heading2"/>
      </w:pPr>
      <w:r>
        <w:rPr>
          <w:rStyle w:val="SectionNumber"/>
        </w:rPr>
        <w:t xml:space="preserve">1.1197</w:t>
      </w:r>
      <w:r>
        <w:tab/>
      </w:r>
      <w:r>
        <w:t xml:space="preserve">Días 46–60: evaluar y clasificar</w:t>
      </w:r>
    </w:p>
    <w:p>
      <w:pPr>
        <w:pStyle w:val="FirstParagraph"/>
      </w:pPr>
      <w:r>
        <w:t xml:space="preserve">Realizar evaluaciones proporcionadas que abarquen:</w:t>
      </w:r>
    </w:p>
    <w:p>
      <w:pPr>
        <w:numPr>
          <w:ilvl w:val="0"/>
          <w:numId w:val="1377"/>
        </w:numPr>
        <w:pStyle w:val="Compact"/>
      </w:pPr>
      <w:r>
        <w:t xml:space="preserve">la aplicabilidad de la Ley de IA de la UE y el papel de actor;</w:t>
      </w:r>
    </w:p>
    <w:p>
      <w:pPr>
        <w:numPr>
          <w:ilvl w:val="0"/>
          <w:numId w:val="1377"/>
        </w:numPr>
        <w:pStyle w:val="Compact"/>
      </w:pPr>
      <w:r>
        <w:t xml:space="preserve">la detección de prácticas prohibidas;</w:t>
      </w:r>
    </w:p>
    <w:p>
      <w:pPr>
        <w:numPr>
          <w:ilvl w:val="0"/>
          <w:numId w:val="1377"/>
        </w:numPr>
        <w:pStyle w:val="Compact"/>
      </w:pPr>
      <w:r>
        <w:t xml:space="preserve">clasificación de alto riesgo;</w:t>
      </w:r>
    </w:p>
    <w:p>
      <w:pPr>
        <w:numPr>
          <w:ilvl w:val="0"/>
          <w:numId w:val="1377"/>
        </w:numPr>
        <w:pStyle w:val="Compact"/>
      </w:pPr>
      <w:r>
        <w:t xml:space="preserve">las obligaciones de transparencia;</w:t>
      </w:r>
    </w:p>
    <w:p>
      <w:pPr>
        <w:numPr>
          <w:ilvl w:val="0"/>
          <w:numId w:val="1377"/>
        </w:numPr>
        <w:pStyle w:val="Compact"/>
      </w:pPr>
      <w:r>
        <w:t xml:space="preserve">Dependencias de la GPAI y necesidades de información posterior;</w:t>
      </w:r>
    </w:p>
    <w:p>
      <w:pPr>
        <w:numPr>
          <w:ilvl w:val="0"/>
          <w:numId w:val="1377"/>
        </w:numPr>
        <w:pStyle w:val="Compact"/>
      </w:pPr>
      <w:r>
        <w:t xml:space="preserve">los efectos sobre la intimidad y los derechos fundamentales;</w:t>
      </w:r>
    </w:p>
    <w:p>
      <w:pPr>
        <w:numPr>
          <w:ilvl w:val="0"/>
          <w:numId w:val="1377"/>
        </w:numPr>
        <w:pStyle w:val="Compact"/>
      </w:pPr>
      <w:r>
        <w:t xml:space="preserve">seguridad cibernética, resiliencia y riesgo operativo;</w:t>
      </w:r>
    </w:p>
    <w:p>
      <w:pPr>
        <w:numPr>
          <w:ilvl w:val="0"/>
          <w:numId w:val="1377"/>
        </w:numPr>
        <w:pStyle w:val="Compact"/>
      </w:pPr>
      <w:r>
        <w:t xml:space="preserve">supervisión humana;</w:t>
      </w:r>
    </w:p>
    <w:p>
      <w:pPr>
        <w:numPr>
          <w:ilvl w:val="0"/>
          <w:numId w:val="1377"/>
        </w:numPr>
        <w:pStyle w:val="Compact"/>
      </w:pPr>
      <w:r>
        <w:t xml:space="preserve">terceros, concentración y riesgo de salida;</w:t>
      </w:r>
    </w:p>
    <w:p>
      <w:pPr>
        <w:numPr>
          <w:ilvl w:val="0"/>
          <w:numId w:val="1377"/>
        </w:numPr>
        <w:pStyle w:val="Compact"/>
      </w:pPr>
      <w:r>
        <w:t xml:space="preserve">riesgo de modificación sustancial.</w:t>
      </w:r>
    </w:p>
    <w:p>
      <w:pPr>
        <w:pStyle w:val="FirstParagraph"/>
      </w:pPr>
      <w:r>
        <w:t xml:space="preserve">Registrar la incertidumbre y exigir un examen legal o especializado cualificado cuando se impugnen las conclusiones.</w:t>
      </w:r>
    </w:p>
    <w:bookmarkEnd w:id="1243"/>
    <w:bookmarkStart w:id="1244" w:name="X527574ae6f4837bc8013d6f04fbb00d760e5d74"/>
    <w:p>
      <w:pPr>
        <w:pStyle w:val="Heading2"/>
      </w:pPr>
      <w:r>
        <w:rPr>
          <w:rStyle w:val="SectionNumber"/>
        </w:rPr>
        <w:t xml:space="preserve">1.1198</w:t>
      </w:r>
      <w:r>
        <w:tab/>
      </w:r>
      <w:r>
        <w:t xml:space="preserve">Días 61–75: establecer controles de referencia</w:t>
      </w:r>
    </w:p>
    <w:p>
      <w:pPr>
        <w:pStyle w:val="FirstParagraph"/>
      </w:pPr>
      <w:r>
        <w:t xml:space="preserve">Aplicar y poner en práctica controles para:</w:t>
      </w:r>
    </w:p>
    <w:p>
      <w:pPr>
        <w:numPr>
          <w:ilvl w:val="0"/>
          <w:numId w:val="1378"/>
        </w:numPr>
        <w:pStyle w:val="Compact"/>
      </w:pPr>
      <w:r>
        <w:t xml:space="preserve">admisión y aprobación;</w:t>
      </w:r>
    </w:p>
    <w:p>
      <w:pPr>
        <w:numPr>
          <w:ilvl w:val="0"/>
          <w:numId w:val="1378"/>
        </w:numPr>
        <w:pStyle w:val="Compact"/>
      </w:pPr>
      <w:r>
        <w:t xml:space="preserve">inventario y propiedad;</w:t>
      </w:r>
    </w:p>
    <w:p>
      <w:pPr>
        <w:numPr>
          <w:ilvl w:val="0"/>
          <w:numId w:val="1378"/>
        </w:numPr>
        <w:pStyle w:val="Compact"/>
      </w:pPr>
      <w:r>
        <w:t xml:space="preserve">gobernanza de los datos;</w:t>
      </w:r>
    </w:p>
    <w:p>
      <w:pPr>
        <w:numPr>
          <w:ilvl w:val="0"/>
          <w:numId w:val="1378"/>
        </w:numPr>
        <w:pStyle w:val="Compact"/>
      </w:pPr>
      <w:r>
        <w:t xml:space="preserve">documentación técnica;</w:t>
      </w:r>
    </w:p>
    <w:p>
      <w:pPr>
        <w:numPr>
          <w:ilvl w:val="0"/>
          <w:numId w:val="1378"/>
        </w:numPr>
        <w:pStyle w:val="Compact"/>
      </w:pPr>
      <w:r>
        <w:t xml:space="preserve">validación y pruebas;</w:t>
      </w:r>
    </w:p>
    <w:p>
      <w:pPr>
        <w:numPr>
          <w:ilvl w:val="0"/>
          <w:numId w:val="1378"/>
        </w:numPr>
        <w:pStyle w:val="Compact"/>
      </w:pPr>
      <w:r>
        <w:t xml:space="preserve">los anuncios de transparencia;</w:t>
      </w:r>
    </w:p>
    <w:p>
      <w:pPr>
        <w:numPr>
          <w:ilvl w:val="0"/>
          <w:numId w:val="1378"/>
        </w:numPr>
        <w:pStyle w:val="Compact"/>
      </w:pPr>
      <w:r>
        <w:t xml:space="preserve">supervisión humana;</w:t>
      </w:r>
    </w:p>
    <w:p>
      <w:pPr>
        <w:numPr>
          <w:ilvl w:val="0"/>
          <w:numId w:val="1378"/>
        </w:numPr>
        <w:pStyle w:val="Compact"/>
      </w:pPr>
      <w:r>
        <w:t xml:space="preserve">la tala y el seguimiento;</w:t>
      </w:r>
    </w:p>
    <w:p>
      <w:pPr>
        <w:numPr>
          <w:ilvl w:val="0"/>
          <w:numId w:val="1378"/>
        </w:numPr>
        <w:pStyle w:val="Compact"/>
      </w:pPr>
      <w:r>
        <w:t xml:space="preserve">gestión de incidentes y reclamaciones;</w:t>
      </w:r>
    </w:p>
    <w:p>
      <w:pPr>
        <w:numPr>
          <w:ilvl w:val="0"/>
          <w:numId w:val="1378"/>
        </w:numPr>
        <w:pStyle w:val="Compact"/>
      </w:pPr>
      <w:r>
        <w:t xml:space="preserve">la debida diligencia y contratación del proveedor;</w:t>
      </w:r>
    </w:p>
    <w:p>
      <w:pPr>
        <w:numPr>
          <w:ilvl w:val="0"/>
          <w:numId w:val="1378"/>
        </w:numPr>
        <w:pStyle w:val="Compact"/>
      </w:pPr>
      <w:r>
        <w:t xml:space="preserve">gestión del cambio;</w:t>
      </w:r>
    </w:p>
    <w:p>
      <w:pPr>
        <w:numPr>
          <w:ilvl w:val="0"/>
          <w:numId w:val="1378"/>
        </w:numPr>
        <w:pStyle w:val="Compact"/>
      </w:pPr>
      <w:r>
        <w:t xml:space="preserve">retención de pruebas y retención legal;</w:t>
      </w:r>
    </w:p>
    <w:p>
      <w:pPr>
        <w:numPr>
          <w:ilvl w:val="0"/>
          <w:numId w:val="1378"/>
        </w:numPr>
        <w:pStyle w:val="Compact"/>
      </w:pPr>
      <w:r>
        <w:t xml:space="preserve">excepciones y aceptación del riesgo residual.</w:t>
      </w:r>
    </w:p>
    <w:p>
      <w:pPr>
        <w:pStyle w:val="FirstParagraph"/>
      </w:pPr>
      <w:r>
        <w:t xml:space="preserve">Integrar controles clave en los flujos de trabajo de adquisiciones, desarrollo, liberación, privacidad, seguridad, recursos humanos, gestión de registros y terceros.</w:t>
      </w:r>
    </w:p>
    <w:bookmarkEnd w:id="1244"/>
    <w:bookmarkStart w:id="1245" w:name="días-7690-tren-ensayo-e-informe"/>
    <w:p>
      <w:pPr>
        <w:pStyle w:val="Heading2"/>
      </w:pPr>
      <w:r>
        <w:rPr>
          <w:rStyle w:val="SectionNumber"/>
        </w:rPr>
        <w:t xml:space="preserve">1.1199</w:t>
      </w:r>
      <w:r>
        <w:tab/>
      </w:r>
      <w:r>
        <w:t xml:space="preserve">Días 76–90: tren, ensayo e informe</w:t>
      </w:r>
    </w:p>
    <w:p>
      <w:pPr>
        <w:numPr>
          <w:ilvl w:val="0"/>
          <w:numId w:val="1379"/>
        </w:numPr>
        <w:pStyle w:val="Compact"/>
      </w:pPr>
      <w:r>
        <w:t xml:space="preserve">poner en marcha actividades de alfabetización en materia de IA basadas en funciones;</w:t>
      </w:r>
    </w:p>
    <w:p>
      <w:pPr>
        <w:numPr>
          <w:ilvl w:val="0"/>
          <w:numId w:val="1379"/>
        </w:numPr>
        <w:pStyle w:val="Compact"/>
      </w:pPr>
      <w:r>
        <w:t xml:space="preserve">establecer indicadores clave de riesgo, control y cumplimiento;</w:t>
      </w:r>
    </w:p>
    <w:p>
      <w:pPr>
        <w:numPr>
          <w:ilvl w:val="0"/>
          <w:numId w:val="1379"/>
        </w:numPr>
        <w:pStyle w:val="Compact"/>
      </w:pPr>
      <w:r>
        <w:t xml:space="preserve">iniciar autoevaluaciones de control;</w:t>
      </w:r>
    </w:p>
    <w:p>
      <w:pPr>
        <w:numPr>
          <w:ilvl w:val="0"/>
          <w:numId w:val="1379"/>
        </w:numPr>
        <w:pStyle w:val="Compact"/>
      </w:pPr>
      <w:r>
        <w:t xml:space="preserve">identificar y priorizar las lagunas de evidencia;</w:t>
      </w:r>
    </w:p>
    <w:p>
      <w:pPr>
        <w:numPr>
          <w:ilvl w:val="0"/>
          <w:numId w:val="1379"/>
        </w:numPr>
        <w:pStyle w:val="Compact"/>
      </w:pPr>
      <w:r>
        <w:t xml:space="preserve">comprobar los controles seleccionados de alta prioridad;</w:t>
      </w:r>
    </w:p>
    <w:p>
      <w:pPr>
        <w:numPr>
          <w:ilvl w:val="0"/>
          <w:numId w:val="1379"/>
        </w:numPr>
        <w:pStyle w:val="Compact"/>
      </w:pPr>
      <w:r>
        <w:t xml:space="preserve">definir las normas de gravedad de los problemas y de rehabilitación;</w:t>
      </w:r>
    </w:p>
    <w:p>
      <w:pPr>
        <w:numPr>
          <w:ilvl w:val="0"/>
          <w:numId w:val="1379"/>
        </w:numPr>
        <w:pStyle w:val="Compact"/>
      </w:pPr>
      <w:r>
        <w:t xml:space="preserve">establecer tableros de mandos ejecutivos y de tablero;</w:t>
      </w:r>
    </w:p>
    <w:p>
      <w:pPr>
        <w:numPr>
          <w:ilvl w:val="0"/>
          <w:numId w:val="1379"/>
        </w:numPr>
        <w:pStyle w:val="Compact"/>
      </w:pPr>
      <w:r>
        <w:t xml:space="preserve">aprobar las necesidades de recursos, presupuesto y tecnología;</w:t>
      </w:r>
    </w:p>
    <w:p>
      <w:pPr>
        <w:numPr>
          <w:ilvl w:val="0"/>
          <w:numId w:val="1379"/>
        </w:numPr>
        <w:pStyle w:val="Compact"/>
      </w:pPr>
      <w:r>
        <w:t xml:space="preserve">confirmar el plan de aseguramiento de los meses 4-12.</w:t>
      </w:r>
    </w:p>
    <w:bookmarkEnd w:id="1245"/>
    <w:bookmarkStart w:id="1246" w:name="método-de-priorización"/>
    <w:p>
      <w:pPr>
        <w:pStyle w:val="Heading2"/>
      </w:pPr>
      <w:r>
        <w:rPr>
          <w:rStyle w:val="SectionNumber"/>
        </w:rPr>
        <w:t xml:space="preserve">1.1200</w:t>
      </w:r>
      <w:r>
        <w:tab/>
      </w:r>
      <w:r>
        <w:t xml:space="preserve">Método de priorización</w:t>
      </w:r>
    </w:p>
    <w:p>
      <w:pPr>
        <w:pStyle w:val="FirstParagraph"/>
      </w:pPr>
      <w:r>
        <w:t xml:space="preserve">Dar prioridad a la rehabilitación mediante:</w:t>
      </w:r>
    </w:p>
    <w:p>
      <w:pPr>
        <w:numPr>
          <w:ilvl w:val="0"/>
          <w:numId w:val="1380"/>
        </w:numPr>
        <w:pStyle w:val="Compact"/>
      </w:pPr>
      <w:r>
        <w:t xml:space="preserve">clasificación jurídica y fecha de entrada en vigor;</w:t>
      </w:r>
    </w:p>
    <w:p>
      <w:pPr>
        <w:numPr>
          <w:ilvl w:val="0"/>
          <w:numId w:val="1380"/>
        </w:numPr>
        <w:pStyle w:val="Compact"/>
      </w:pPr>
      <w:r>
        <w:t xml:space="preserve">posibles repercusiones en la seguridad o los derechos fundamentales;</w:t>
      </w:r>
    </w:p>
    <w:p>
      <w:pPr>
        <w:numPr>
          <w:ilvl w:val="0"/>
          <w:numId w:val="1380"/>
        </w:numPr>
        <w:pStyle w:val="Compact"/>
      </w:pPr>
      <w:r>
        <w:t xml:space="preserve">escala, sensibilidad y población afectada;</w:t>
      </w:r>
    </w:p>
    <w:p>
      <w:pPr>
        <w:numPr>
          <w:ilvl w:val="0"/>
          <w:numId w:val="1380"/>
        </w:numPr>
        <w:pStyle w:val="Compact"/>
      </w:pPr>
      <w:r>
        <w:t xml:space="preserve">controlar la debilidad y la calidad de las pruebas;</w:t>
      </w:r>
    </w:p>
    <w:p>
      <w:pPr>
        <w:numPr>
          <w:ilvl w:val="0"/>
          <w:numId w:val="1380"/>
        </w:numPr>
        <w:pStyle w:val="Compact"/>
      </w:pPr>
      <w:r>
        <w:t xml:space="preserve">incidentes, quejas o antecedentes de ejecución;</w:t>
      </w:r>
    </w:p>
    <w:p>
      <w:pPr>
        <w:numPr>
          <w:ilvl w:val="0"/>
          <w:numId w:val="1380"/>
        </w:numPr>
        <w:pStyle w:val="Compact"/>
      </w:pPr>
      <w:r>
        <w:t xml:space="preserve">velocidad de cambio del sistema;</w:t>
      </w:r>
    </w:p>
    <w:p>
      <w:pPr>
        <w:numPr>
          <w:ilvl w:val="0"/>
          <w:numId w:val="1380"/>
        </w:numPr>
        <w:pStyle w:val="Compact"/>
      </w:pPr>
      <w:r>
        <w:t xml:space="preserve">la dependencia del proveedor y de la concentración;</w:t>
      </w:r>
    </w:p>
    <w:p>
      <w:pPr>
        <w:numPr>
          <w:ilvl w:val="0"/>
          <w:numId w:val="1380"/>
        </w:numPr>
        <w:pStyle w:val="Compact"/>
      </w:pPr>
      <w:r>
        <w:t xml:space="preserve">facilidad de reducción inmediata del riesgo;</w:t>
      </w:r>
    </w:p>
    <w:p>
      <w:pPr>
        <w:numPr>
          <w:ilvl w:val="0"/>
          <w:numId w:val="1380"/>
        </w:numPr>
        <w:pStyle w:val="Compact"/>
      </w:pPr>
      <w:r>
        <w:t xml:space="preserve">factibilidad de restricción segura, suspensión o salida.</w:t>
      </w:r>
    </w:p>
    <w:bookmarkEnd w:id="1246"/>
    <w:bookmarkStart w:id="1247" w:name="X37491490be151bc323a222a4ed94fb860febdf1"/>
    <w:p>
      <w:pPr>
        <w:pStyle w:val="Heading2"/>
      </w:pPr>
      <w:r>
        <w:rPr>
          <w:rStyle w:val="SectionNumber"/>
        </w:rPr>
        <w:t xml:space="preserve">1.1201</w:t>
      </w:r>
      <w:r>
        <w:tab/>
      </w:r>
      <w:r>
        <w:t xml:space="preserve">Ejemplo de servicios de viajes de GlobalWay</w:t>
      </w:r>
    </w:p>
    <w:p>
      <w:pPr>
        <w:pStyle w:val="FirstParagraph"/>
      </w:pPr>
      <w:r>
        <w:t xml:space="preserve">Durante los días 31 a 90, GlobalWay valida su inventario de 42 sistemas e identifica cuatro funciones adicionales de IA integradas. Completa las evaluaciones de rol y riesgo para sistemas críticos, establece puertas de admisión y liberación, emite cláusulas de proveedores obligatorias, capacita a los propietarios de productos y supervisores consultores de viajes, e inicia informes ejecutivos mensuales.</w:t>
      </w:r>
    </w:p>
    <w:p>
      <w:pPr>
        <w:pStyle w:val="BodyText"/>
      </w:pPr>
      <w:r>
        <w:t xml:space="preserve">Su instrumento de contratación sigue siendo limitado hasta que se cierran las lagunas en materia de sesgo, supervisión, privacidad y documentación de los proveedores.</w:t>
      </w:r>
    </w:p>
    <w:bookmarkEnd w:id="1247"/>
    <w:bookmarkStart w:id="1248" w:name="actividad-de-control-122"/>
    <w:p>
      <w:pPr>
        <w:pStyle w:val="Heading2"/>
      </w:pPr>
      <w:r>
        <w:rPr>
          <w:rStyle w:val="SectionNumber"/>
        </w:rPr>
        <w:t xml:space="preserve">1.1202</w:t>
      </w:r>
      <w:r>
        <w:tab/>
      </w:r>
      <w:r>
        <w:t xml:space="preserve">Actividad de control</w:t>
      </w:r>
    </w:p>
    <w:p>
      <w:pPr>
        <w:pStyle w:val="FirstParagraph"/>
      </w:pPr>
      <w:r>
        <w:t xml:space="preserve">La dirección debe aprobar la hoja de ruta, asignar a los propietarios responsables, priorizar las obligaciones vinculantes y los riesgos materiales, documentar desviaciones del calendario e impedir que los hitos de la hoja de ruta se representen como plazos legales.</w:t>
      </w:r>
    </w:p>
    <w:bookmarkEnd w:id="1248"/>
    <w:bookmarkStart w:id="1249" w:name="pruebas-129"/>
    <w:p>
      <w:pPr>
        <w:pStyle w:val="Heading2"/>
      </w:pPr>
      <w:r>
        <w:rPr>
          <w:rStyle w:val="SectionNumber"/>
        </w:rPr>
        <w:t xml:space="preserve">1.1203</w:t>
      </w:r>
      <w:r>
        <w:tab/>
      </w:r>
      <w:r>
        <w:t xml:space="preserve">Pruebas</w:t>
      </w:r>
    </w:p>
    <w:p>
      <w:pPr>
        <w:numPr>
          <w:ilvl w:val="0"/>
          <w:numId w:val="1381"/>
        </w:numPr>
        <w:pStyle w:val="Compact"/>
      </w:pPr>
      <w:r>
        <w:t xml:space="preserve">los registros validados de inventario y propiedad;</w:t>
      </w:r>
    </w:p>
    <w:p>
      <w:pPr>
        <w:numPr>
          <w:ilvl w:val="0"/>
          <w:numId w:val="1381"/>
        </w:numPr>
        <w:pStyle w:val="Compact"/>
      </w:pPr>
      <w:r>
        <w:t xml:space="preserve">la función, la aplicabilidad y las evaluaciones de clasificación;</w:t>
      </w:r>
    </w:p>
    <w:p>
      <w:pPr>
        <w:numPr>
          <w:ilvl w:val="0"/>
          <w:numId w:val="1381"/>
        </w:numPr>
        <w:pStyle w:val="Compact"/>
      </w:pPr>
      <w:r>
        <w:t xml:space="preserve">biblioteca de control y superposiciones;</w:t>
      </w:r>
    </w:p>
    <w:p>
      <w:pPr>
        <w:numPr>
          <w:ilvl w:val="0"/>
          <w:numId w:val="1381"/>
        </w:numPr>
        <w:pStyle w:val="Compact"/>
      </w:pPr>
      <w:r>
        <w:t xml:space="preserve">procedimientos aprobados y puertas de flujo de trabajo;</w:t>
      </w:r>
    </w:p>
    <w:p>
      <w:pPr>
        <w:numPr>
          <w:ilvl w:val="0"/>
          <w:numId w:val="1381"/>
        </w:numPr>
        <w:pStyle w:val="Compact"/>
      </w:pPr>
      <w:r>
        <w:t xml:space="preserve">la diligencia debida del proveedor y los expedientes de contratación;</w:t>
      </w:r>
    </w:p>
    <w:p>
      <w:pPr>
        <w:numPr>
          <w:ilvl w:val="0"/>
          <w:numId w:val="1381"/>
        </w:numPr>
        <w:pStyle w:val="Compact"/>
      </w:pPr>
      <w:r>
        <w:t xml:space="preserve">los registros de formación y competencia;</w:t>
      </w:r>
    </w:p>
    <w:p>
      <w:pPr>
        <w:numPr>
          <w:ilvl w:val="0"/>
          <w:numId w:val="1381"/>
        </w:numPr>
        <w:pStyle w:val="Compact"/>
      </w:pPr>
      <w:r>
        <w:t xml:space="preserve">controlar las autoevaluaciones y los resultados de los ensayos;</w:t>
      </w:r>
    </w:p>
    <w:p>
      <w:pPr>
        <w:numPr>
          <w:ilvl w:val="0"/>
          <w:numId w:val="1381"/>
        </w:numPr>
        <w:pStyle w:val="Compact"/>
      </w:pPr>
      <w:r>
        <w:t xml:space="preserve">el registro de emisión y rehabilitación;</w:t>
      </w:r>
    </w:p>
    <w:p>
      <w:pPr>
        <w:numPr>
          <w:ilvl w:val="0"/>
          <w:numId w:val="1381"/>
        </w:numPr>
        <w:pStyle w:val="Compact"/>
      </w:pPr>
      <w:r>
        <w:t xml:space="preserve">los tableros de mando y las actas de gobernanza;</w:t>
      </w:r>
    </w:p>
    <w:p>
      <w:pPr>
        <w:numPr>
          <w:ilvl w:val="0"/>
          <w:numId w:val="1381"/>
        </w:numPr>
        <w:pStyle w:val="Compact"/>
      </w:pPr>
      <w:r>
        <w:t xml:space="preserve">garantía y plan de recursos aprobados.</w:t>
      </w:r>
    </w:p>
    <w:bookmarkEnd w:id="1249"/>
    <w:bookmarkStart w:id="1250" w:name="prueba-de-auditoría-123"/>
    <w:p>
      <w:pPr>
        <w:pStyle w:val="Heading2"/>
      </w:pPr>
      <w:r>
        <w:rPr>
          <w:rStyle w:val="SectionNumber"/>
        </w:rPr>
        <w:t xml:space="preserve">1.1204</w:t>
      </w:r>
      <w:r>
        <w:tab/>
      </w:r>
      <w:r>
        <w:t xml:space="preserve">Prueba de auditoría</w:t>
      </w:r>
    </w:p>
    <w:p>
      <w:pPr>
        <w:pStyle w:val="FirstParagraph"/>
      </w:pPr>
      <w:r>
        <w:t xml:space="preserve">Confirmar que la organización distinguió los plazos reglamentarios de los hitos internos, validó la integridad del inventario, apoyó la adopción de decisiones en materia de funciones y clasificación, incorporó controles en los flujos de trabajo reales, capacitó al personal pertinente, trazó las métricas de los tableros de datos a datos de origen fiables y asignó una reparación responsable de las deficiencias materiales.</w:t>
      </w:r>
    </w:p>
    <w:bookmarkEnd w:id="1250"/>
    <w:bookmarkStart w:id="1251" w:name="métricas-6"/>
    <w:p>
      <w:pPr>
        <w:pStyle w:val="Heading2"/>
      </w:pPr>
      <w:r>
        <w:rPr>
          <w:rStyle w:val="SectionNumber"/>
        </w:rPr>
        <w:t xml:space="preserve">1.1205</w:t>
      </w:r>
      <w:r>
        <w:tab/>
      </w:r>
      <w:r>
        <w:t xml:space="preserve">Métricas</w:t>
      </w:r>
    </w:p>
    <w:p>
      <w:pPr>
        <w:numPr>
          <w:ilvl w:val="0"/>
          <w:numId w:val="1382"/>
        </w:numPr>
        <w:pStyle w:val="Compact"/>
      </w:pPr>
      <w:r>
        <w:t xml:space="preserve">tasa de validación del inventario;</w:t>
      </w:r>
    </w:p>
    <w:p>
      <w:pPr>
        <w:numPr>
          <w:ilvl w:val="0"/>
          <w:numId w:val="1382"/>
        </w:numPr>
        <w:pStyle w:val="Compact"/>
      </w:pPr>
      <w:r>
        <w:t xml:space="preserve">sistemas con evaluaciones de funciones y clasificación completadas;</w:t>
      </w:r>
    </w:p>
    <w:p>
      <w:pPr>
        <w:numPr>
          <w:ilvl w:val="0"/>
          <w:numId w:val="1382"/>
        </w:numPr>
        <w:pStyle w:val="Compact"/>
      </w:pPr>
      <w:r>
        <w:t xml:space="preserve">sistemas críticos con controles cartográficos;</w:t>
      </w:r>
    </w:p>
    <w:p>
      <w:pPr>
        <w:numPr>
          <w:ilvl w:val="0"/>
          <w:numId w:val="1382"/>
        </w:numPr>
        <w:pStyle w:val="Compact"/>
      </w:pPr>
      <w:r>
        <w:t xml:space="preserve">cuotas atrasadas;</w:t>
      </w:r>
    </w:p>
    <w:p>
      <w:pPr>
        <w:numPr>
          <w:ilvl w:val="0"/>
          <w:numId w:val="1382"/>
        </w:numPr>
        <w:pStyle w:val="Compact"/>
      </w:pPr>
      <w:r>
        <w:t xml:space="preserve">sistemas que carezcan de las pruebas necesarias;</w:t>
      </w:r>
    </w:p>
    <w:p>
      <w:pPr>
        <w:numPr>
          <w:ilvl w:val="0"/>
          <w:numId w:val="1382"/>
        </w:numPr>
        <w:pStyle w:val="Compact"/>
      </w:pPr>
      <w:r>
        <w:t xml:space="preserve">la formación completa por función;</w:t>
      </w:r>
    </w:p>
    <w:p>
      <w:pPr>
        <w:numPr>
          <w:ilvl w:val="0"/>
          <w:numId w:val="1382"/>
        </w:numPr>
        <w:pStyle w:val="Compact"/>
      </w:pPr>
      <w:r>
        <w:t xml:space="preserve">deficiencias de alta gravedad;</w:t>
      </w:r>
    </w:p>
    <w:p>
      <w:pPr>
        <w:numPr>
          <w:ilvl w:val="0"/>
          <w:numId w:val="1382"/>
        </w:numPr>
        <w:pStyle w:val="Compact"/>
      </w:pPr>
      <w:r>
        <w:t xml:space="preserve">el retraso en la rehabilitación;</w:t>
      </w:r>
    </w:p>
    <w:p>
      <w:pPr>
        <w:numPr>
          <w:ilvl w:val="0"/>
          <w:numId w:val="1382"/>
        </w:numPr>
        <w:pStyle w:val="Compact"/>
      </w:pPr>
      <w:r>
        <w:t xml:space="preserve">los contratos de proveedores que falten las cláusulas exigidas;</w:t>
      </w:r>
    </w:p>
    <w:p>
      <w:pPr>
        <w:numPr>
          <w:ilvl w:val="0"/>
          <w:numId w:val="1382"/>
        </w:numPr>
        <w:pStyle w:val="Compact"/>
      </w:pPr>
      <w:r>
        <w:t xml:space="preserve">tasa de aprobación de control-prueba.</w:t>
      </w:r>
    </w:p>
    <w:bookmarkEnd w:id="1251"/>
    <w:bookmarkStart w:id="1252" w:name="lista-de-verificación-de-gestión-8"/>
    <w:p>
      <w:pPr>
        <w:pStyle w:val="Heading2"/>
      </w:pPr>
      <w:r>
        <w:rPr>
          <w:rStyle w:val="SectionNumber"/>
        </w:rPr>
        <w:t xml:space="preserve">1.1206</w:t>
      </w:r>
      <w:r>
        <w:tab/>
      </w:r>
      <w:r>
        <w:t xml:space="preserve">Lista de verificación de gestión</w:t>
      </w:r>
    </w:p>
    <w:p>
      <w:pPr>
        <w:numPr>
          <w:ilvl w:val="0"/>
          <w:numId w:val="1383"/>
        </w:numPr>
        <w:pStyle w:val="Compact"/>
      </w:pPr>
      <w:r>
        <w:t xml:space="preserve">¿Está el inventario lo suficientemente completo como para tomar decisiones legales y de riesgo?</w:t>
      </w:r>
    </w:p>
    <w:p>
      <w:pPr>
        <w:numPr>
          <w:ilvl w:val="0"/>
          <w:numId w:val="1383"/>
        </w:numPr>
        <w:pStyle w:val="Compact"/>
      </w:pPr>
      <w:r>
        <w:t xml:space="preserve">¿Se aprueban las decisiones de clasificación de actores y riesgos?</w:t>
      </w:r>
    </w:p>
    <w:p>
      <w:pPr>
        <w:numPr>
          <w:ilvl w:val="0"/>
          <w:numId w:val="1383"/>
        </w:numPr>
        <w:pStyle w:val="Compact"/>
      </w:pPr>
      <w:r>
        <w:t xml:space="preserve">¿Los controles del ciclo de vida funcionan en flujos de trabajo reales?</w:t>
      </w:r>
    </w:p>
    <w:p>
      <w:pPr>
        <w:numPr>
          <w:ilvl w:val="0"/>
          <w:numId w:val="1383"/>
        </w:numPr>
        <w:pStyle w:val="Compact"/>
      </w:pPr>
      <w:r>
        <w:t xml:space="preserve">¿Se capacita al personal pertinente para asumir sus responsabilidades?</w:t>
      </w:r>
    </w:p>
    <w:p>
      <w:pPr>
        <w:numPr>
          <w:ilvl w:val="0"/>
          <w:numId w:val="1383"/>
        </w:numPr>
        <w:pStyle w:val="Compact"/>
      </w:pPr>
      <w:r>
        <w:t xml:space="preserve">¿Puede la administración ver las lagunas materiales, la incertidumbre y las acciones pendientes?</w:t>
      </w:r>
    </w:p>
    <w:p>
      <w:pPr>
        <w:numPr>
          <w:ilvl w:val="0"/>
          <w:numId w:val="1383"/>
        </w:numPr>
        <w:pStyle w:val="Compact"/>
      </w:pPr>
      <w:r>
        <w:t xml:space="preserve">¿La próxima fase de garantía está financiada, poseída y programada?</w:t>
      </w:r>
    </w:p>
    <w:p>
      <w:pPr>
        <w:numPr>
          <w:ilvl w:val="0"/>
          <w:numId w:val="1383"/>
        </w:numPr>
        <w:pStyle w:val="Compact"/>
      </w:pPr>
      <w:r>
        <w:t xml:space="preserve">¿Las fechas de la hoja de ruta interna están claramente separadas de los plazos legales?</w:t>
      </w:r>
    </w:p>
    <w:bookmarkEnd w:id="1252"/>
    <w:bookmarkStart w:id="1253" w:name="Xeda704b38c6c00cca7289d2ae08e7f2feaac2bf"/>
    <w:p>
      <w:pPr>
        <w:pStyle w:val="Heading2"/>
      </w:pPr>
      <w:r>
        <w:rPr>
          <w:rStyle w:val="SectionNumber"/>
        </w:rPr>
        <w:t xml:space="preserve">1.1207</w:t>
      </w:r>
      <w:r>
        <w:tab/>
      </w:r>
      <w:r>
        <w:t xml:space="preserve">Especificación de la figura — Días 31–90 Construcción del modelo operativo</w:t>
      </w:r>
    </w:p>
    <w:p>
      <w:pPr>
        <w:pStyle w:val="FirstParagraph"/>
      </w:pPr>
      <w:r>
        <w:t xml:space="preserve">Cree una hoja de ruta de tres etapas que muestre validar y asignar, evaluar y clasificar, luego implementar, entrenar, probar e informar. Conecte inventario, biblioteca de control, integración de flujo de trabajo, rehabilitación y supervisión ejecutiva.</w:t>
      </w:r>
    </w:p>
    <w:p>
      <w:pPr>
        <w:pStyle w:val="BodyText"/>
      </w:pPr>
      <w:r>
        <w:rPr>
          <w:bCs/>
          <w:b/>
        </w:rPr>
        <w:t xml:space="preserve">Texto Alt:</w:t>
      </w:r>
      <w:r>
        <w:t xml:space="preserve"> </w:t>
      </w:r>
      <w:r>
        <w:t xml:space="preserve">Días 31–90 Hoja de ruta de implementación de IA que avanza desde el inventario validado y la rendición de cuentas a través de la clasificación, implementación de control, capacitación, pruebas, remediación e informes ejecutivos.</w:t>
      </w:r>
    </w:p>
    <w:bookmarkEnd w:id="1253"/>
    <w:bookmarkStart w:id="1254" w:name="referencias-jurídicas-primarias-98"/>
    <w:p>
      <w:pPr>
        <w:pStyle w:val="Heading2"/>
      </w:pPr>
      <w:r>
        <w:rPr>
          <w:rStyle w:val="SectionNumber"/>
        </w:rPr>
        <w:t xml:space="preserve">1.1208</w:t>
      </w:r>
      <w:r>
        <w:tab/>
      </w:r>
      <w:r>
        <w:t xml:space="preserve">Referencias jurídicas primarias</w:t>
      </w:r>
    </w:p>
    <w:p>
      <w:pPr>
        <w:numPr>
          <w:ilvl w:val="0"/>
          <w:numId w:val="1384"/>
        </w:numPr>
        <w:pStyle w:val="Compact"/>
      </w:pPr>
      <w:r>
        <w:t xml:space="preserve">Reglamento (UE) 2024/1689, modificado por el Reglamento (UE) 2026/1744, en su caso.</w:t>
      </w:r>
    </w:p>
    <w:p>
      <w:pPr>
        <w:numPr>
          <w:ilvl w:val="0"/>
          <w:numId w:val="1384"/>
        </w:numPr>
        <w:pStyle w:val="Compact"/>
      </w:pPr>
      <w:r>
        <w:t xml:space="preserve">Fechas efectivas aplicables, disposiciones transitorias, obligaciones de los agentes y control de la legislación sectorial sobre esta hoja de ruta recomendada.</w:t>
      </w:r>
    </w:p>
    <w:p>
      <w:pPr>
        <w:numPr>
          <w:ilvl w:val="0"/>
          <w:numId w:val="1384"/>
        </w:numPr>
        <w:pStyle w:val="Compact"/>
      </w:pPr>
      <w:r>
        <w:t xml:space="preserve">Los textos oficiales consolidados actuales controlan los resúmenes antiguos.</w:t>
      </w:r>
    </w:p>
    <w:bookmarkEnd w:id="1254"/>
    <w:bookmarkStart w:id="1255" w:name="capítulo-131-meses-4-6"/>
    <w:p>
      <w:pPr>
        <w:pStyle w:val="Heading2"/>
      </w:pPr>
      <w:r>
        <w:rPr>
          <w:rStyle w:val="SectionNumber"/>
        </w:rPr>
        <w:t xml:space="preserve">1.1209</w:t>
      </w:r>
      <w:r>
        <w:tab/>
      </w:r>
      <w:r>
        <w:t xml:space="preserve">Capítulo 131 — Meses 4-6</w:t>
      </w:r>
    </w:p>
    <w:p>
      <w:pPr>
        <w:pStyle w:val="BlockText"/>
      </w:pPr>
      <w:r>
        <w:rPr>
          <w:bCs/>
          <w:b/>
        </w:rPr>
        <w:t xml:space="preserve">Estatus legal:</w:t>
      </w:r>
      <w:r>
        <w:t xml:space="preserve"> </w:t>
      </w:r>
      <w:r>
        <w:t xml:space="preserve">Corregido Inglés maestro para la consolidación. Este capítulo es una hoja de ruta de implementación recomendada, no un calendario legal. Controla el conflicto anterior Capítulo 131 idioma.</w:t>
      </w:r>
    </w:p>
    <w:bookmarkEnd w:id="1255"/>
    <w:bookmarkStart w:id="1256" w:name="finalidad-9"/>
    <w:p>
      <w:pPr>
        <w:pStyle w:val="Heading2"/>
      </w:pPr>
      <w:r>
        <w:rPr>
          <w:rStyle w:val="SectionNumber"/>
        </w:rPr>
        <w:t xml:space="preserve">1.1210</w:t>
      </w:r>
      <w:r>
        <w:tab/>
      </w:r>
      <w:r>
        <w:t xml:space="preserve">Finalidad</w:t>
      </w:r>
    </w:p>
    <w:p>
      <w:pPr>
        <w:pStyle w:val="FirstParagraph"/>
      </w:pPr>
      <w:r>
        <w:t xml:space="preserve">Este capítulo proporciona un plan de implementación práctica para los meses 4 a 6, haciendo hincapié en la estabilidad del modelo operativo, la madurez del control a nivel del sistema, la validación técnica, la calidad de la evidencia, la rehabilitación, la gobernanza de los proveedores y el desafío independiente.</w:t>
      </w:r>
    </w:p>
    <w:p>
      <w:pPr>
        <w:pStyle w:val="BodyText"/>
      </w:pPr>
      <w:r>
        <w:t xml:space="preserve">AI puede apoyar la toma de decisiones humanas, pero no debe eliminar la responsabilidad humana, el juicio o la rendición de cuentas.</w:t>
      </w:r>
    </w:p>
    <w:bookmarkEnd w:id="1256"/>
    <w:bookmarkStart w:id="1257" w:name="requisito-129"/>
    <w:p>
      <w:pPr>
        <w:pStyle w:val="Heading2"/>
      </w:pPr>
      <w:r>
        <w:rPr>
          <w:rStyle w:val="SectionNumber"/>
        </w:rPr>
        <w:t xml:space="preserve">1.1211</w:t>
      </w:r>
      <w:r>
        <w:tab/>
      </w:r>
      <w:r>
        <w:t xml:space="preserve">Requisito</w:t>
      </w:r>
    </w:p>
    <w:p>
      <w:pPr>
        <w:pStyle w:val="FirstParagraph"/>
      </w:pPr>
      <w:r>
        <w:t xml:space="preserve">Las organizaciones deben utilizar los meses 4 a 6 para estabilizar el modelo operativo de gobernanza de la IA, cerrar las lagunas de alta prioridad, ampliar la garantía, mejorar la calidad de las pruebas y preparar los sistemas afectados para las obligaciones legales, de registro, notificación, supervisión y conformidad aplicables.</w:t>
      </w:r>
    </w:p>
    <w:p>
      <w:pPr>
        <w:pStyle w:val="BodyText"/>
      </w:pPr>
      <w:r>
        <w:t xml:space="preserve">La Ley de IA de la UE no requiere la realización de estas actividades en un plazo de seis meses. Los deberes vinculantes surgen de las funciones reguladas reales de la organización, las clasificaciones de sistemas, los fines previstos, las fechas de aplicación y otras leyes aplicables, no de este calendario interno.</w:t>
      </w:r>
    </w:p>
    <w:bookmarkEnd w:id="1257"/>
    <w:bookmarkStart w:id="1258" w:name="explicación-en-lenguaje-sencillo-126"/>
    <w:p>
      <w:pPr>
        <w:pStyle w:val="Heading2"/>
      </w:pPr>
      <w:r>
        <w:rPr>
          <w:rStyle w:val="SectionNumber"/>
        </w:rPr>
        <w:t xml:space="preserve">1.1212</w:t>
      </w:r>
      <w:r>
        <w:tab/>
      </w:r>
      <w:r>
        <w:t xml:space="preserve">Explicación en lenguaje sencillo</w:t>
      </w:r>
    </w:p>
    <w:p>
      <w:pPr>
        <w:pStyle w:val="FirstParagraph"/>
      </w:pPr>
      <w:r>
        <w:t xml:space="preserve">Esta fase desplaza el programa de la implementación inicial a la operación repetible. Las políticas, inventarios, clasificaciones y diseños de control ahora deben ser probados contra sistemas reales, liberaciones, incidentes, proveedores y decisiones comerciales. Los controles débiles deben ser corregidos antes de que se normalicen.</w:t>
      </w:r>
    </w:p>
    <w:p>
      <w:pPr>
        <w:pStyle w:val="BodyText"/>
      </w:pPr>
      <w:r>
        <w:t xml:space="preserve">Los hitos internos deben permanecer alineados con las funciones legales reales de la organización, las fechas efectivas aplicables, las obligaciones sectoriales y las pruebas de preparación operacional.</w:t>
      </w:r>
    </w:p>
    <w:bookmarkEnd w:id="1258"/>
    <w:bookmarkStart w:id="1259" w:name="X69e489402105844a152b98bc7b3511d6d613227"/>
    <w:p>
      <w:pPr>
        <w:pStyle w:val="Heading2"/>
      </w:pPr>
      <w:r>
        <w:rPr>
          <w:rStyle w:val="SectionNumber"/>
        </w:rPr>
        <w:t xml:space="preserve">1.1213</w:t>
      </w:r>
      <w:r>
        <w:tab/>
      </w:r>
      <w:r>
        <w:t xml:space="preserve">Mes 4: Profundizar la aplicación a nivel del sistema</w:t>
      </w:r>
    </w:p>
    <w:p>
      <w:pPr>
        <w:pStyle w:val="FirstParagraph"/>
      </w:pPr>
      <w:r>
        <w:t xml:space="preserve">Para los sistemas prioritarios:</w:t>
      </w:r>
    </w:p>
    <w:p>
      <w:pPr>
        <w:numPr>
          <w:ilvl w:val="0"/>
          <w:numId w:val="1385"/>
        </w:numPr>
        <w:pStyle w:val="Compact"/>
      </w:pPr>
      <w:r>
        <w:t xml:space="preserve">finalizar el propósito previsto, el uso indebido previsible y las restricciones de uso;</w:t>
      </w:r>
    </w:p>
    <w:p>
      <w:pPr>
        <w:numPr>
          <w:ilvl w:val="0"/>
          <w:numId w:val="1385"/>
        </w:numPr>
        <w:pStyle w:val="Compact"/>
      </w:pPr>
      <w:r>
        <w:t xml:space="preserve">la plena aplicabilidad, función, clasificación, riesgo, privacidad, seguridad y evaluación de los derechos fundamentales;</w:t>
      </w:r>
    </w:p>
    <w:p>
      <w:pPr>
        <w:numPr>
          <w:ilvl w:val="0"/>
          <w:numId w:val="1385"/>
        </w:numPr>
        <w:pStyle w:val="Compact"/>
      </w:pPr>
      <w:r>
        <w:t xml:space="preserve">cartografiar las obligaciones vinculantes y los requisitos internos de los controles;</w:t>
      </w:r>
    </w:p>
    <w:p>
      <w:pPr>
        <w:numPr>
          <w:ilvl w:val="0"/>
          <w:numId w:val="1385"/>
        </w:numPr>
        <w:pStyle w:val="Compact"/>
      </w:pPr>
      <w:r>
        <w:t xml:space="preserve">Índices completos de documentación técnica e pruebas;</w:t>
      </w:r>
    </w:p>
    <w:p>
      <w:pPr>
        <w:numPr>
          <w:ilvl w:val="0"/>
          <w:numId w:val="1385"/>
        </w:numPr>
        <w:pStyle w:val="Compact"/>
      </w:pPr>
      <w:r>
        <w:t xml:space="preserve">definir y probar los procedimientos de supervisión humana;</w:t>
      </w:r>
    </w:p>
    <w:p>
      <w:pPr>
        <w:numPr>
          <w:ilvl w:val="0"/>
          <w:numId w:val="1385"/>
        </w:numPr>
        <w:pStyle w:val="Compact"/>
      </w:pPr>
      <w:r>
        <w:t xml:space="preserve">establecer registros, seguimiento, seguimiento posterior a la comercialización y, cuando proceda, desencadenantes de incidentes;</w:t>
      </w:r>
    </w:p>
    <w:p>
      <w:pPr>
        <w:numPr>
          <w:ilvl w:val="0"/>
          <w:numId w:val="1385"/>
        </w:numPr>
        <w:pStyle w:val="Compact"/>
      </w:pPr>
      <w:r>
        <w:t xml:space="preserve">confirmar las pruebas del proveedor, los derechos de auditoría, la notificación de cambios, la preservación y las disposiciones de salida;</w:t>
      </w:r>
    </w:p>
    <w:p>
      <w:pPr>
        <w:numPr>
          <w:ilvl w:val="0"/>
          <w:numId w:val="1385"/>
        </w:numPr>
        <w:pStyle w:val="Compact"/>
      </w:pPr>
      <w:r>
        <w:t xml:space="preserve">documentar el riesgo residual, los controles compensatorios, la autoridad de homologación y las fechas de revisión;</w:t>
      </w:r>
    </w:p>
    <w:p>
      <w:pPr>
        <w:numPr>
          <w:ilvl w:val="0"/>
          <w:numId w:val="1385"/>
        </w:numPr>
        <w:pStyle w:val="Compact"/>
      </w:pPr>
      <w:r>
        <w:t xml:space="preserve">formalizar la gestión del cambio y la revisión de la modificación sustancial.</w:t>
      </w:r>
    </w:p>
    <w:bookmarkEnd w:id="1259"/>
    <w:bookmarkStart w:id="1260" w:name="mes-5-validación-y-prueba"/>
    <w:p>
      <w:pPr>
        <w:pStyle w:val="Heading2"/>
      </w:pPr>
      <w:r>
        <w:rPr>
          <w:rStyle w:val="SectionNumber"/>
        </w:rPr>
        <w:t xml:space="preserve">1.1214</w:t>
      </w:r>
      <w:r>
        <w:tab/>
      </w:r>
      <w:r>
        <w:t xml:space="preserve">Mes 5: validación y prueba</w:t>
      </w:r>
    </w:p>
    <w:p>
      <w:pPr>
        <w:pStyle w:val="FirstParagraph"/>
      </w:pPr>
      <w:r>
        <w:t xml:space="preserve">Realizar pruebas proporcionadas de:</w:t>
      </w:r>
    </w:p>
    <w:p>
      <w:pPr>
        <w:numPr>
          <w:ilvl w:val="0"/>
          <w:numId w:val="1386"/>
        </w:numPr>
        <w:pStyle w:val="Compact"/>
      </w:pPr>
      <w:r>
        <w:t xml:space="preserve">diseño de control y eficacia de funcionamiento;</w:t>
      </w:r>
    </w:p>
    <w:p>
      <w:pPr>
        <w:numPr>
          <w:ilvl w:val="0"/>
          <w:numId w:val="1386"/>
        </w:numPr>
        <w:pStyle w:val="Compact"/>
      </w:pPr>
      <w:r>
        <w:t xml:space="preserve">exactitud, tasas de error y criterios de aceptación;</w:t>
      </w:r>
    </w:p>
    <w:p>
      <w:pPr>
        <w:numPr>
          <w:ilvl w:val="0"/>
          <w:numId w:val="1386"/>
        </w:numPr>
        <w:pStyle w:val="Compact"/>
      </w:pPr>
      <w:r>
        <w:t xml:space="preserve">el comportamiento de los subgrupos, el riesgo de discriminación y los controles de los sesgos;</w:t>
      </w:r>
    </w:p>
    <w:p>
      <w:pPr>
        <w:numPr>
          <w:ilvl w:val="0"/>
          <w:numId w:val="1386"/>
        </w:numPr>
        <w:pStyle w:val="Compact"/>
      </w:pPr>
      <w:r>
        <w:t xml:space="preserve">robustez, ciberseguridad, resiliencia y resistencia al mal uso;</w:t>
      </w:r>
    </w:p>
    <w:p>
      <w:pPr>
        <w:numPr>
          <w:ilvl w:val="0"/>
          <w:numId w:val="1386"/>
        </w:numPr>
        <w:pStyle w:val="Compact"/>
      </w:pPr>
      <w:r>
        <w:t xml:space="preserve">hipótesis de inyección rápida y uso indebido de instrumentos agentes cuando proceda;</w:t>
      </w:r>
    </w:p>
    <w:p>
      <w:pPr>
        <w:numPr>
          <w:ilvl w:val="0"/>
          <w:numId w:val="1386"/>
        </w:numPr>
        <w:pStyle w:val="Compact"/>
      </w:pPr>
      <w:r>
        <w:t xml:space="preserve">los avisos de transparencia y las comunicaciones entre las personas afectadas;</w:t>
      </w:r>
    </w:p>
    <w:p>
      <w:pPr>
        <w:numPr>
          <w:ilvl w:val="0"/>
          <w:numId w:val="1386"/>
        </w:numPr>
        <w:pStyle w:val="Compact"/>
      </w:pPr>
      <w:r>
        <w:t xml:space="preserve">eficacia de la revisión humana, autoridad de intervención, anulación y mecanismos de detención;</w:t>
      </w:r>
    </w:p>
    <w:p>
      <w:pPr>
        <w:numPr>
          <w:ilvl w:val="0"/>
          <w:numId w:val="1386"/>
        </w:numPr>
        <w:pStyle w:val="Compact"/>
      </w:pPr>
      <w:r>
        <w:t xml:space="preserve">procedimientos de retroceso, suspensión, retroceso, recuperación y continuidad;</w:t>
      </w:r>
    </w:p>
    <w:p>
      <w:pPr>
        <w:numPr>
          <w:ilvl w:val="0"/>
          <w:numId w:val="1386"/>
        </w:numPr>
        <w:pStyle w:val="Compact"/>
      </w:pPr>
      <w:r>
        <w:t xml:space="preserve">calidad de los datos, procedencia, linaje, pertinencia y representatividad;</w:t>
      </w:r>
    </w:p>
    <w:p>
      <w:pPr>
        <w:numPr>
          <w:ilvl w:val="0"/>
          <w:numId w:val="1386"/>
        </w:numPr>
        <w:pStyle w:val="Compact"/>
      </w:pPr>
      <w:r>
        <w:t xml:space="preserve">documentación, registro, pruebas completas, integridad y reproducibilidad;</w:t>
      </w:r>
    </w:p>
    <w:p>
      <w:pPr>
        <w:numPr>
          <w:ilvl w:val="0"/>
          <w:numId w:val="1386"/>
        </w:numPr>
        <w:pStyle w:val="Compact"/>
      </w:pPr>
      <w:r>
        <w:t xml:space="preserve">Supervisión de proveedores y conciliación de versiones.</w:t>
      </w:r>
    </w:p>
    <w:p>
      <w:pPr>
        <w:pStyle w:val="FirstParagraph"/>
      </w:pPr>
      <w:r>
        <w:t xml:space="preserve">Los criterios de aceptación fallidos deben desencadenar una rehabilitación documentada, restricción, suspensión, retroceso o aumento del riesgo. Una prueba fallida no debe cerrarse simplemente porque la dirección lo discutió o aceptó una explicación no respaldada.</w:t>
      </w:r>
    </w:p>
    <w:bookmarkEnd w:id="1260"/>
    <w:bookmarkStart w:id="1261" w:name="mes-6-institucionalizar-la-garantía"/>
    <w:p>
      <w:pPr>
        <w:pStyle w:val="Heading2"/>
      </w:pPr>
      <w:r>
        <w:rPr>
          <w:rStyle w:val="SectionNumber"/>
        </w:rPr>
        <w:t xml:space="preserve">1.1215</w:t>
      </w:r>
      <w:r>
        <w:tab/>
      </w:r>
      <w:r>
        <w:t xml:space="preserve">Mes 6: institucionalizar la garantía</w:t>
      </w:r>
    </w:p>
    <w:p>
      <w:pPr>
        <w:numPr>
          <w:ilvl w:val="0"/>
          <w:numId w:val="1387"/>
        </w:numPr>
        <w:pStyle w:val="Compact"/>
      </w:pPr>
      <w:r>
        <w:t xml:space="preserve">establecer pruebas y seguimiento de control recurrentes;</w:t>
      </w:r>
    </w:p>
    <w:p>
      <w:pPr>
        <w:numPr>
          <w:ilvl w:val="0"/>
          <w:numId w:val="1387"/>
        </w:numPr>
        <w:pStyle w:val="Compact"/>
      </w:pPr>
      <w:r>
        <w:t xml:space="preserve">llevar a cabo revisiones específicas de diseño y eficacia operativa;</w:t>
      </w:r>
    </w:p>
    <w:p>
      <w:pPr>
        <w:numPr>
          <w:ilvl w:val="0"/>
          <w:numId w:val="1387"/>
        </w:numPr>
        <w:pStyle w:val="Compact"/>
      </w:pPr>
      <w:r>
        <w:t xml:space="preserve">realizar una auditoría interna o un desafío independiente de los sistemas seleccionados;</w:t>
      </w:r>
    </w:p>
    <w:p>
      <w:pPr>
        <w:numPr>
          <w:ilvl w:val="0"/>
          <w:numId w:val="1387"/>
        </w:numPr>
        <w:pStyle w:val="Compact"/>
      </w:pPr>
      <w:r>
        <w:t xml:space="preserve">validar los repositorios de pruebas, la retención, la preservación y la recuperación;</w:t>
      </w:r>
    </w:p>
    <w:p>
      <w:pPr>
        <w:numPr>
          <w:ilvl w:val="0"/>
          <w:numId w:val="1387"/>
        </w:numPr>
        <w:pStyle w:val="Compact"/>
      </w:pPr>
      <w:r>
        <w:t xml:space="preserve">realizar un examen reglamentario o una simulación de solicitud de información por parte de la autoridad;</w:t>
      </w:r>
    </w:p>
    <w:p>
      <w:pPr>
        <w:numPr>
          <w:ilvl w:val="0"/>
          <w:numId w:val="1387"/>
        </w:numPr>
        <w:pStyle w:val="Compact"/>
      </w:pPr>
      <w:r>
        <w:t xml:space="preserve">la respuesta a incidentes de ensayo, la evaluación de incidentes graves, la notificación reglamentaria y los procedimientos de retención legal;</w:t>
      </w:r>
    </w:p>
    <w:p>
      <w:pPr>
        <w:numPr>
          <w:ilvl w:val="0"/>
          <w:numId w:val="1387"/>
        </w:numPr>
        <w:pStyle w:val="Compact"/>
      </w:pPr>
      <w:r>
        <w:t xml:space="preserve">evaluar la disponibilidad para la evaluación de la conformidad, el registro, la declaración, el marcado CE y el acceso de la autoridad, cuando proceda;</w:t>
      </w:r>
    </w:p>
    <w:p>
      <w:pPr>
        <w:numPr>
          <w:ilvl w:val="0"/>
          <w:numId w:val="1387"/>
        </w:numPr>
        <w:pStyle w:val="Compact"/>
      </w:pPr>
      <w:r>
        <w:t xml:space="preserve">revisar la concentración, dependencia, auditabilidad, portabilidad y preparación para la salida de los proveedores;</w:t>
      </w:r>
    </w:p>
    <w:p>
      <w:pPr>
        <w:numPr>
          <w:ilvl w:val="0"/>
          <w:numId w:val="1387"/>
        </w:numPr>
        <w:pStyle w:val="Compact"/>
      </w:pPr>
      <w:r>
        <w:t xml:space="preserve">validar la presentación de informes por parte del ejecutivo y de la junta sobre la base de pruebas fidedignas;</w:t>
      </w:r>
    </w:p>
    <w:p>
      <w:pPr>
        <w:numPr>
          <w:ilvl w:val="0"/>
          <w:numId w:val="1387"/>
        </w:numPr>
        <w:pStyle w:val="Compact"/>
      </w:pPr>
      <w:r>
        <w:t xml:space="preserve">informar de las deficiencias sistémicas, las acciones pendientes y las cuestiones jurídicas no resueltas;</w:t>
      </w:r>
    </w:p>
    <w:p>
      <w:pPr>
        <w:numPr>
          <w:ilvl w:val="0"/>
          <w:numId w:val="1387"/>
        </w:numPr>
        <w:pStyle w:val="Compact"/>
      </w:pPr>
      <w:r>
        <w:t xml:space="preserve">actualizar la hoja de ruta de aplicación sobre la base de los resultados, la evolución jurídica y las prioridades empresariales.</w:t>
      </w:r>
    </w:p>
    <w:p>
      <w:pPr>
        <w:pStyle w:val="FirstParagraph"/>
      </w:pPr>
      <w:r>
        <w:t xml:space="preserve">Una revisión de la disponibilidad no sustituye a una evaluación de la conformidad, registro, declaración, marcado, notificación u otro proceso legal legalmente requerido.</w:t>
      </w:r>
    </w:p>
    <w:bookmarkEnd w:id="1261"/>
    <w:bookmarkStart w:id="1262" w:name="disciplina-de-la-rehabilitación"/>
    <w:p>
      <w:pPr>
        <w:pStyle w:val="Heading2"/>
      </w:pPr>
      <w:r>
        <w:rPr>
          <w:rStyle w:val="SectionNumber"/>
        </w:rPr>
        <w:t xml:space="preserve">1.1216</w:t>
      </w:r>
      <w:r>
        <w:tab/>
      </w:r>
      <w:r>
        <w:t xml:space="preserve">Disciplina de la rehabilitación</w:t>
      </w:r>
    </w:p>
    <w:p>
      <w:pPr>
        <w:pStyle w:val="FirstParagraph"/>
      </w:pPr>
      <w:r>
        <w:t xml:space="preserve">Cada deficiencia de material debe incluir:</w:t>
      </w:r>
    </w:p>
    <w:p>
      <w:pPr>
        <w:numPr>
          <w:ilvl w:val="0"/>
          <w:numId w:val="1388"/>
        </w:numPr>
        <w:pStyle w:val="Compact"/>
      </w:pPr>
      <w:r>
        <w:t xml:space="preserve">declaración clara de la cuestión y causa raíz;</w:t>
      </w:r>
    </w:p>
    <w:p>
      <w:pPr>
        <w:numPr>
          <w:ilvl w:val="0"/>
          <w:numId w:val="1388"/>
        </w:numPr>
        <w:pStyle w:val="Compact"/>
      </w:pPr>
      <w:r>
        <w:t xml:space="preserve">sistemas, modelos, versiones, personas, jurisdicciones y obligaciones afectados;</w:t>
      </w:r>
    </w:p>
    <w:p>
      <w:pPr>
        <w:numPr>
          <w:ilvl w:val="0"/>
          <w:numId w:val="1388"/>
        </w:numPr>
        <w:pStyle w:val="Compact"/>
      </w:pPr>
      <w:r>
        <w:t xml:space="preserve">gravedad, exposición y riesgo residual;</w:t>
      </w:r>
    </w:p>
    <w:p>
      <w:pPr>
        <w:numPr>
          <w:ilvl w:val="0"/>
          <w:numId w:val="1388"/>
        </w:numPr>
        <w:pStyle w:val="Compact"/>
      </w:pPr>
      <w:r>
        <w:t xml:space="preserve">la contención inmediata y los controles intermedios;</w:t>
      </w:r>
    </w:p>
    <w:p>
      <w:pPr>
        <w:numPr>
          <w:ilvl w:val="0"/>
          <w:numId w:val="1388"/>
        </w:numPr>
        <w:pStyle w:val="Compact"/>
      </w:pPr>
      <w:r>
        <w:t xml:space="preserve">el propietario responsable y la autoridad decisoria;</w:t>
      </w:r>
    </w:p>
    <w:p>
      <w:pPr>
        <w:numPr>
          <w:ilvl w:val="0"/>
          <w:numId w:val="1388"/>
        </w:numPr>
        <w:pStyle w:val="Compact"/>
      </w:pPr>
      <w:r>
        <w:t xml:space="preserve">la fecha límite y las dependencias;</w:t>
      </w:r>
    </w:p>
    <w:p>
      <w:pPr>
        <w:numPr>
          <w:ilvl w:val="0"/>
          <w:numId w:val="1388"/>
        </w:numPr>
        <w:pStyle w:val="Compact"/>
      </w:pPr>
      <w:r>
        <w:t xml:space="preserve">método de validación y reensayo;</w:t>
      </w:r>
    </w:p>
    <w:p>
      <w:pPr>
        <w:numPr>
          <w:ilvl w:val="0"/>
          <w:numId w:val="1388"/>
        </w:numPr>
        <w:pStyle w:val="Compact"/>
      </w:pPr>
      <w:r>
        <w:t xml:space="preserve">criterios de escalamiento y ampliación;</w:t>
      </w:r>
    </w:p>
    <w:p>
      <w:pPr>
        <w:numPr>
          <w:ilvl w:val="0"/>
          <w:numId w:val="1388"/>
        </w:numPr>
        <w:pStyle w:val="Compact"/>
      </w:pPr>
      <w:r>
        <w:t xml:space="preserve">las pruebas de cierre y la verificación independiente, cuando proceda.</w:t>
      </w:r>
    </w:p>
    <w:p>
      <w:pPr>
        <w:pStyle w:val="FirstParagraph"/>
      </w:pPr>
      <w:r>
        <w:t xml:space="preserve">Las extensiones repetidas, las excepciones o las repruebas fallidas deben recibir un desafío independiente y una escalada ejecutiva.</w:t>
      </w:r>
    </w:p>
    <w:bookmarkEnd w:id="1262"/>
    <w:bookmarkStart w:id="1263" w:name="X82071698972fe0d0bbf606abd65345a32bfa1d6"/>
    <w:p>
      <w:pPr>
        <w:pStyle w:val="Heading2"/>
      </w:pPr>
      <w:r>
        <w:rPr>
          <w:rStyle w:val="SectionNumber"/>
        </w:rPr>
        <w:t xml:space="preserve">1.1217</w:t>
      </w:r>
      <w:r>
        <w:tab/>
      </w:r>
      <w:r>
        <w:t xml:space="preserve">Ejemplo de servicios de viajes de GlobalWay</w:t>
      </w:r>
    </w:p>
    <w:p>
      <w:pPr>
        <w:pStyle w:val="FirstParagraph"/>
      </w:pPr>
      <w:r>
        <w:t xml:space="preserve">GlobalWay completa evaluaciones detalladas de sus sistemas de contratación, fraude, asistencia para interrupciones y precios dinámicos. La validación técnica identifica un comportamiento de abstención débil en el asistente de interrupción, desempeño inconsistente del subgrupo en el modelo de fraude y evidencia incompleta de la versión del proveedor.</w:t>
      </w:r>
    </w:p>
    <w:p>
      <w:pPr>
        <w:pStyle w:val="BodyText"/>
      </w:pPr>
      <w:r>
        <w:t xml:space="preserve">GlobalWay restringe las características afectadas, implementa la rehabilitación, las vuelve a probar y somete los resultados a un equipo de revisión independiente. También lleva a cabo una solicitud reglamentaria simulada y descubre que la documentación técnica y la evidencia de seguimiento posterior a la comercialización todavía no pueden conciliarse con la versión del proveedor desplegada.</w:t>
      </w:r>
    </w:p>
    <w:bookmarkEnd w:id="1263"/>
    <w:bookmarkStart w:id="1264" w:name="actividades-de-control-6"/>
    <w:p>
      <w:pPr>
        <w:pStyle w:val="Heading2"/>
      </w:pPr>
      <w:r>
        <w:rPr>
          <w:rStyle w:val="SectionNumber"/>
        </w:rPr>
        <w:t xml:space="preserve">1.1218</w:t>
      </w:r>
      <w:r>
        <w:tab/>
      </w:r>
      <w:r>
        <w:t xml:space="preserve">Actividades de control</w:t>
      </w:r>
    </w:p>
    <w:p>
      <w:pPr>
        <w:numPr>
          <w:ilvl w:val="0"/>
          <w:numId w:val="1389"/>
        </w:numPr>
        <w:pStyle w:val="Compact"/>
      </w:pPr>
      <w:r>
        <w:t xml:space="preserve">Completar la aplicabilidad, el papel, la clasificación y las evaluaciones de impacto a nivel del sistema.</w:t>
      </w:r>
    </w:p>
    <w:p>
      <w:pPr>
        <w:numPr>
          <w:ilvl w:val="0"/>
          <w:numId w:val="1389"/>
        </w:numPr>
        <w:pStyle w:val="Compact"/>
      </w:pPr>
      <w:r>
        <w:t xml:space="preserve">Implementar y probar controles del ciclo de vida para sistemas prioritarios.</w:t>
      </w:r>
    </w:p>
    <w:p>
      <w:pPr>
        <w:numPr>
          <w:ilvl w:val="0"/>
          <w:numId w:val="1389"/>
        </w:numPr>
        <w:pStyle w:val="Compact"/>
      </w:pPr>
      <w:r>
        <w:t xml:space="preserve">Validar los criterios de aceptación técnica y operativa antes de la liberación o el uso continuado.</w:t>
      </w:r>
    </w:p>
    <w:p>
      <w:pPr>
        <w:numPr>
          <w:ilvl w:val="0"/>
          <w:numId w:val="1389"/>
        </w:numPr>
        <w:pStyle w:val="Compact"/>
      </w:pPr>
      <w:r>
        <w:t xml:space="preserve">Mantener una deficiencia disciplinada y una gestión correctiva.</w:t>
      </w:r>
    </w:p>
    <w:p>
      <w:pPr>
        <w:numPr>
          <w:ilvl w:val="0"/>
          <w:numId w:val="1389"/>
        </w:numPr>
        <w:pStyle w:val="Compact"/>
      </w:pPr>
      <w:r>
        <w:t xml:space="preserve">Fortalecer el monitoreo del proveedor, el acceso a pruebas, el cambio de aviso y la preparación para salir.</w:t>
      </w:r>
    </w:p>
    <w:p>
      <w:pPr>
        <w:numPr>
          <w:ilvl w:val="0"/>
          <w:numId w:val="1389"/>
        </w:numPr>
        <w:pStyle w:val="Compact"/>
      </w:pPr>
      <w:r>
        <w:t xml:space="preserve">Procesos de incidencia, continuidad, regulación, notificación y preservación del ejercicio.</w:t>
      </w:r>
    </w:p>
    <w:p>
      <w:pPr>
        <w:numPr>
          <w:ilvl w:val="0"/>
          <w:numId w:val="1389"/>
        </w:numPr>
        <w:pStyle w:val="Compact"/>
      </w:pPr>
      <w:r>
        <w:t xml:space="preserve">Distinguir las obligaciones estatutarias de los hitos internos del programa.</w:t>
      </w:r>
    </w:p>
    <w:p>
      <w:pPr>
        <w:numPr>
          <w:ilvl w:val="0"/>
          <w:numId w:val="1389"/>
        </w:numPr>
        <w:pStyle w:val="Compact"/>
      </w:pPr>
      <w:r>
        <w:t xml:space="preserve">Exigir el cierre basado en pruebas antes de que se eliminen las restricciones o los bloques de liberación.</w:t>
      </w:r>
    </w:p>
    <w:p>
      <w:pPr>
        <w:numPr>
          <w:ilvl w:val="0"/>
          <w:numId w:val="1389"/>
        </w:numPr>
        <w:pStyle w:val="Compact"/>
      </w:pPr>
      <w:r>
        <w:t xml:space="preserve">Acelerar los temas sistémicos a los ejecutivos y la junta directiva.</w:t>
      </w:r>
    </w:p>
    <w:p>
      <w:pPr>
        <w:numPr>
          <w:ilvl w:val="0"/>
          <w:numId w:val="1389"/>
        </w:numPr>
        <w:pStyle w:val="Compact"/>
      </w:pPr>
      <w:r>
        <w:t xml:space="preserve">Actualizar las prioridades basadas en pruebas, incidentes, cambios legales y hallazgos.</w:t>
      </w:r>
    </w:p>
    <w:bookmarkEnd w:id="1264"/>
    <w:bookmarkStart w:id="1265" w:name="pruebas-130"/>
    <w:p>
      <w:pPr>
        <w:pStyle w:val="Heading2"/>
      </w:pPr>
      <w:r>
        <w:rPr>
          <w:rStyle w:val="SectionNumber"/>
        </w:rPr>
        <w:t xml:space="preserve">1.1219</w:t>
      </w:r>
      <w:r>
        <w:tab/>
      </w:r>
      <w:r>
        <w:t xml:space="preserve">Pruebas</w:t>
      </w:r>
    </w:p>
    <w:p>
      <w:pPr>
        <w:numPr>
          <w:ilvl w:val="0"/>
          <w:numId w:val="1390"/>
        </w:numPr>
        <w:pStyle w:val="Compact"/>
      </w:pPr>
      <w:r>
        <w:t xml:space="preserve">el inventario actualizado y el registro de clasificación;</w:t>
      </w:r>
    </w:p>
    <w:p>
      <w:pPr>
        <w:numPr>
          <w:ilvl w:val="0"/>
          <w:numId w:val="1390"/>
        </w:numPr>
        <w:pStyle w:val="Compact"/>
      </w:pPr>
      <w:r>
        <w:t xml:space="preserve">evaluaciones completas del sistema y cartografías de la obligación de control;</w:t>
      </w:r>
    </w:p>
    <w:p>
      <w:pPr>
        <w:numPr>
          <w:ilvl w:val="0"/>
          <w:numId w:val="1390"/>
        </w:numPr>
        <w:pStyle w:val="Compact"/>
      </w:pPr>
      <w:r>
        <w:t xml:space="preserve">Índices técnicos de documentación e pruebas;</w:t>
      </w:r>
    </w:p>
    <w:p>
      <w:pPr>
        <w:numPr>
          <w:ilvl w:val="0"/>
          <w:numId w:val="1390"/>
        </w:numPr>
        <w:pStyle w:val="Compact"/>
      </w:pPr>
      <w:r>
        <w:t xml:space="preserve">planes de validación, criterios de aceptación y resultados;</w:t>
      </w:r>
    </w:p>
    <w:p>
      <w:pPr>
        <w:numPr>
          <w:ilvl w:val="0"/>
          <w:numId w:val="1390"/>
        </w:numPr>
        <w:pStyle w:val="Compact"/>
      </w:pPr>
      <w:r>
        <w:t xml:space="preserve">los documentos de trabajo de los ensayos de control y los informes de revisión independiente;</w:t>
      </w:r>
    </w:p>
    <w:p>
      <w:pPr>
        <w:numPr>
          <w:ilvl w:val="0"/>
          <w:numId w:val="1390"/>
        </w:numPr>
        <w:pStyle w:val="Compact"/>
      </w:pPr>
      <w:r>
        <w:t xml:space="preserve">la rehabilitación, la restricción, la suspensión, la reversión y los registros de reprueba;</w:t>
      </w:r>
    </w:p>
    <w:p>
      <w:pPr>
        <w:numPr>
          <w:ilvl w:val="0"/>
          <w:numId w:val="1390"/>
        </w:numPr>
        <w:pStyle w:val="Compact"/>
      </w:pPr>
      <w:r>
        <w:t xml:space="preserve">supervisión, garantía, contrato y pruebas de versión de los proveedores;</w:t>
      </w:r>
    </w:p>
    <w:p>
      <w:pPr>
        <w:numPr>
          <w:ilvl w:val="0"/>
          <w:numId w:val="1390"/>
        </w:numPr>
        <w:pStyle w:val="Compact"/>
      </w:pPr>
      <w:r>
        <w:t xml:space="preserve">los registros de formación y competencia;</w:t>
      </w:r>
    </w:p>
    <w:p>
      <w:pPr>
        <w:numPr>
          <w:ilvl w:val="0"/>
          <w:numId w:val="1390"/>
        </w:numPr>
        <w:pStyle w:val="Compact"/>
      </w:pPr>
      <w:r>
        <w:t xml:space="preserve">los resultados de ejercicios y simulaciones;</w:t>
      </w:r>
    </w:p>
    <w:p>
      <w:pPr>
        <w:numPr>
          <w:ilvl w:val="0"/>
          <w:numId w:val="1390"/>
        </w:numPr>
        <w:pStyle w:val="Compact"/>
      </w:pPr>
      <w:r>
        <w:t xml:space="preserve">incidentes, notificaciones y registros de pruebas de retención legal;</w:t>
      </w:r>
    </w:p>
    <w:p>
      <w:pPr>
        <w:numPr>
          <w:ilvl w:val="0"/>
          <w:numId w:val="1390"/>
        </w:numPr>
        <w:pStyle w:val="Compact"/>
      </w:pPr>
      <w:r>
        <w:t xml:space="preserve">las evaluaciones de conformidad y preparación, cuando proceda;</w:t>
      </w:r>
    </w:p>
    <w:p>
      <w:pPr>
        <w:numPr>
          <w:ilvl w:val="0"/>
          <w:numId w:val="1390"/>
        </w:numPr>
        <w:pStyle w:val="Compact"/>
      </w:pPr>
      <w:r>
        <w:t xml:space="preserve">las aprobaciones de riesgo residual y de excepción;</w:t>
      </w:r>
    </w:p>
    <w:p>
      <w:pPr>
        <w:numPr>
          <w:ilvl w:val="0"/>
          <w:numId w:val="1390"/>
        </w:numPr>
        <w:pStyle w:val="Compact"/>
      </w:pPr>
      <w:r>
        <w:t xml:space="preserve">los informes del ejecutivo y del consejo de administración;</w:t>
      </w:r>
    </w:p>
    <w:p>
      <w:pPr>
        <w:numPr>
          <w:ilvl w:val="0"/>
          <w:numId w:val="1390"/>
        </w:numPr>
        <w:pStyle w:val="Compact"/>
      </w:pPr>
      <w:r>
        <w:t xml:space="preserve">hoja de ruta de aplicación actualizada.</w:t>
      </w:r>
    </w:p>
    <w:bookmarkEnd w:id="1265"/>
    <w:bookmarkStart w:id="1266" w:name="pruebas-de-auditoría-6"/>
    <w:p>
      <w:pPr>
        <w:pStyle w:val="Heading2"/>
      </w:pPr>
      <w:r>
        <w:rPr>
          <w:rStyle w:val="SectionNumber"/>
        </w:rPr>
        <w:t xml:space="preserve">1.1220</w:t>
      </w:r>
      <w:r>
        <w:tab/>
      </w:r>
      <w:r>
        <w:t xml:space="preserve">Pruebas de auditoría</w:t>
      </w:r>
    </w:p>
    <w:p>
      <w:pPr>
        <w:numPr>
          <w:ilvl w:val="0"/>
          <w:numId w:val="1391"/>
        </w:numPr>
        <w:pStyle w:val="Compact"/>
      </w:pPr>
      <w:r>
        <w:t xml:space="preserve">Seleccione sistemas prioritarios y verifique que las evaluaciones de aplicabilidad, rol, clasificación, impacto y control sean completas, aprobadas y rastreables.</w:t>
      </w:r>
    </w:p>
    <w:p>
      <w:pPr>
        <w:numPr>
          <w:ilvl w:val="0"/>
          <w:numId w:val="1391"/>
        </w:numPr>
        <w:pStyle w:val="Compact"/>
      </w:pPr>
      <w:r>
        <w:t xml:space="preserve">Antes de la prueba se definieron criterios de validación de la confirmación y se reflejaron situaciones realistas de fracaso, mal uso, derechos, seguridad y escenarios de seguridad.</w:t>
      </w:r>
    </w:p>
    <w:p>
      <w:pPr>
        <w:numPr>
          <w:ilvl w:val="0"/>
          <w:numId w:val="1391"/>
        </w:numPr>
        <w:pStyle w:val="Compact"/>
      </w:pPr>
      <w:r>
        <w:t xml:space="preserve">Las pruebas fallaron en la contención, restricción, remediación, repruebas y decisiones de liberación autorizadas.</w:t>
      </w:r>
    </w:p>
    <w:p>
      <w:pPr>
        <w:numPr>
          <w:ilvl w:val="0"/>
          <w:numId w:val="1391"/>
        </w:numPr>
        <w:pStyle w:val="Compact"/>
      </w:pPr>
      <w:r>
        <w:t xml:space="preserve">Revise la calidad de la evidencia, integridad, retención y conciliación con la versión del sistema desplegado y del proveedor.</w:t>
      </w:r>
    </w:p>
    <w:p>
      <w:pPr>
        <w:numPr>
          <w:ilvl w:val="0"/>
          <w:numId w:val="1391"/>
        </w:numPr>
        <w:pStyle w:val="Compact"/>
      </w:pPr>
      <w:r>
        <w:t xml:space="preserve">Comprobar si el monitoreo del proveedor, los derechos de auditoría, el aviso de cambio, el soporte de incidentes, la preservación y los controles de salida están operando.</w:t>
      </w:r>
    </w:p>
    <w:p>
      <w:pPr>
        <w:numPr>
          <w:ilvl w:val="0"/>
          <w:numId w:val="1391"/>
        </w:numPr>
        <w:pStyle w:val="Compact"/>
      </w:pPr>
      <w:r>
        <w:t xml:space="preserve">Inspeccione la garantía independiente de competencia, alcance, independencia y conclusiones documentadas.</w:t>
      </w:r>
    </w:p>
    <w:p>
      <w:pPr>
        <w:numPr>
          <w:ilvl w:val="0"/>
          <w:numId w:val="1391"/>
        </w:numPr>
        <w:pStyle w:val="Compact"/>
      </w:pPr>
      <w:r>
        <w:t xml:space="preserve">Confirmar que los exámenes de preparación no sustituyeron a los procesos reglamentarios o de conformidad legalmente requeridos.</w:t>
      </w:r>
    </w:p>
    <w:p>
      <w:pPr>
        <w:numPr>
          <w:ilvl w:val="0"/>
          <w:numId w:val="1391"/>
        </w:numPr>
        <w:pStyle w:val="Compact"/>
      </w:pPr>
      <w:r>
        <w:t xml:space="preserve">Verificar que los hallazgos sistémicos hayan cambiado las prioridades de gobernanza, asignación de recursos, controles o hoja de ruta.</w:t>
      </w:r>
    </w:p>
    <w:p>
      <w:pPr>
        <w:numPr>
          <w:ilvl w:val="0"/>
          <w:numId w:val="1391"/>
        </w:numPr>
        <w:pStyle w:val="Compact"/>
      </w:pPr>
      <w:r>
        <w:t xml:space="preserve">Confirmar que los informes de la administración distinguen las pruebas completadas de los trabajos planificados o atrasados.</w:t>
      </w:r>
    </w:p>
    <w:bookmarkEnd w:id="1266"/>
    <w:bookmarkStart w:id="1267" w:name="métricas-7"/>
    <w:p>
      <w:pPr>
        <w:pStyle w:val="Heading2"/>
      </w:pPr>
      <w:r>
        <w:rPr>
          <w:rStyle w:val="SectionNumber"/>
        </w:rPr>
        <w:t xml:space="preserve">1.1221</w:t>
      </w:r>
      <w:r>
        <w:tab/>
      </w:r>
      <w:r>
        <w:t xml:space="preserve">Métricas</w:t>
      </w:r>
    </w:p>
    <w:p>
      <w:pPr>
        <w:numPr>
          <w:ilvl w:val="0"/>
          <w:numId w:val="1392"/>
        </w:numPr>
        <w:pStyle w:val="Compact"/>
      </w:pPr>
      <w:r>
        <w:t xml:space="preserve">sistemas prioritarios plenamente evaluados;</w:t>
      </w:r>
    </w:p>
    <w:p>
      <w:pPr>
        <w:numPr>
          <w:ilvl w:val="0"/>
          <w:numId w:val="1392"/>
        </w:numPr>
        <w:pStyle w:val="Compact"/>
      </w:pPr>
      <w:r>
        <w:t xml:space="preserve">tasa de validación y de control-prueba de finalización;</w:t>
      </w:r>
    </w:p>
    <w:p>
      <w:pPr>
        <w:numPr>
          <w:ilvl w:val="0"/>
          <w:numId w:val="1392"/>
        </w:numPr>
        <w:pStyle w:val="Compact"/>
      </w:pPr>
      <w:r>
        <w:t xml:space="preserve">criterios de aceptación fallidos;</w:t>
      </w:r>
    </w:p>
    <w:p>
      <w:pPr>
        <w:numPr>
          <w:ilvl w:val="0"/>
          <w:numId w:val="1392"/>
        </w:numPr>
        <w:pStyle w:val="Compact"/>
      </w:pPr>
      <w:r>
        <w:t xml:space="preserve">los sistemas restringidos, suspendidos, enrollados hacia atrás o a la espera de una nueva prueba;</w:t>
      </w:r>
    </w:p>
    <w:p>
      <w:pPr>
        <w:numPr>
          <w:ilvl w:val="0"/>
          <w:numId w:val="1392"/>
        </w:numPr>
        <w:pStyle w:val="Compact"/>
      </w:pPr>
      <w:r>
        <w:t xml:space="preserve">los resultados de alta gravedad abiertos y atrasados;</w:t>
      </w:r>
    </w:p>
    <w:p>
      <w:pPr>
        <w:numPr>
          <w:ilvl w:val="0"/>
          <w:numId w:val="1392"/>
        </w:numPr>
        <w:pStyle w:val="Compact"/>
      </w:pPr>
      <w:r>
        <w:t xml:space="preserve">los fallos de control repetidos y las excepciones repetidas;</w:t>
      </w:r>
    </w:p>
    <w:p>
      <w:pPr>
        <w:numPr>
          <w:ilvl w:val="0"/>
          <w:numId w:val="1392"/>
        </w:numPr>
        <w:pStyle w:val="Compact"/>
      </w:pPr>
      <w:r>
        <w:t xml:space="preserve">sistemas con índices de comprobación completos y actuales;</w:t>
      </w:r>
    </w:p>
    <w:p>
      <w:pPr>
        <w:numPr>
          <w:ilvl w:val="0"/>
          <w:numId w:val="1392"/>
        </w:numPr>
        <w:pStyle w:val="Compact"/>
      </w:pPr>
      <w:r>
        <w:t xml:space="preserve">proveedores críticos con seguridad y pruebas de versión actuales;</w:t>
      </w:r>
    </w:p>
    <w:p>
      <w:pPr>
        <w:numPr>
          <w:ilvl w:val="0"/>
          <w:numId w:val="1392"/>
        </w:numPr>
        <w:pStyle w:val="Compact"/>
      </w:pPr>
      <w:r>
        <w:t xml:space="preserve">los exámenes de preparación completados y las lagunas no resueltas;</w:t>
      </w:r>
    </w:p>
    <w:p>
      <w:pPr>
        <w:numPr>
          <w:ilvl w:val="0"/>
          <w:numId w:val="1392"/>
        </w:numPr>
        <w:pStyle w:val="Compact"/>
      </w:pPr>
      <w:r>
        <w:t xml:space="preserve">los ejercicios completados y las medidas correctoras que surjan;</w:t>
      </w:r>
    </w:p>
    <w:p>
      <w:pPr>
        <w:numPr>
          <w:ilvl w:val="0"/>
          <w:numId w:val="1392"/>
        </w:numPr>
        <w:pStyle w:val="Compact"/>
      </w:pPr>
      <w:r>
        <w:t xml:space="preserve">tiempo medio para reparar y volver a probar;</w:t>
      </w:r>
    </w:p>
    <w:p>
      <w:pPr>
        <w:numPr>
          <w:ilvl w:val="0"/>
          <w:numId w:val="1392"/>
        </w:numPr>
        <w:pStyle w:val="Compact"/>
      </w:pPr>
      <w:r>
        <w:t xml:space="preserve">medidas legales, de conformidad, de notificación o de supervisión con retraso.</w:t>
      </w:r>
    </w:p>
    <w:bookmarkEnd w:id="1267"/>
    <w:bookmarkStart w:id="1268" w:name="lista-de-verificación-de-gestión-9"/>
    <w:p>
      <w:pPr>
        <w:pStyle w:val="Heading2"/>
      </w:pPr>
      <w:r>
        <w:rPr>
          <w:rStyle w:val="SectionNumber"/>
        </w:rPr>
        <w:t xml:space="preserve">1.1222</w:t>
      </w:r>
      <w:r>
        <w:tab/>
      </w:r>
      <w:r>
        <w:t xml:space="preserve">Lista de verificación de gestión</w:t>
      </w:r>
    </w:p>
    <w:p>
      <w:pPr>
        <w:numPr>
          <w:ilvl w:val="0"/>
          <w:numId w:val="1393"/>
        </w:numPr>
        <w:pStyle w:val="Compact"/>
      </w:pPr>
      <w:r>
        <w:t xml:space="preserve">¿Son los sistemas prioritarios plenamente documentados, clasificados, controlados y rastreables a la producción?</w:t>
      </w:r>
    </w:p>
    <w:p>
      <w:pPr>
        <w:numPr>
          <w:ilvl w:val="0"/>
          <w:numId w:val="1393"/>
        </w:numPr>
        <w:pStyle w:val="Compact"/>
      </w:pPr>
      <w:r>
        <w:t xml:space="preserve">¿Las pruebas técnicas reflejan situaciones realistas de fracaso, mal uso, discriminación, seguridad y derechos?</w:t>
      </w:r>
    </w:p>
    <w:p>
      <w:pPr>
        <w:numPr>
          <w:ilvl w:val="0"/>
          <w:numId w:val="1393"/>
        </w:numPr>
        <w:pStyle w:val="Compact"/>
      </w:pPr>
      <w:r>
        <w:t xml:space="preserve">¿Pueden los criterios fallidos bloquear, restringir, suspender o revertir el despliegue?</w:t>
      </w:r>
    </w:p>
    <w:p>
      <w:pPr>
        <w:numPr>
          <w:ilvl w:val="0"/>
          <w:numId w:val="1393"/>
        </w:numPr>
        <w:pStyle w:val="Compact"/>
      </w:pPr>
      <w:r>
        <w:t xml:space="preserve">¿Se corrigen los resultados y se validan de forma independiente los materiales?</w:t>
      </w:r>
    </w:p>
    <w:p>
      <w:pPr>
        <w:numPr>
          <w:ilvl w:val="0"/>
          <w:numId w:val="1393"/>
        </w:numPr>
        <w:pStyle w:val="Compact"/>
      </w:pPr>
      <w:r>
        <w:t xml:space="preserve">¿Se puede producir rápidamente la evidencia requerida y conciliarla con el sistema y la versión correctos?</w:t>
      </w:r>
    </w:p>
    <w:p>
      <w:pPr>
        <w:numPr>
          <w:ilvl w:val="0"/>
          <w:numId w:val="1393"/>
        </w:numPr>
        <w:pStyle w:val="Compact"/>
      </w:pPr>
      <w:r>
        <w:t xml:space="preserve">¿Se prueban adecuadamente los riesgos de proveedor, concentración, portabilidad y continuidad?</w:t>
      </w:r>
    </w:p>
    <w:p>
      <w:pPr>
        <w:numPr>
          <w:ilvl w:val="0"/>
          <w:numId w:val="1393"/>
        </w:numPr>
        <w:pStyle w:val="Compact"/>
      </w:pPr>
      <w:r>
        <w:t xml:space="preserve">¿Se distinguen claramente las obligaciones estatutarias de los objetivos internos de la hoja de ruta?</w:t>
      </w:r>
    </w:p>
    <w:p>
      <w:pPr>
        <w:numPr>
          <w:ilvl w:val="0"/>
          <w:numId w:val="1393"/>
        </w:numPr>
        <w:pStyle w:val="Compact"/>
      </w:pPr>
      <w:r>
        <w:t xml:space="preserve">¿Los informes del ejecutivo y de la junta reflejan las pruebas reales y la exposición no resuelta?</w:t>
      </w:r>
    </w:p>
    <w:bookmarkEnd w:id="1268"/>
    <w:bookmarkStart w:id="1269" w:name="X01c1622c8962d1344bf8ebf6a18b2f0ecd1f748"/>
    <w:p>
      <w:pPr>
        <w:pStyle w:val="Heading2"/>
      </w:pPr>
      <w:r>
        <w:rPr>
          <w:rStyle w:val="SectionNumber"/>
        </w:rPr>
        <w:t xml:space="preserve">1.1223</w:t>
      </w:r>
      <w:r>
        <w:tab/>
      </w:r>
      <w:r>
        <w:t xml:space="preserve">Especificación de la figura — Meses 4-6 Construcción de la garantía</w:t>
      </w:r>
    </w:p>
    <w:p>
      <w:pPr>
        <w:pStyle w:val="FirstParagraph"/>
      </w:pPr>
      <w:r>
        <w:t xml:space="preserve">Cree una hoja de ruta que muestre la evaluación a nivel del sistema, el mapeo de la obligación de controlar, la implementación del control, la validación técnica, las pruebas independientes, la rehabilitación, los ejercicios de regulación e incidentes, los informes ejecutivos y la actualización de la hoja de ruta.</w:t>
      </w:r>
    </w:p>
    <w:p>
      <w:pPr>
        <w:pStyle w:val="BodyText"/>
      </w:pPr>
      <w:r>
        <w:rPr>
          <w:bCs/>
          <w:b/>
        </w:rPr>
        <w:t xml:space="preserve">Texto Alt:</w:t>
      </w:r>
      <w:r>
        <w:t xml:space="preserve"> </w:t>
      </w:r>
      <w:r>
        <w:t xml:space="preserve">Meses 4-6 Hoja de ruta de aseguramiento de IA pasando de evaluaciones y controles a nivel de sistema a través de validación técnica, pruebas independientes, rehabilitación, ejercicios, informes ejecutivos y prioridades actualizadas, con restricciones y repruebas después de criterios fallidos.</w:t>
      </w:r>
    </w:p>
    <w:bookmarkEnd w:id="1269"/>
    <w:bookmarkStart w:id="1270" w:name="referencias-jurídicas-primarias-99"/>
    <w:p>
      <w:pPr>
        <w:pStyle w:val="Heading2"/>
      </w:pPr>
      <w:r>
        <w:rPr>
          <w:rStyle w:val="SectionNumber"/>
        </w:rPr>
        <w:t xml:space="preserve">1.1224</w:t>
      </w:r>
      <w:r>
        <w:tab/>
      </w:r>
      <w:r>
        <w:t xml:space="preserve">Referencias jurídicas primarias</w:t>
      </w:r>
    </w:p>
    <w:p>
      <w:pPr>
        <w:numPr>
          <w:ilvl w:val="0"/>
          <w:numId w:val="1394"/>
        </w:numPr>
        <w:pStyle w:val="Compact"/>
      </w:pPr>
      <w:r>
        <w:t xml:space="preserve">Reglamento (UE) 2024/1689, en su versión modificada, incluido el proveedor, el implementador, la transparencia, el GPAI de alto riesgo, la gestión de la calidad, la gestión de riesgos, la documentación, el registro, la supervisión, el seguimiento, el incidente, la acción correctiva, la conformidad, el registro y las disposiciones sobre autoridad y cooperación.</w:t>
      </w:r>
    </w:p>
    <w:p>
      <w:pPr>
        <w:numPr>
          <w:ilvl w:val="0"/>
          <w:numId w:val="1394"/>
        </w:numPr>
        <w:pStyle w:val="Compact"/>
      </w:pPr>
      <w:r>
        <w:t xml:space="preserve">Reglamento (UE) 2026/1744, en su caso.</w:t>
      </w:r>
    </w:p>
    <w:p>
      <w:pPr>
        <w:numPr>
          <w:ilvl w:val="0"/>
          <w:numId w:val="1394"/>
        </w:numPr>
        <w:pStyle w:val="Compact"/>
      </w:pPr>
      <w:r>
        <w:t xml:space="preserve">Fechas efectivas aplicables, disposiciones transitorias, requisitos de evaluación de la conformidad, legislación sectorial y obligaciones de los agentes controlan esta hoja de ruta recomendada.</w:t>
      </w:r>
    </w:p>
    <w:p>
      <w:pPr>
        <w:numPr>
          <w:ilvl w:val="0"/>
          <w:numId w:val="1394"/>
        </w:numPr>
        <w:pStyle w:val="Compact"/>
      </w:pPr>
      <w:r>
        <w:t xml:space="preserve">Los textos oficiales consolidados actuales controlan los resúmenes antiguos.</w:t>
      </w:r>
    </w:p>
    <w:bookmarkEnd w:id="1270"/>
    <w:bookmarkStart w:id="1271" w:name="capítulo-132-meses-7-12"/>
    <w:p>
      <w:pPr>
        <w:pStyle w:val="Heading2"/>
      </w:pPr>
      <w:r>
        <w:rPr>
          <w:rStyle w:val="SectionNumber"/>
        </w:rPr>
        <w:t xml:space="preserve">1.1225</w:t>
      </w:r>
      <w:r>
        <w:tab/>
      </w:r>
      <w:r>
        <w:t xml:space="preserve">Capítulo 132 — Meses 7-12</w:t>
      </w:r>
    </w:p>
    <w:p>
      <w:pPr>
        <w:pStyle w:val="BlockText"/>
      </w:pPr>
      <w:r>
        <w:rPr>
          <w:bCs/>
          <w:b/>
        </w:rPr>
        <w:t xml:space="preserve">Estatus legal:</w:t>
      </w:r>
      <w:r>
        <w:t xml:space="preserve"> </w:t>
      </w:r>
      <w:r>
        <w:t xml:space="preserve">Corregido Inglés maestro para la consolidación. Este capítulo es una hoja de ruta de implementación recomendada, no un calendario legal. Controla el conflicto anterior Capítulo 132 idioma.</w:t>
      </w:r>
    </w:p>
    <w:bookmarkEnd w:id="1271"/>
    <w:bookmarkStart w:id="1272" w:name="finalidad-10"/>
    <w:p>
      <w:pPr>
        <w:pStyle w:val="Heading2"/>
      </w:pPr>
      <w:r>
        <w:rPr>
          <w:rStyle w:val="SectionNumber"/>
        </w:rPr>
        <w:t xml:space="preserve">1.1226</w:t>
      </w:r>
      <w:r>
        <w:tab/>
      </w:r>
      <w:r>
        <w:t xml:space="preserve">Finalidad</w:t>
      </w:r>
    </w:p>
    <w:p>
      <w:pPr>
        <w:pStyle w:val="FirstParagraph"/>
      </w:pPr>
      <w:r>
        <w:t xml:space="preserve">En este capítulo se ofrece un plan de aplicación práctico para los meses 7 a 12, centrado en la adopción a nivel de toda la empresa, la preparación normativa, la garantía sostenible, la mejora de la madurez y la integración en las operaciones comerciales normales.</w:t>
      </w:r>
    </w:p>
    <w:p>
      <w:pPr>
        <w:pStyle w:val="BodyText"/>
      </w:pPr>
      <w:r>
        <w:t xml:space="preserve">AI puede apoyar la toma de decisiones humanas, pero no debe eliminar la responsabilidad humana, el juicio o la rendición de cuentas.</w:t>
      </w:r>
    </w:p>
    <w:bookmarkEnd w:id="1272"/>
    <w:bookmarkStart w:id="1273" w:name="requisito-130"/>
    <w:p>
      <w:pPr>
        <w:pStyle w:val="Heading2"/>
      </w:pPr>
      <w:r>
        <w:rPr>
          <w:rStyle w:val="SectionNumber"/>
        </w:rPr>
        <w:t xml:space="preserve">1.1227</w:t>
      </w:r>
      <w:r>
        <w:tab/>
      </w:r>
      <w:r>
        <w:t xml:space="preserve">Requisito</w:t>
      </w:r>
    </w:p>
    <w:p>
      <w:pPr>
        <w:pStyle w:val="FirstParagraph"/>
      </w:pPr>
      <w:r>
        <w:t xml:space="preserve">Las organizaciones deben utilizar los meses 7 a 12 para madurar la gobernanza de la IA, completar la rehabilitación de prioridades, ampliar la cobertura de garantía, validar la eficacia operativa e institucionalizar la supervisión, la presentación de informes, la respuesta reglamentaria y la mejora continua.</w:t>
      </w:r>
    </w:p>
    <w:p>
      <w:pPr>
        <w:pStyle w:val="BodyText"/>
      </w:pPr>
      <w:r>
        <w:t xml:space="preserve">La Ley de IA de la UE no exige que esta hoja de ruta se complete en un plazo de doce meses. Los deberes vinculantes, las fechas efectivas, los requisitos de conformidad, el registro, la notificación, el seguimiento y las expectativas de la autoridad deben seguirse por separado de acuerdo con las funciones legales reales de la organización, las clasificaciones del sistema, los fines previstos y las jurisdicciones.</w:t>
      </w:r>
    </w:p>
    <w:bookmarkEnd w:id="1273"/>
    <w:bookmarkStart w:id="1274" w:name="explicación-en-lenguaje-sencillo-127"/>
    <w:p>
      <w:pPr>
        <w:pStyle w:val="Heading2"/>
      </w:pPr>
      <w:r>
        <w:rPr>
          <w:rStyle w:val="SectionNumber"/>
        </w:rPr>
        <w:t xml:space="preserve">1.1228</w:t>
      </w:r>
      <w:r>
        <w:tab/>
      </w:r>
      <w:r>
        <w:t xml:space="preserve">Explicación en lenguaje sencillo</w:t>
      </w:r>
    </w:p>
    <w:p>
      <w:pPr>
        <w:pStyle w:val="FirstParagraph"/>
      </w:pPr>
      <w:r>
        <w:t xml:space="preserve">Los últimos seis meses de la hoja de ruta del primer año tienen que ver con la escala y la durabilidad. La gobernanza debe funcionar entre las unidades de negocio, las entidades jurídicas, los países, las tecnologías y los proveedores.El primer año debe terminar con un modelo operativo defendible en lugar de una colección de proyectos desconectados o esfuerzos de rehabilitación de una sola vez.</w:t>
      </w:r>
    </w:p>
    <w:p>
      <w:pPr>
        <w:pStyle w:val="BodyText"/>
      </w:pPr>
      <w:r>
        <w:t xml:space="preserve">La administración debe ser capaz de demostrar que el programa está respaldado por la responsabilidad, las pruebas actuales, los controles repetibles, el desafío independiente, la escalada ensayada y la mejora continua financiada.</w:t>
      </w:r>
    </w:p>
    <w:bookmarkEnd w:id="1274"/>
    <w:bookmarkStart w:id="1275" w:name="meses-7-8-escalar-y-estandarizar"/>
    <w:p>
      <w:pPr>
        <w:pStyle w:val="Heading2"/>
      </w:pPr>
      <w:r>
        <w:rPr>
          <w:rStyle w:val="SectionNumber"/>
        </w:rPr>
        <w:t xml:space="preserve">1.1229</w:t>
      </w:r>
      <w:r>
        <w:tab/>
      </w:r>
      <w:r>
        <w:t xml:space="preserve">Meses 7-8: escalar y estandarizar</w:t>
      </w:r>
    </w:p>
    <w:p>
      <w:pPr>
        <w:numPr>
          <w:ilvl w:val="0"/>
          <w:numId w:val="1395"/>
        </w:numPr>
        <w:pStyle w:val="Compact"/>
      </w:pPr>
      <w:r>
        <w:t xml:space="preserve">ampliar la base de referencia de control entre las unidades de negocio y las entidades jurídicas importantes;</w:t>
      </w:r>
    </w:p>
    <w:p>
      <w:pPr>
        <w:numPr>
          <w:ilvl w:val="0"/>
          <w:numId w:val="1395"/>
        </w:numPr>
        <w:pStyle w:val="Compact"/>
      </w:pPr>
      <w:r>
        <w:t xml:space="preserve">aplicar funciones, riesgos, sector, jurisdicción, tecnología y superposiciones de población;</w:t>
      </w:r>
    </w:p>
    <w:p>
      <w:pPr>
        <w:numPr>
          <w:ilvl w:val="0"/>
          <w:numId w:val="1395"/>
        </w:numPr>
        <w:pStyle w:val="Compact"/>
      </w:pPr>
      <w:r>
        <w:t xml:space="preserve">integrar la admisión, clasificación, aprobación y revisión del cambio en los instrumentos de adquisición y desarrollo;</w:t>
      </w:r>
    </w:p>
    <w:p>
      <w:pPr>
        <w:numPr>
          <w:ilvl w:val="0"/>
          <w:numId w:val="1395"/>
        </w:numPr>
        <w:pStyle w:val="Compact"/>
      </w:pPr>
      <w:r>
        <w:t xml:space="preserve">uniformar los repositorios de pruebas, los identificadores, los enlaces de versiones y las convenciones sobre nombres;</w:t>
      </w:r>
    </w:p>
    <w:p>
      <w:pPr>
        <w:numPr>
          <w:ilvl w:val="0"/>
          <w:numId w:val="1395"/>
        </w:numPr>
        <w:pStyle w:val="Compact"/>
      </w:pPr>
      <w:r>
        <w:t xml:space="preserve">automatizar el inventario, el seguimiento y la recopilación de pruebas únicamente cuando se compruebe la fiabilidad;</w:t>
      </w:r>
    </w:p>
    <w:p>
      <w:pPr>
        <w:numPr>
          <w:ilvl w:val="0"/>
          <w:numId w:val="1395"/>
        </w:numPr>
        <w:pStyle w:val="Compact"/>
      </w:pPr>
      <w:r>
        <w:t xml:space="preserve">establecer certificados recurrentes de unidad de negocio y propietario del sistema;</w:t>
      </w:r>
    </w:p>
    <w:p>
      <w:pPr>
        <w:numPr>
          <w:ilvl w:val="0"/>
          <w:numId w:val="1395"/>
        </w:numPr>
        <w:pStyle w:val="Compact"/>
      </w:pPr>
      <w:r>
        <w:t xml:space="preserve">ampliar las actividades de alfabetización basadas en la IA y la evaluación de las competencias;</w:t>
      </w:r>
    </w:p>
    <w:p>
      <w:pPr>
        <w:numPr>
          <w:ilvl w:val="0"/>
          <w:numId w:val="1395"/>
        </w:numPr>
        <w:pStyle w:val="Compact"/>
      </w:pPr>
      <w:r>
        <w:t xml:space="preserve">conciliar los inventarios del sistema con los registros de adquisiciones, nube, seguridad, datos, recursos humanos, finanzas y proveedores;</w:t>
      </w:r>
    </w:p>
    <w:p>
      <w:pPr>
        <w:numPr>
          <w:ilvl w:val="0"/>
          <w:numId w:val="1395"/>
        </w:numPr>
        <w:pStyle w:val="Compact"/>
      </w:pPr>
      <w:r>
        <w:t xml:space="preserve">confirmar que los cambios importantes desencadenan la reevaluación y el análisis de la modificación sustancial, cuando proceda.</w:t>
      </w:r>
    </w:p>
    <w:bookmarkEnd w:id="1275"/>
    <w:bookmarkStart w:id="1276" w:name="Xc064889c3c521887e95a7b37bc2b811b7b2933c"/>
    <w:p>
      <w:pPr>
        <w:pStyle w:val="Heading2"/>
      </w:pPr>
      <w:r>
        <w:rPr>
          <w:rStyle w:val="SectionNumber"/>
        </w:rPr>
        <w:t xml:space="preserve">1.1230</w:t>
      </w:r>
      <w:r>
        <w:tab/>
      </w:r>
      <w:r>
        <w:t xml:space="preserve">Meses 9-10: reforzar la supervisión y la garantía</w:t>
      </w:r>
    </w:p>
    <w:p>
      <w:pPr>
        <w:numPr>
          <w:ilvl w:val="0"/>
          <w:numId w:val="1396"/>
        </w:numPr>
        <w:pStyle w:val="Compact"/>
      </w:pPr>
      <w:r>
        <w:t xml:space="preserve">poner en funcionamiento un seguimiento continuo del cumplimiento y el control;</w:t>
      </w:r>
    </w:p>
    <w:p>
      <w:pPr>
        <w:numPr>
          <w:ilvl w:val="0"/>
          <w:numId w:val="1396"/>
        </w:numPr>
        <w:pStyle w:val="Compact"/>
      </w:pPr>
      <w:r>
        <w:t xml:space="preserve">definir los factores desencadenantes de deriva, rendimiento, incidente, denuncia, cambio de proveedor, cambio de modelo y cambio de ley;</w:t>
      </w:r>
    </w:p>
    <w:p>
      <w:pPr>
        <w:numPr>
          <w:ilvl w:val="0"/>
          <w:numId w:val="1396"/>
        </w:numPr>
        <w:pStyle w:val="Compact"/>
      </w:pPr>
      <w:r>
        <w:t xml:space="preserve">validar los procesos de seguimiento posterior a la comercialización, evaluación de incidentes graves, reclamación y medidas correctoras, cuando proceda;</w:t>
      </w:r>
    </w:p>
    <w:p>
      <w:pPr>
        <w:numPr>
          <w:ilvl w:val="0"/>
          <w:numId w:val="1396"/>
        </w:numPr>
        <w:pStyle w:val="Compact"/>
      </w:pPr>
      <w:r>
        <w:t xml:space="preserve">ampliar la cobertura de la auditoría interna y la garantía independiente;</w:t>
      </w:r>
    </w:p>
    <w:p>
      <w:pPr>
        <w:numPr>
          <w:ilvl w:val="0"/>
          <w:numId w:val="1396"/>
        </w:numPr>
        <w:pStyle w:val="Compact"/>
      </w:pPr>
      <w:r>
        <w:t xml:space="preserve">realizar exámenes temáticos en múltiples sistemas, entidades, proveedores o ámbitos de riesgo;</w:t>
      </w:r>
    </w:p>
    <w:p>
      <w:pPr>
        <w:numPr>
          <w:ilvl w:val="0"/>
          <w:numId w:val="1396"/>
        </w:numPr>
        <w:pStyle w:val="Compact"/>
      </w:pPr>
      <w:r>
        <w:t xml:space="preserve">evaluar las dependencias de control, el riesgo de concentración, la portabilidad y la preparación para la salida;</w:t>
      </w:r>
    </w:p>
    <w:p>
      <w:pPr>
        <w:numPr>
          <w:ilvl w:val="0"/>
          <w:numId w:val="1396"/>
        </w:numPr>
        <w:pStyle w:val="Compact"/>
      </w:pPr>
      <w:r>
        <w:t xml:space="preserve">comprobar la calidad de los informes del ejecutivo y del consejo de administración con respecto a las pruebas de origen;</w:t>
      </w:r>
    </w:p>
    <w:p>
      <w:pPr>
        <w:numPr>
          <w:ilvl w:val="0"/>
          <w:numId w:val="1396"/>
        </w:numPr>
        <w:pStyle w:val="Compact"/>
      </w:pPr>
      <w:r>
        <w:t xml:space="preserve">realizar ejercicios de regulación, incidente, continuidad, retención legal, notificación y salida del proveedor;</w:t>
      </w:r>
    </w:p>
    <w:p>
      <w:pPr>
        <w:numPr>
          <w:ilvl w:val="0"/>
          <w:numId w:val="1396"/>
        </w:numPr>
        <w:pStyle w:val="Compact"/>
      </w:pPr>
      <w:r>
        <w:t xml:space="preserve">validar el cierre de las medidas correctoras y la escalada de las excepciones repetidas;</w:t>
      </w:r>
    </w:p>
    <w:p>
      <w:pPr>
        <w:numPr>
          <w:ilvl w:val="0"/>
          <w:numId w:val="1396"/>
        </w:numPr>
        <w:pStyle w:val="Compact"/>
      </w:pPr>
      <w:r>
        <w:t xml:space="preserve">poner a prueba la supervisión humana, la intervención, la anulación, la escalada y la autoridad de parar el uso en condiciones operativas realistas.</w:t>
      </w:r>
    </w:p>
    <w:bookmarkEnd w:id="1276"/>
    <w:bookmarkStart w:id="1277" w:name="X9261818c924b1986994110cb290d34095f62a81"/>
    <w:p>
      <w:pPr>
        <w:pStyle w:val="Heading2"/>
      </w:pPr>
      <w:r>
        <w:rPr>
          <w:rStyle w:val="SectionNumber"/>
        </w:rPr>
        <w:t xml:space="preserve">1.1231</w:t>
      </w:r>
      <w:r>
        <w:tab/>
      </w:r>
      <w:r>
        <w:t xml:space="preserve">Meses 11-12: demostrar la preparación y mejorar la madurez</w:t>
      </w:r>
    </w:p>
    <w:p>
      <w:pPr>
        <w:numPr>
          <w:ilvl w:val="0"/>
          <w:numId w:val="1397"/>
        </w:numPr>
        <w:pStyle w:val="Compact"/>
      </w:pPr>
      <w:r>
        <w:t xml:space="preserve">realizar una evaluación de la preparación y el vencimiento de la empresa;</w:t>
      </w:r>
    </w:p>
    <w:p>
      <w:pPr>
        <w:numPr>
          <w:ilvl w:val="0"/>
          <w:numId w:val="1397"/>
        </w:numPr>
        <w:pStyle w:val="Compact"/>
      </w:pPr>
      <w:r>
        <w:t xml:space="preserve">actualizar el inventario de IA, el mapa de funciones de los agentes, el registro de clasificación y el registro de obligaciones aplicables;</w:t>
      </w:r>
    </w:p>
    <w:p>
      <w:pPr>
        <w:numPr>
          <w:ilvl w:val="0"/>
          <w:numId w:val="1397"/>
        </w:numPr>
        <w:pStyle w:val="Compact"/>
      </w:pPr>
      <w:r>
        <w:t xml:space="preserve">confirmar que se abordan las obligaciones de alto riesgo, GPAI, transparencia, prácticas prohibidas, supervisión y otras obligaciones aplicables;</w:t>
      </w:r>
    </w:p>
    <w:p>
      <w:pPr>
        <w:numPr>
          <w:ilvl w:val="0"/>
          <w:numId w:val="1397"/>
        </w:numPr>
        <w:pStyle w:val="Compact"/>
      </w:pPr>
      <w:r>
        <w:t xml:space="preserve">conciliar los inventarios del sistema, la documentación, las versiones desplegadas, los registros de seguimiento y las pruebas de los proveedores;</w:t>
      </w:r>
    </w:p>
    <w:p>
      <w:pPr>
        <w:numPr>
          <w:ilvl w:val="0"/>
          <w:numId w:val="1397"/>
        </w:numPr>
        <w:pStyle w:val="Compact"/>
      </w:pPr>
      <w:r>
        <w:t xml:space="preserve">revisar los plazos reglamentarios, las disposiciones transitorias y las interpretaciones jurídicas no resueltas;</w:t>
      </w:r>
    </w:p>
    <w:p>
      <w:pPr>
        <w:numPr>
          <w:ilvl w:val="0"/>
          <w:numId w:val="1397"/>
        </w:numPr>
        <w:pStyle w:val="Compact"/>
      </w:pPr>
      <w:r>
        <w:t xml:space="preserve">evaluar el riesgo residual, las excepciones aceptadas, las medidas de rehabilitación atrasadas y los temas sistémicos;</w:t>
      </w:r>
    </w:p>
    <w:p>
      <w:pPr>
        <w:numPr>
          <w:ilvl w:val="0"/>
          <w:numId w:val="1397"/>
        </w:numPr>
        <w:pStyle w:val="Compact"/>
      </w:pPr>
      <w:r>
        <w:t xml:space="preserve">realizar auditorías internas o garantías independientes sobre determinados ámbitos de alto riesgo;</w:t>
      </w:r>
    </w:p>
    <w:p>
      <w:pPr>
        <w:numPr>
          <w:ilvl w:val="0"/>
          <w:numId w:val="1397"/>
        </w:numPr>
        <w:pStyle w:val="Compact"/>
      </w:pPr>
      <w:r>
        <w:t xml:space="preserve">validar la disponibilidad para la evaluación de la conformidad, el registro, la declaración, el marcado CE, la notificación y la interacción de las autoridades;</w:t>
      </w:r>
    </w:p>
    <w:p>
      <w:pPr>
        <w:numPr>
          <w:ilvl w:val="0"/>
          <w:numId w:val="1397"/>
        </w:numPr>
        <w:pStyle w:val="Compact"/>
      </w:pPr>
      <w:r>
        <w:t xml:space="preserve">aprobar las prioridades del segundo año, la dotación de personal, la tecnología, la formación, la garantía y el presupuesto;</w:t>
      </w:r>
    </w:p>
    <w:p>
      <w:pPr>
        <w:numPr>
          <w:ilvl w:val="0"/>
          <w:numId w:val="1397"/>
        </w:numPr>
        <w:pStyle w:val="Compact"/>
      </w:pPr>
      <w:r>
        <w:t xml:space="preserve">actualizar las políticas, los controles, la formación, el seguimiento y los planes de incidentes;</w:t>
      </w:r>
    </w:p>
    <w:p>
      <w:pPr>
        <w:numPr>
          <w:ilvl w:val="0"/>
          <w:numId w:val="1397"/>
        </w:numPr>
        <w:pStyle w:val="Compact"/>
      </w:pPr>
      <w:r>
        <w:t xml:space="preserve">informar sobre la eficacia del programa, la exposición no resuelta y las necesidades de decisión a los ejecutivos y a la junta.</w:t>
      </w:r>
    </w:p>
    <w:p>
      <w:pPr>
        <w:pStyle w:val="FirstParagraph"/>
      </w:pPr>
      <w:r>
        <w:t xml:space="preserve">Una evaluación de la disponibilidad no sustituye a ningún proceso de evaluación de la conformidad, registro, declaración, marcado, notificación o autoridad requerido legalmente.</w:t>
      </w:r>
    </w:p>
    <w:bookmarkEnd w:id="1277"/>
    <w:bookmarkStart w:id="1278" w:name="modelo-operativo-sostenible"/>
    <w:p>
      <w:pPr>
        <w:pStyle w:val="Heading2"/>
      </w:pPr>
      <w:r>
        <w:rPr>
          <w:rStyle w:val="SectionNumber"/>
        </w:rPr>
        <w:t xml:space="preserve">1.1232</w:t>
      </w:r>
      <w:r>
        <w:tab/>
      </w:r>
      <w:r>
        <w:t xml:space="preserve">Modelo operativo sostenible</w:t>
      </w:r>
    </w:p>
    <w:p>
      <w:pPr>
        <w:pStyle w:val="FirstParagraph"/>
      </w:pPr>
      <w:r>
        <w:t xml:space="preserve">El modelo operativo de destino debe incluir:</w:t>
      </w:r>
    </w:p>
    <w:p>
      <w:pPr>
        <w:numPr>
          <w:ilvl w:val="0"/>
          <w:numId w:val="1398"/>
        </w:numPr>
        <w:pStyle w:val="Compact"/>
      </w:pPr>
      <w:r>
        <w:t xml:space="preserve">un comité ejecutivo y de gobierno responsable;</w:t>
      </w:r>
    </w:p>
    <w:p>
      <w:pPr>
        <w:numPr>
          <w:ilvl w:val="0"/>
          <w:numId w:val="1398"/>
        </w:numPr>
        <w:pStyle w:val="Compact"/>
      </w:pPr>
      <w:r>
        <w:t xml:space="preserve">la política central, la metodología y el control de la propiedad;</w:t>
      </w:r>
    </w:p>
    <w:p>
      <w:pPr>
        <w:numPr>
          <w:ilvl w:val="0"/>
          <w:numId w:val="1398"/>
        </w:numPr>
        <w:pStyle w:val="Compact"/>
      </w:pPr>
      <w:r>
        <w:t xml:space="preserve">negocio distribuido, sistema, datos y responsabilidad técnica;</w:t>
      </w:r>
    </w:p>
    <w:p>
      <w:pPr>
        <w:numPr>
          <w:ilvl w:val="0"/>
          <w:numId w:val="1398"/>
        </w:numPr>
        <w:pStyle w:val="Compact"/>
      </w:pPr>
      <w:r>
        <w:t xml:space="preserve">el cumplimiento, la privacidad, la seguridad, los datos, la adquisición, los recursos humanos, los registros, la continuidad y la participación en las auditorías;</w:t>
      </w:r>
    </w:p>
    <w:p>
      <w:pPr>
        <w:numPr>
          <w:ilvl w:val="0"/>
          <w:numId w:val="1398"/>
        </w:numPr>
        <w:pStyle w:val="Compact"/>
      </w:pPr>
      <w:r>
        <w:t xml:space="preserve">los procesos fiables de inventario, función, aplicabilidad y clasificación;</w:t>
      </w:r>
    </w:p>
    <w:p>
      <w:pPr>
        <w:numPr>
          <w:ilvl w:val="0"/>
          <w:numId w:val="1398"/>
        </w:numPr>
        <w:pStyle w:val="Compact"/>
      </w:pPr>
      <w:r>
        <w:t xml:space="preserve">puertas del ciclo de vida y controles de cambio;</w:t>
      </w:r>
    </w:p>
    <w:p>
      <w:pPr>
        <w:numPr>
          <w:ilvl w:val="0"/>
          <w:numId w:val="1398"/>
        </w:numPr>
        <w:pStyle w:val="Compact"/>
      </w:pPr>
      <w:r>
        <w:t xml:space="preserve">validación técnica, seguimiento y gestión de incidentes;</w:t>
      </w:r>
    </w:p>
    <w:p>
      <w:pPr>
        <w:numPr>
          <w:ilvl w:val="0"/>
          <w:numId w:val="1398"/>
        </w:numPr>
        <w:pStyle w:val="Compact"/>
      </w:pPr>
      <w:r>
        <w:t xml:space="preserve">emisión, excepción, riesgo residual, reclamación y gestión de medidas correctivas;</w:t>
      </w:r>
    </w:p>
    <w:p>
      <w:pPr>
        <w:numPr>
          <w:ilvl w:val="0"/>
          <w:numId w:val="1398"/>
        </w:numPr>
        <w:pStyle w:val="Compact"/>
      </w:pPr>
      <w:r>
        <w:t xml:space="preserve">supervisión de proveedores, acceso a pruebas, gestión de concentraciones y planificación de salidas;</w:t>
      </w:r>
    </w:p>
    <w:p>
      <w:pPr>
        <w:numPr>
          <w:ilvl w:val="0"/>
          <w:numId w:val="1398"/>
        </w:numPr>
        <w:pStyle w:val="Compact"/>
      </w:pPr>
      <w:r>
        <w:t xml:space="preserve">la capacidad de garantía independiente y de respuesta normativa;</w:t>
      </w:r>
    </w:p>
    <w:p>
      <w:pPr>
        <w:numPr>
          <w:ilvl w:val="0"/>
          <w:numId w:val="1398"/>
        </w:numPr>
        <w:pStyle w:val="Compact"/>
      </w:pPr>
      <w:r>
        <w:t xml:space="preserve">capacitación financiada, competencia, tecnología y mejora continua.</w:t>
      </w:r>
    </w:p>
    <w:bookmarkEnd w:id="1278"/>
    <w:bookmarkStart w:id="1279" w:name="Xca64930dcf85a7a4a5e99ce6cb44994c4fcf5a1"/>
    <w:p>
      <w:pPr>
        <w:pStyle w:val="Heading2"/>
      </w:pPr>
      <w:r>
        <w:rPr>
          <w:rStyle w:val="SectionNumber"/>
        </w:rPr>
        <w:t xml:space="preserve">1.1233</w:t>
      </w:r>
      <w:r>
        <w:tab/>
      </w:r>
      <w:r>
        <w:t xml:space="preserve">Criterios de preparación para el final del año</w:t>
      </w:r>
    </w:p>
    <w:p>
      <w:pPr>
        <w:pStyle w:val="FirstParagraph"/>
      </w:pPr>
      <w:r>
        <w:t xml:space="preserve">Confirme que:</w:t>
      </w:r>
    </w:p>
    <w:p>
      <w:pPr>
        <w:numPr>
          <w:ilvl w:val="0"/>
          <w:numId w:val="1399"/>
        </w:numPr>
        <w:pStyle w:val="Compact"/>
      </w:pPr>
      <w:r>
        <w:t xml:space="preserve">todos los sistemas de materiales tienen propietarios responsables y registros actuales de los fines previstos;</w:t>
      </w:r>
    </w:p>
    <w:p>
      <w:pPr>
        <w:numPr>
          <w:ilvl w:val="0"/>
          <w:numId w:val="1399"/>
        </w:numPr>
        <w:pStyle w:val="Compact"/>
      </w:pPr>
      <w:r>
        <w:t xml:space="preserve">la detección de prácticas prohibidas está completa y se intensifican las cuestiones pendientes;</w:t>
      </w:r>
    </w:p>
    <w:p>
      <w:pPr>
        <w:numPr>
          <w:ilvl w:val="0"/>
          <w:numId w:val="1399"/>
        </w:numPr>
        <w:pStyle w:val="Compact"/>
      </w:pPr>
      <w:r>
        <w:t xml:space="preserve">función, alto riesgo, GPAI, transparencia y otras clasificaciones son actuales;</w:t>
      </w:r>
    </w:p>
    <w:p>
      <w:pPr>
        <w:numPr>
          <w:ilvl w:val="0"/>
          <w:numId w:val="1399"/>
        </w:numPr>
        <w:pStyle w:val="Compact"/>
      </w:pPr>
      <w:r>
        <w:t xml:space="preserve">la documentación obligatoria, los registros, las evaluaciones y las pruebas son recuperables y están vinculados a versiones;</w:t>
      </w:r>
    </w:p>
    <w:p>
      <w:pPr>
        <w:numPr>
          <w:ilvl w:val="0"/>
          <w:numId w:val="1399"/>
        </w:numPr>
        <w:pStyle w:val="Compact"/>
      </w:pPr>
      <w:r>
        <w:t xml:space="preserve">se prueban los procedimientos de supervisión humana, incidente, notificación, preservación, continuidad y parada del uso;</w:t>
      </w:r>
    </w:p>
    <w:p>
      <w:pPr>
        <w:numPr>
          <w:ilvl w:val="0"/>
          <w:numId w:val="1399"/>
        </w:numPr>
        <w:pStyle w:val="Compact"/>
      </w:pPr>
      <w:r>
        <w:t xml:space="preserve">la supervisión y el control contractual de los proveedores críticos;</w:t>
      </w:r>
    </w:p>
    <w:p>
      <w:pPr>
        <w:numPr>
          <w:ilvl w:val="0"/>
          <w:numId w:val="1399"/>
        </w:numPr>
        <w:pStyle w:val="Compact"/>
      </w:pPr>
      <w:r>
        <w:t xml:space="preserve">los cambios materiales desencadenan una reevaluación;</w:t>
      </w:r>
    </w:p>
    <w:p>
      <w:pPr>
        <w:numPr>
          <w:ilvl w:val="0"/>
          <w:numId w:val="1399"/>
        </w:numPr>
        <w:pStyle w:val="Compact"/>
      </w:pPr>
      <w:r>
        <w:t xml:space="preserve">los resultados, las excepciones, las quejas y los riesgos residuales se rigen activamente;</w:t>
      </w:r>
    </w:p>
    <w:p>
      <w:pPr>
        <w:numPr>
          <w:ilvl w:val="0"/>
          <w:numId w:val="1399"/>
        </w:numPr>
        <w:pStyle w:val="Compact"/>
      </w:pPr>
      <w:r>
        <w:t xml:space="preserve">los ejecutivos y el consejo de administración reciben informes fiables y útiles para la adopción de decisiones;</w:t>
      </w:r>
    </w:p>
    <w:p>
      <w:pPr>
        <w:numPr>
          <w:ilvl w:val="0"/>
          <w:numId w:val="1399"/>
        </w:numPr>
        <w:pStyle w:val="Compact"/>
      </w:pPr>
      <w:r>
        <w:t xml:space="preserve">Las prioridades del segundo año abordan las lagunas jurídicas, técnicas, operacionales y de control que quedan.</w:t>
      </w:r>
    </w:p>
    <w:bookmarkEnd w:id="1279"/>
    <w:bookmarkStart w:id="1280" w:name="X1d65c089a2fc771ff8675be20859d1833ab52fc"/>
    <w:p>
      <w:pPr>
        <w:pStyle w:val="Heading2"/>
      </w:pPr>
      <w:r>
        <w:rPr>
          <w:rStyle w:val="SectionNumber"/>
        </w:rPr>
        <w:t xml:space="preserve">1.1234</w:t>
      </w:r>
      <w:r>
        <w:tab/>
      </w:r>
      <w:r>
        <w:t xml:space="preserve">Ejemplo de servicios de viajes de GlobalWay</w:t>
      </w:r>
    </w:p>
    <w:p>
      <w:pPr>
        <w:pStyle w:val="FirstParagraph"/>
      </w:pPr>
      <w:r>
        <w:t xml:space="preserve">Para el mes 12, GlobalWay ha integrado la ingesta de IA en los flujos de trabajo de adquisiciones y desarrollo, ha implementado un registro centralizado de pruebas, ha ampliado la supervisión en todos los sistemas críticos y ha completado auditorías internas de los instrumentos de contratación y detección de fraudes.</w:t>
      </w:r>
    </w:p>
    <w:p>
      <w:pPr>
        <w:pStyle w:val="BodyText"/>
      </w:pPr>
      <w:r>
        <w:t xml:space="preserve">Un examen de la preparación para el final del año identifica la incongruencia en la retención de pruebas en dos unidades de negocio, deficiencias en la documentación de los proveedores regionales y notificaciones de transparencia multilingües incompletas. GlobalWay requiere medidas correctivas y retrasa el despliegue más amplio de un modelo de proveedor hasta que se validen los controles de vigilancia, incidentes, versiones y salidas.</w:t>
      </w:r>
    </w:p>
    <w:bookmarkEnd w:id="1280"/>
    <w:bookmarkStart w:id="1281" w:name="actividades-de-control-7"/>
    <w:p>
      <w:pPr>
        <w:pStyle w:val="Heading2"/>
      </w:pPr>
      <w:r>
        <w:rPr>
          <w:rStyle w:val="SectionNumber"/>
        </w:rPr>
        <w:t xml:space="preserve">1.1235</w:t>
      </w:r>
      <w:r>
        <w:tab/>
      </w:r>
      <w:r>
        <w:t xml:space="preserve">Actividades de control</w:t>
      </w:r>
    </w:p>
    <w:p>
      <w:pPr>
        <w:numPr>
          <w:ilvl w:val="0"/>
          <w:numId w:val="1400"/>
        </w:numPr>
        <w:pStyle w:val="Compact"/>
      </w:pPr>
      <w:r>
        <w:t xml:space="preserve">Escalar la gobernanza entre las entidades materiales y las dependencias empresariales.</w:t>
      </w:r>
    </w:p>
    <w:p>
      <w:pPr>
        <w:numPr>
          <w:ilvl w:val="0"/>
          <w:numId w:val="1400"/>
        </w:numPr>
        <w:pStyle w:val="Compact"/>
      </w:pPr>
      <w:r>
        <w:t xml:space="preserve">Estandarizar controles confiables, evidencia, identificadores y enlace de versiones.</w:t>
      </w:r>
    </w:p>
    <w:p>
      <w:pPr>
        <w:numPr>
          <w:ilvl w:val="0"/>
          <w:numId w:val="1400"/>
        </w:numPr>
        <w:pStyle w:val="Compact"/>
      </w:pPr>
      <w:r>
        <w:t xml:space="preserve">Automatice el inventario, el monitoreo y la recolección de pruebas sólo después de las pruebas de fiabilidad.</w:t>
      </w:r>
    </w:p>
    <w:p>
      <w:pPr>
        <w:numPr>
          <w:ilvl w:val="0"/>
          <w:numId w:val="1400"/>
        </w:numPr>
        <w:pStyle w:val="Compact"/>
      </w:pPr>
      <w:r>
        <w:t xml:space="preserve">Ampliar la supervisión, el examen temático, la auditoría interna y la garantía independiente.</w:t>
      </w:r>
    </w:p>
    <w:p>
      <w:pPr>
        <w:numPr>
          <w:ilvl w:val="0"/>
          <w:numId w:val="1400"/>
        </w:numPr>
        <w:pStyle w:val="Compact"/>
      </w:pPr>
      <w:r>
        <w:t xml:space="preserve">Ejercicio regulatorio, incidente, notificación, preservación, continuidad y preparación para la salida del proveedor.</w:t>
      </w:r>
    </w:p>
    <w:p>
      <w:pPr>
        <w:numPr>
          <w:ilvl w:val="0"/>
          <w:numId w:val="1400"/>
        </w:numPr>
        <w:pStyle w:val="Compact"/>
      </w:pPr>
      <w:r>
        <w:t xml:space="preserve">Reconcile la documentación y las versiones del sistema de implementación.</w:t>
      </w:r>
    </w:p>
    <w:p>
      <w:pPr>
        <w:numPr>
          <w:ilvl w:val="0"/>
          <w:numId w:val="1400"/>
        </w:numPr>
        <w:pStyle w:val="Compact"/>
      </w:pPr>
      <w:r>
        <w:t xml:space="preserve">Validar el cierre de la acción correctiva y la escalada de la excepción repetida.</w:t>
      </w:r>
    </w:p>
    <w:p>
      <w:pPr>
        <w:numPr>
          <w:ilvl w:val="0"/>
          <w:numId w:val="1400"/>
        </w:numPr>
        <w:pStyle w:val="Compact"/>
      </w:pPr>
      <w:r>
        <w:t xml:space="preserve">Realizar evaluaciones formales de preparación al final del año, madurez y riesgo residual.</w:t>
      </w:r>
    </w:p>
    <w:p>
      <w:pPr>
        <w:numPr>
          <w:ilvl w:val="0"/>
          <w:numId w:val="1400"/>
        </w:numPr>
        <w:pStyle w:val="Compact"/>
      </w:pPr>
      <w:r>
        <w:t xml:space="preserve">Aprobar los recursos y prioridades del segundo año.</w:t>
      </w:r>
    </w:p>
    <w:p>
      <w:pPr>
        <w:numPr>
          <w:ilvl w:val="0"/>
          <w:numId w:val="1400"/>
        </w:numPr>
        <w:pStyle w:val="Compact"/>
      </w:pPr>
      <w:r>
        <w:t xml:space="preserve">Informe a la junta sobre la eficacia, el riesgo no resuelto, el retraso en la rehabilitación y las necesidades de decisión.</w:t>
      </w:r>
    </w:p>
    <w:bookmarkEnd w:id="1281"/>
    <w:bookmarkStart w:id="1282" w:name="pruebas-131"/>
    <w:p>
      <w:pPr>
        <w:pStyle w:val="Heading2"/>
      </w:pPr>
      <w:r>
        <w:rPr>
          <w:rStyle w:val="SectionNumber"/>
        </w:rPr>
        <w:t xml:space="preserve">1.1236</w:t>
      </w:r>
      <w:r>
        <w:tab/>
      </w:r>
      <w:r>
        <w:t xml:space="preserve">Pruebas</w:t>
      </w:r>
    </w:p>
    <w:p>
      <w:pPr>
        <w:numPr>
          <w:ilvl w:val="0"/>
          <w:numId w:val="1401"/>
        </w:numPr>
        <w:pStyle w:val="Compact"/>
      </w:pPr>
      <w:r>
        <w:t xml:space="preserve">los registros de control y despliegue de la empresa;</w:t>
      </w:r>
    </w:p>
    <w:p>
      <w:pPr>
        <w:numPr>
          <w:ilvl w:val="0"/>
          <w:numId w:val="1401"/>
        </w:numPr>
        <w:pStyle w:val="Compact"/>
      </w:pPr>
      <w:r>
        <w:t xml:space="preserve">inventario actualizado, función, clasificación y registros de obligaciones;</w:t>
      </w:r>
    </w:p>
    <w:p>
      <w:pPr>
        <w:numPr>
          <w:ilvl w:val="0"/>
          <w:numId w:val="1401"/>
        </w:numPr>
        <w:pStyle w:val="Compact"/>
      </w:pPr>
      <w:r>
        <w:t xml:space="preserve">certificación de la unidad de negocio y del propietario del sistema;</w:t>
      </w:r>
    </w:p>
    <w:p>
      <w:pPr>
        <w:numPr>
          <w:ilvl w:val="0"/>
          <w:numId w:val="1401"/>
        </w:numPr>
        <w:pStyle w:val="Compact"/>
      </w:pPr>
      <w:r>
        <w:t xml:space="preserve">los resultados de los ensayos automatizados de inventario, supervisión y fiabilidad de las pruebas;</w:t>
      </w:r>
    </w:p>
    <w:p>
      <w:pPr>
        <w:numPr>
          <w:ilvl w:val="0"/>
          <w:numId w:val="1401"/>
        </w:numPr>
        <w:pStyle w:val="Compact"/>
      </w:pPr>
      <w:r>
        <w:t xml:space="preserve">los registros de formación y competencia;</w:t>
      </w:r>
    </w:p>
    <w:p>
      <w:pPr>
        <w:numPr>
          <w:ilvl w:val="0"/>
          <w:numId w:val="1401"/>
        </w:numPr>
        <w:pStyle w:val="Compact"/>
      </w:pPr>
      <w:r>
        <w:t xml:space="preserve">informes temáticos, de auditoría interna e independientes;</w:t>
      </w:r>
    </w:p>
    <w:p>
      <w:pPr>
        <w:numPr>
          <w:ilvl w:val="0"/>
          <w:numId w:val="1401"/>
        </w:numPr>
        <w:pStyle w:val="Compact"/>
      </w:pPr>
      <w:r>
        <w:t xml:space="preserve">los registros de seguimiento, incidentes, quejas, notificaciones, cambios y medidas correctivas;</w:t>
      </w:r>
    </w:p>
    <w:p>
      <w:pPr>
        <w:numPr>
          <w:ilvl w:val="0"/>
          <w:numId w:val="1401"/>
        </w:numPr>
        <w:pStyle w:val="Compact"/>
      </w:pPr>
      <w:r>
        <w:t xml:space="preserve">la rehabilitación, concentración, continuidad y pruebas de salida de los proveedores;</w:t>
      </w:r>
    </w:p>
    <w:p>
      <w:pPr>
        <w:numPr>
          <w:ilvl w:val="0"/>
          <w:numId w:val="1401"/>
        </w:numPr>
        <w:pStyle w:val="Compact"/>
      </w:pPr>
      <w:r>
        <w:t xml:space="preserve">resultados del ejercicio reglamentario, de incidentes, de retención legal y de continuidad;</w:t>
      </w:r>
    </w:p>
    <w:p>
      <w:pPr>
        <w:numPr>
          <w:ilvl w:val="0"/>
          <w:numId w:val="1401"/>
        </w:numPr>
        <w:pStyle w:val="Compact"/>
      </w:pPr>
      <w:r>
        <w:t xml:space="preserve">evaluaciones de preparación y madurez;</w:t>
      </w:r>
    </w:p>
    <w:p>
      <w:pPr>
        <w:numPr>
          <w:ilvl w:val="0"/>
          <w:numId w:val="1401"/>
        </w:numPr>
        <w:pStyle w:val="Compact"/>
      </w:pPr>
      <w:r>
        <w:t xml:space="preserve">informes de riesgo, excepción y rehabilitación al final del año;</w:t>
      </w:r>
    </w:p>
    <w:p>
      <w:pPr>
        <w:numPr>
          <w:ilvl w:val="0"/>
          <w:numId w:val="1401"/>
        </w:numPr>
        <w:pStyle w:val="Compact"/>
      </w:pPr>
      <w:r>
        <w:t xml:space="preserve">materiales, decisiones y aprobaciones del consejo de administración;</w:t>
      </w:r>
    </w:p>
    <w:p>
      <w:pPr>
        <w:numPr>
          <w:ilvl w:val="0"/>
          <w:numId w:val="1401"/>
        </w:numPr>
        <w:pStyle w:val="Compact"/>
      </w:pPr>
      <w:r>
        <w:t xml:space="preserve">hoja de ruta del año dos, plan de dotación de personal y presupuesto.</w:t>
      </w:r>
    </w:p>
    <w:bookmarkEnd w:id="1282"/>
    <w:bookmarkStart w:id="1283" w:name="pruebas-de-auditoría-7"/>
    <w:p>
      <w:pPr>
        <w:pStyle w:val="Heading2"/>
      </w:pPr>
      <w:r>
        <w:rPr>
          <w:rStyle w:val="SectionNumber"/>
        </w:rPr>
        <w:t xml:space="preserve">1.1237</w:t>
      </w:r>
      <w:r>
        <w:tab/>
      </w:r>
      <w:r>
        <w:t xml:space="preserve">Pruebas de auditoría</w:t>
      </w:r>
    </w:p>
    <w:p>
      <w:pPr>
        <w:numPr>
          <w:ilvl w:val="0"/>
          <w:numId w:val="1402"/>
        </w:numPr>
        <w:pStyle w:val="Compact"/>
      </w:pPr>
      <w:r>
        <w:t xml:space="preserve">Confirme que la gobernanza y los controles operan entre entidades materiales, unidades de negocio, jurisdicciones y proveedores.</w:t>
      </w:r>
    </w:p>
    <w:p>
      <w:pPr>
        <w:numPr>
          <w:ilvl w:val="0"/>
          <w:numId w:val="1402"/>
        </w:numPr>
        <w:pStyle w:val="Compact"/>
      </w:pPr>
      <w:r>
        <w:t xml:space="preserve">Pruebe los productos automatizados de inventario, monitoreo o evidencia para verificar su integridad, exactitud, puntualidad y trazabilidad.</w:t>
      </w:r>
    </w:p>
    <w:p>
      <w:pPr>
        <w:numPr>
          <w:ilvl w:val="0"/>
          <w:numId w:val="1402"/>
        </w:numPr>
        <w:pStyle w:val="Compact"/>
      </w:pPr>
      <w:r>
        <w:t xml:space="preserve">Examinar las garantías temáticas e independientes, incluida la validación del cierre de las medidas correctivas.</w:t>
      </w:r>
    </w:p>
    <w:p>
      <w:pPr>
        <w:numPr>
          <w:ilvl w:val="0"/>
          <w:numId w:val="1402"/>
        </w:numPr>
        <w:pStyle w:val="Compact"/>
      </w:pPr>
      <w:r>
        <w:t xml:space="preserve">Reconciliar los sistemas de producción seleccionados para aprobar el propósito previsto, la clasificación, la documentación, la versión implementada, la supervisión y los registros de proveedores.</w:t>
      </w:r>
    </w:p>
    <w:p>
      <w:pPr>
        <w:numPr>
          <w:ilvl w:val="0"/>
          <w:numId w:val="1402"/>
        </w:numPr>
        <w:pStyle w:val="Compact"/>
      </w:pPr>
      <w:r>
        <w:t xml:space="preserve">Verificar que los cambios significativos en el modelo, los datos, el propósito, el proveedor o la jurisdicción desencadenaron una reevaluación.</w:t>
      </w:r>
    </w:p>
    <w:p>
      <w:pPr>
        <w:numPr>
          <w:ilvl w:val="0"/>
          <w:numId w:val="1402"/>
        </w:numPr>
        <w:pStyle w:val="Compact"/>
      </w:pPr>
      <w:r>
        <w:t xml:space="preserve">Confirme que los ejercicios de preparación identificaron deficiencias realistas y que se completaron y volvieron a probar las medidas correctivas.</w:t>
      </w:r>
    </w:p>
    <w:p>
      <w:pPr>
        <w:numPr>
          <w:ilvl w:val="0"/>
          <w:numId w:val="1402"/>
        </w:numPr>
        <w:pStyle w:val="Compact"/>
      </w:pPr>
      <w:r>
        <w:t xml:space="preserve">Evaluar el vencimiento y las conclusiones de fin de año con respecto a las pruebas de apoyo actuales.</w:t>
      </w:r>
    </w:p>
    <w:p>
      <w:pPr>
        <w:numPr>
          <w:ilvl w:val="0"/>
          <w:numId w:val="1402"/>
        </w:numPr>
        <w:pStyle w:val="Compact"/>
      </w:pPr>
      <w:r>
        <w:t xml:space="preserve">Confirmar el riesgo no resuelto, el retraso en la rehabilitación y las excepciones aceptadas se intensificaron hasta alcanzar el nivel adecuado de gobernanza.</w:t>
      </w:r>
    </w:p>
    <w:p>
      <w:pPr>
        <w:numPr>
          <w:ilvl w:val="0"/>
          <w:numId w:val="1402"/>
        </w:numPr>
        <w:pStyle w:val="Compact"/>
      </w:pPr>
      <w:r>
        <w:t xml:space="preserve">Verificar que las revisiones de la preparación no sustituyen a los procesos reglamentarios o de conformidad legalmente requeridos.</w:t>
      </w:r>
    </w:p>
    <w:p>
      <w:pPr>
        <w:numPr>
          <w:ilvl w:val="0"/>
          <w:numId w:val="1402"/>
        </w:numPr>
        <w:pStyle w:val="Compact"/>
      </w:pPr>
      <w:r>
        <w:t xml:space="preserve">Confirme que las prioridades del segundo año abordan deficiencias jurídicas, técnicas, de proveedores, de pruebas y de control.</w:t>
      </w:r>
    </w:p>
    <w:bookmarkEnd w:id="1283"/>
    <w:bookmarkStart w:id="1284" w:name="métricas-8"/>
    <w:p>
      <w:pPr>
        <w:pStyle w:val="Heading2"/>
      </w:pPr>
      <w:r>
        <w:rPr>
          <w:rStyle w:val="SectionNumber"/>
        </w:rPr>
        <w:t xml:space="preserve">1.1238</w:t>
      </w:r>
      <w:r>
        <w:tab/>
      </w:r>
      <w:r>
        <w:t xml:space="preserve">Métricas</w:t>
      </w:r>
    </w:p>
    <w:p>
      <w:pPr>
        <w:numPr>
          <w:ilvl w:val="0"/>
          <w:numId w:val="1403"/>
        </w:numPr>
        <w:pStyle w:val="Compact"/>
      </w:pPr>
      <w:r>
        <w:t xml:space="preserve">inventario empresarial y cobertura de la propiedad;</w:t>
      </w:r>
    </w:p>
    <w:p>
      <w:pPr>
        <w:numPr>
          <w:ilvl w:val="0"/>
          <w:numId w:val="1403"/>
        </w:numPr>
        <w:pStyle w:val="Compact"/>
      </w:pPr>
      <w:r>
        <w:t xml:space="preserve">la tasa actual de evaluación de las funciones y la clasificación;</w:t>
      </w:r>
    </w:p>
    <w:p>
      <w:pPr>
        <w:numPr>
          <w:ilvl w:val="0"/>
          <w:numId w:val="1403"/>
        </w:numPr>
        <w:pStyle w:val="Compact"/>
      </w:pPr>
      <w:r>
        <w:t xml:space="preserve">controles operativos por entidad y unidad de negocio;</w:t>
      </w:r>
    </w:p>
    <w:p>
      <w:pPr>
        <w:numPr>
          <w:ilvl w:val="0"/>
          <w:numId w:val="1403"/>
        </w:numPr>
        <w:pStyle w:val="Compact"/>
      </w:pPr>
      <w:r>
        <w:t xml:space="preserve">cobertura automatizada de pruebas y excepciones de fiabilidad;</w:t>
      </w:r>
    </w:p>
    <w:p>
      <w:pPr>
        <w:numPr>
          <w:ilvl w:val="0"/>
          <w:numId w:val="1403"/>
        </w:numPr>
        <w:pStyle w:val="Compact"/>
      </w:pPr>
      <w:r>
        <w:t xml:space="preserve">sistemas de alto riesgo o regulados de otro modo con pruebas de disponibilidad actuales;</w:t>
      </w:r>
    </w:p>
    <w:p>
      <w:pPr>
        <w:numPr>
          <w:ilvl w:val="0"/>
          <w:numId w:val="1403"/>
        </w:numPr>
        <w:pStyle w:val="Compact"/>
      </w:pPr>
      <w:r>
        <w:t xml:space="preserve">supervisar las alertas, quejas e incidentes investigados a tiempo;</w:t>
      </w:r>
    </w:p>
    <w:p>
      <w:pPr>
        <w:numPr>
          <w:ilvl w:val="0"/>
          <w:numId w:val="1403"/>
        </w:numPr>
        <w:pStyle w:val="Compact"/>
      </w:pPr>
      <w:r>
        <w:t xml:space="preserve">los resultados de auditoría, los resultados repetidos y las medidas correctoras atrasadas;</w:t>
      </w:r>
    </w:p>
    <w:p>
      <w:pPr>
        <w:numPr>
          <w:ilvl w:val="0"/>
          <w:numId w:val="1403"/>
        </w:numPr>
        <w:pStyle w:val="Compact"/>
      </w:pPr>
      <w:r>
        <w:t xml:space="preserve">ejercicios reglamentarios, incidentes, continuidad y salida de proveedores completados;</w:t>
      </w:r>
    </w:p>
    <w:p>
      <w:pPr>
        <w:numPr>
          <w:ilvl w:val="0"/>
          <w:numId w:val="1403"/>
        </w:numPr>
        <w:pStyle w:val="Compact"/>
      </w:pPr>
      <w:r>
        <w:t xml:space="preserve">excepciones vencidas y prórrogas reiteradas;</w:t>
      </w:r>
    </w:p>
    <w:p>
      <w:pPr>
        <w:numPr>
          <w:ilvl w:val="0"/>
          <w:numId w:val="1403"/>
        </w:numPr>
        <w:pStyle w:val="Compact"/>
      </w:pPr>
      <w:r>
        <w:t xml:space="preserve">puntuación de madurez por dominio;</w:t>
      </w:r>
    </w:p>
    <w:p>
      <w:pPr>
        <w:numPr>
          <w:ilvl w:val="0"/>
          <w:numId w:val="1403"/>
        </w:numPr>
        <w:pStyle w:val="Compact"/>
      </w:pPr>
      <w:r>
        <w:t xml:space="preserve">la documentación no resuelta de los proveedores y las lagunas de versión;</w:t>
      </w:r>
    </w:p>
    <w:p>
      <w:pPr>
        <w:numPr>
          <w:ilvl w:val="0"/>
          <w:numId w:val="1403"/>
        </w:numPr>
        <w:pStyle w:val="Compact"/>
      </w:pPr>
      <w:r>
        <w:t xml:space="preserve">año-dos acciones financiadas, asignadas y programadas.</w:t>
      </w:r>
    </w:p>
    <w:bookmarkEnd w:id="1284"/>
    <w:bookmarkStart w:id="1285" w:name="lista-de-verificación-de-gestión-10"/>
    <w:p>
      <w:pPr>
        <w:pStyle w:val="Heading2"/>
      </w:pPr>
      <w:r>
        <w:rPr>
          <w:rStyle w:val="SectionNumber"/>
        </w:rPr>
        <w:t xml:space="preserve">1.1239</w:t>
      </w:r>
      <w:r>
        <w:tab/>
      </w:r>
      <w:r>
        <w:t xml:space="preserve">Lista de verificación de gestión</w:t>
      </w:r>
    </w:p>
    <w:p>
      <w:pPr>
        <w:numPr>
          <w:ilvl w:val="0"/>
          <w:numId w:val="1404"/>
        </w:numPr>
        <w:pStyle w:val="Compact"/>
      </w:pPr>
      <w:r>
        <w:t xml:space="preserve">¿La gobernanza de la IA se ha convertido en parte de las operaciones normales?</w:t>
      </w:r>
    </w:p>
    <w:p>
      <w:pPr>
        <w:numPr>
          <w:ilvl w:val="0"/>
          <w:numId w:val="1404"/>
        </w:numPr>
        <w:pStyle w:val="Compact"/>
      </w:pPr>
      <w:r>
        <w:t xml:space="preserve">¿Escalan los controles entre entidades, jurisdicciones, tecnologías y proveedores?</w:t>
      </w:r>
    </w:p>
    <w:p>
      <w:pPr>
        <w:numPr>
          <w:ilvl w:val="0"/>
          <w:numId w:val="1404"/>
        </w:numPr>
        <w:pStyle w:val="Compact"/>
      </w:pPr>
      <w:r>
        <w:t xml:space="preserve">¿Podemos demostrar disponibilidad con pruebas actuales, recuperables, vinculadas a versiones?</w:t>
      </w:r>
    </w:p>
    <w:p>
      <w:pPr>
        <w:numPr>
          <w:ilvl w:val="0"/>
          <w:numId w:val="1404"/>
        </w:numPr>
        <w:pStyle w:val="Compact"/>
      </w:pPr>
      <w:r>
        <w:t xml:space="preserve">¿Son el seguimiento y la garantía la identificación de problemas reales y la conducción de medidas correctoras?</w:t>
      </w:r>
    </w:p>
    <w:p>
      <w:pPr>
        <w:numPr>
          <w:ilvl w:val="0"/>
          <w:numId w:val="1404"/>
        </w:numPr>
        <w:pStyle w:val="Compact"/>
      </w:pPr>
      <w:r>
        <w:t xml:space="preserve">¿Han provocado cambios significativos la reevaluación?</w:t>
      </w:r>
    </w:p>
    <w:p>
      <w:pPr>
        <w:numPr>
          <w:ilvl w:val="0"/>
          <w:numId w:val="1404"/>
        </w:numPr>
        <w:pStyle w:val="Compact"/>
      </w:pPr>
      <w:r>
        <w:t xml:space="preserve">¿Comprende la junta el riesgo residual, las excepciones aceptadas, las acciones atrasadas y las lagunas no resueltas?</w:t>
      </w:r>
    </w:p>
    <w:p>
      <w:pPr>
        <w:numPr>
          <w:ilvl w:val="0"/>
          <w:numId w:val="1404"/>
        </w:numPr>
        <w:pStyle w:val="Compact"/>
      </w:pPr>
      <w:r>
        <w:t xml:space="preserve">¿Se financia y prioriza el programa del segundo año?</w:t>
      </w:r>
    </w:p>
    <w:p>
      <w:pPr>
        <w:numPr>
          <w:ilvl w:val="0"/>
          <w:numId w:val="1404"/>
        </w:numPr>
        <w:pStyle w:val="Compact"/>
      </w:pPr>
      <w:r>
        <w:t xml:space="preserve">¿Se distinguen claramente las obligaciones estatutarias de los hitos internos del primer año?</w:t>
      </w:r>
    </w:p>
    <w:bookmarkEnd w:id="1285"/>
    <w:bookmarkStart w:id="1286" w:name="Xabc973ee3a1d6173ebf03308d53678ecee0e4ab"/>
    <w:p>
      <w:pPr>
        <w:pStyle w:val="Heading2"/>
      </w:pPr>
      <w:r>
        <w:rPr>
          <w:rStyle w:val="SectionNumber"/>
        </w:rPr>
        <w:t xml:space="preserve">1.1240</w:t>
      </w:r>
      <w:r>
        <w:tab/>
      </w:r>
      <w:r>
        <w:t xml:space="preserve">Especificación de la figura — Transformación de la gobernanza de la IA de doce meses</w:t>
      </w:r>
    </w:p>
    <w:p>
      <w:pPr>
        <w:pStyle w:val="FirstParagraph"/>
      </w:pPr>
      <w:r>
        <w:t xml:space="preserve">Crear un cronograma desde el control y triaje inicial a través de inventario validado, implementación de control, garantía técnica, escalado institucional, monitoreo continuo, ejercicios regulatorios e incidentes, preparación al final del año, revisión de madurez y planificación del año dos. Mostrar reevaluación después de cambios significativos y bucles de acción correctiva después de garantía fallida.</w:t>
      </w:r>
    </w:p>
    <w:p>
      <w:pPr>
        <w:pStyle w:val="BodyText"/>
      </w:pPr>
      <w:r>
        <w:rPr>
          <w:bCs/>
          <w:b/>
        </w:rPr>
        <w:t xml:space="preserve">Texto Alt:</w:t>
      </w:r>
      <w:r>
        <w:t xml:space="preserve"> </w:t>
      </w:r>
      <w:r>
        <w:t xml:space="preserve">El calendario de transformación de la gobernanza de la IA de doce meses avanza desde el control inicial y el triaje hasta la evaluación del sistema, los controles, la garantía, el escalado empresarial, la supervisión continua, los ejercicios de regulación, la preparación al final del año, la revisión de la madurez y la planificación del segundo año, con ciclos de reevaluación y medidas correctivas.</w:t>
      </w:r>
    </w:p>
    <w:bookmarkEnd w:id="1286"/>
    <w:bookmarkStart w:id="1287" w:name="referencias-jurídicas-primarias-100"/>
    <w:p>
      <w:pPr>
        <w:pStyle w:val="Heading2"/>
      </w:pPr>
      <w:r>
        <w:rPr>
          <w:rStyle w:val="SectionNumber"/>
        </w:rPr>
        <w:t xml:space="preserve">1.1241</w:t>
      </w:r>
      <w:r>
        <w:tab/>
      </w:r>
      <w:r>
        <w:t xml:space="preserve">Referencias jurídicas primarias</w:t>
      </w:r>
    </w:p>
    <w:p>
      <w:pPr>
        <w:numPr>
          <w:ilvl w:val="0"/>
          <w:numId w:val="1405"/>
        </w:numPr>
        <w:pStyle w:val="Compact"/>
      </w:pPr>
      <w:r>
        <w:t xml:space="preserve">Reglamento (UE) 2024/1689, en su versión modificada, incluido el actor aplicable, alto riesgo, transparencia, GPAI, gestión de la calidad, gestión de riesgos, documentación, registro, supervisión, seguimiento, incidencia, acción correctiva, conformidad, registro y disposiciones sobre autoridad y cooperación.</w:t>
      </w:r>
    </w:p>
    <w:p>
      <w:pPr>
        <w:numPr>
          <w:ilvl w:val="0"/>
          <w:numId w:val="1405"/>
        </w:numPr>
        <w:pStyle w:val="Compact"/>
      </w:pPr>
      <w:r>
        <w:t xml:space="preserve">Reglamento (UE) 2026/1744, en su caso.</w:t>
      </w:r>
    </w:p>
    <w:p>
      <w:pPr>
        <w:numPr>
          <w:ilvl w:val="0"/>
          <w:numId w:val="1405"/>
        </w:numPr>
        <w:pStyle w:val="Compact"/>
      </w:pPr>
      <w:r>
        <w:t xml:space="preserve">Fechas efectivas aplicables, disposiciones transitorias, legislación sectorial, requisitos de conformidad y control de los deberes de los actores sobre esta hoja de ruta recomendada.</w:t>
      </w:r>
    </w:p>
    <w:p>
      <w:pPr>
        <w:numPr>
          <w:ilvl w:val="0"/>
          <w:numId w:val="1405"/>
        </w:numPr>
        <w:pStyle w:val="Compact"/>
      </w:pPr>
      <w:r>
        <w:t xml:space="preserve">Los textos oficiales consolidados actuales controlan los resúmenes antiguos.</w:t>
      </w:r>
    </w:p>
    <w:bookmarkEnd w:id="1287"/>
    <w:bookmarkStart w:id="1288" w:name="X1becf06176b4ed8ff327e33c16703a0a6bd7442"/>
    <w:p>
      <w:pPr>
        <w:pStyle w:val="Heading2"/>
      </w:pPr>
      <w:r>
        <w:rPr>
          <w:rStyle w:val="SectionNumber"/>
        </w:rPr>
        <w:t xml:space="preserve">1.1242</w:t>
      </w:r>
      <w:r>
        <w:tab/>
      </w:r>
      <w:r>
        <w:t xml:space="preserve">Capítulo 133 — Hoja de ruta para la preparación para situaciones de alto riesgo</w:t>
      </w:r>
    </w:p>
    <w:p>
      <w:pPr>
        <w:pStyle w:val="BlockText"/>
      </w:pPr>
      <w:r>
        <w:rPr>
          <w:bCs/>
          <w:b/>
        </w:rPr>
        <w:t xml:space="preserve">Estado legal:</w:t>
      </w:r>
      <w:r>
        <w:t xml:space="preserve"> </w:t>
      </w:r>
      <w:r>
        <w:t xml:space="preserve">Maestro inglés corregido para la consolidación. Este capítulo es una hoja de ruta de preparación recomendada. No reemplaza la ruta de evaluación de la conformidad legalmente requerida, la participación del organismo notificado, el registro, la declaración, el marcado o la supervisión de la autoridad.</w:t>
      </w:r>
    </w:p>
    <w:bookmarkEnd w:id="1288"/>
    <w:bookmarkStart w:id="1289" w:name="finalidad-11"/>
    <w:p>
      <w:pPr>
        <w:pStyle w:val="Heading2"/>
      </w:pPr>
      <w:r>
        <w:rPr>
          <w:rStyle w:val="SectionNumber"/>
        </w:rPr>
        <w:t xml:space="preserve">1.1243</w:t>
      </w:r>
      <w:r>
        <w:tab/>
      </w:r>
      <w:r>
        <w:t xml:space="preserve">Finalidad</w:t>
      </w:r>
    </w:p>
    <w:p>
      <w:pPr>
        <w:pStyle w:val="FirstParagraph"/>
      </w:pPr>
      <w:r>
        <w:t xml:space="preserve">Este capítulo proporciona una hoja de ruta práctica para las organizaciones que preparan sistemas de IA que pueden considerarse de alto riesgo en virtud de la Ley de IA de la UE.</w:t>
      </w:r>
    </w:p>
    <w:p>
      <w:pPr>
        <w:pStyle w:val="BodyText"/>
      </w:pPr>
      <w:r>
        <w:t xml:space="preserve">AI puede apoyar la toma de decisiones humanas, pero no debe eliminar la responsabilidad humana, el juicio o la rendición de cuentas.</w:t>
      </w:r>
    </w:p>
    <w:bookmarkEnd w:id="1289"/>
    <w:bookmarkStart w:id="1290" w:name="requisito-131"/>
    <w:p>
      <w:pPr>
        <w:pStyle w:val="Heading2"/>
      </w:pPr>
      <w:r>
        <w:rPr>
          <w:rStyle w:val="SectionNumber"/>
        </w:rPr>
        <w:t xml:space="preserve">1.1244</w:t>
      </w:r>
      <w:r>
        <w:tab/>
      </w:r>
      <w:r>
        <w:t xml:space="preserve">Requisito</w:t>
      </w:r>
    </w:p>
    <w:p>
      <w:pPr>
        <w:pStyle w:val="FirstParagraph"/>
      </w:pPr>
      <w:r>
        <w:t xml:space="preserve">Las organizaciones que actúen como proveedores, despliegues, importadores, distribuidores, representantes autorizados, fabricantes de productos u otros agentes regulados deben identificar rápidamente los sistemas de IA potencialmente de alto riesgo, confirmar la clasificación jurídica aplicable y las obligaciones de los agentes, asignar a los propietarios responsables, aplicar los controles necesarios del ciclo de vida, mantener pruebas técnicas y de gobernanza completas y verificar la preparación antes de comercializar un sistema o ponerlo en servicio.</w:t>
      </w:r>
    </w:p>
    <w:p>
      <w:pPr>
        <w:pStyle w:val="BodyText"/>
      </w:pPr>
      <w:r>
        <w:t xml:space="preserve">Las obligaciones de cumplimiento, registro, declaración, marcado, monitoreo y notificación también varían según la categoría del sistema, la interfaz entre la legislación de productos, el propósito previsto, la jurisdicción, la fecha de liberación y la fecha de entrada en vigor aplicable.</w:t>
      </w:r>
    </w:p>
    <w:bookmarkEnd w:id="1290"/>
    <w:bookmarkStart w:id="1291" w:name="explicación-en-lenguaje-sencillo-128"/>
    <w:p>
      <w:pPr>
        <w:pStyle w:val="Heading2"/>
      </w:pPr>
      <w:r>
        <w:rPr>
          <w:rStyle w:val="SectionNumber"/>
        </w:rPr>
        <w:t xml:space="preserve">1.1245</w:t>
      </w:r>
      <w:r>
        <w:tab/>
      </w:r>
      <w:r>
        <w:t xml:space="preserve">Explicación en lenguaje sencillo</w:t>
      </w:r>
    </w:p>
    <w:p>
      <w:pPr>
        <w:pStyle w:val="FirstParagraph"/>
      </w:pPr>
      <w:r>
        <w:t xml:space="preserve">Es un programa coordinado que abarca la clasificación, el análisis de funciones, la gestión de riesgos, la gobernanza de los datos, la documentación técnica, los registros, la transparencia, la supervisión humana, la exactitud, la robustez, la ciberseguridad, la gestión de la calidad, las actividades de conformidad, el registro, los controles de despliegue, el seguimiento posterior a la comercialización, los incidentes, las medidas correctivas y el cambio.</w:t>
      </w:r>
    </w:p>
    <w:p>
      <w:pPr>
        <w:pStyle w:val="BodyText"/>
      </w:pPr>
      <w:r>
        <w:t xml:space="preserve">Las revisiones internas de la preparación son útiles, pero no pueden sustituir a una evaluación de la conformidad, un proceso de organismo notificado, un registro, una declaración, un marcado CE, una decisión de la autoridad u otra obligación legal exigida por la ley.</w:t>
      </w:r>
    </w:p>
    <w:bookmarkEnd w:id="1291"/>
    <w:bookmarkStart w:id="1292" w:name="fase-1-identificar-y-clasificar"/>
    <w:p>
      <w:pPr>
        <w:pStyle w:val="Heading2"/>
      </w:pPr>
      <w:r>
        <w:rPr>
          <w:rStyle w:val="SectionNumber"/>
        </w:rPr>
        <w:t xml:space="preserve">1.1246</w:t>
      </w:r>
      <w:r>
        <w:tab/>
      </w:r>
      <w:r>
        <w:t xml:space="preserve">Fase 1: identificar y clasificar</w:t>
      </w:r>
    </w:p>
    <w:p>
      <w:pPr>
        <w:numPr>
          <w:ilvl w:val="0"/>
          <w:numId w:val="1406"/>
        </w:numPr>
        <w:pStyle w:val="Compact"/>
      </w:pPr>
      <w:r>
        <w:t xml:space="preserve">validar el inventario de IA;</w:t>
      </w:r>
    </w:p>
    <w:p>
      <w:pPr>
        <w:numPr>
          <w:ilvl w:val="0"/>
          <w:numId w:val="1406"/>
        </w:numPr>
        <w:pStyle w:val="Compact"/>
      </w:pPr>
      <w:r>
        <w:t xml:space="preserve">determinar el propósito previsto, el uso real, el uso indebido razonablemente previsible y las poblaciones afectadas;</w:t>
      </w:r>
    </w:p>
    <w:p>
      <w:pPr>
        <w:numPr>
          <w:ilvl w:val="0"/>
          <w:numId w:val="1406"/>
        </w:numPr>
        <w:pStyle w:val="Compact"/>
      </w:pPr>
      <w:r>
        <w:t xml:space="preserve">el proveedor de mapas, el desplieguer, el importador, el distribuidor, el representante autorizado, el fabricante de productos y el proveedor;</w:t>
      </w:r>
    </w:p>
    <w:p>
      <w:pPr>
        <w:numPr>
          <w:ilvl w:val="0"/>
          <w:numId w:val="1406"/>
        </w:numPr>
        <w:pStyle w:val="Compact"/>
      </w:pPr>
      <w:r>
        <w:t xml:space="preserve">evaluar las rutas de productos o componentes de seguridad del artículo 6, apartado 1, y del anexo I;</w:t>
      </w:r>
    </w:p>
    <w:p>
      <w:pPr>
        <w:numPr>
          <w:ilvl w:val="0"/>
          <w:numId w:val="1406"/>
        </w:numPr>
        <w:pStyle w:val="Compact"/>
      </w:pPr>
      <w:r>
        <w:t xml:space="preserve">evaluar los casos de uso del artículo 6, apartado 2, y del anexo III;</w:t>
      </w:r>
    </w:p>
    <w:p>
      <w:pPr>
        <w:numPr>
          <w:ilvl w:val="0"/>
          <w:numId w:val="1406"/>
        </w:numPr>
        <w:pStyle w:val="Compact"/>
      </w:pPr>
      <w:r>
        <w:t xml:space="preserve">documentar cualquier análisis de las excepciones del apartado 3 del artículo 6 y la advertencia sobre la elaboración de perfiles;</w:t>
      </w:r>
    </w:p>
    <w:p>
      <w:pPr>
        <w:numPr>
          <w:ilvl w:val="0"/>
          <w:numId w:val="1406"/>
        </w:numPr>
        <w:pStyle w:val="Compact"/>
      </w:pPr>
      <w:r>
        <w:t xml:space="preserve">revisar las exclusiones, las condiciones especiales y los superposiciones legales sectoriales;</w:t>
      </w:r>
    </w:p>
    <w:p>
      <w:pPr>
        <w:numPr>
          <w:ilvl w:val="0"/>
          <w:numId w:val="1406"/>
        </w:numPr>
        <w:pStyle w:val="Compact"/>
      </w:pPr>
      <w:r>
        <w:t xml:space="preserve">identificar las personas jurídicas, las jurisdicciones, las fechas de liberación y las fechas de entrada en vigor aplicables;</w:t>
      </w:r>
    </w:p>
    <w:p>
      <w:pPr>
        <w:numPr>
          <w:ilvl w:val="0"/>
          <w:numId w:val="1406"/>
        </w:numPr>
        <w:pStyle w:val="Compact"/>
      </w:pPr>
      <w:r>
        <w:t xml:space="preserve">documentar la justificación jurídica, los supuestos, las pruebas, los aprobadores y los desencadenantes de la reevaluación.</w:t>
      </w:r>
    </w:p>
    <w:p>
      <w:pPr>
        <w:pStyle w:val="FirstParagraph"/>
      </w:pPr>
      <w:r>
        <w:t xml:space="preserve">Los sistemas potencialmente de alto riesgo deben seguir sujetos a controles precautorios hasta que se resuelva la incertidumbre de clasificación.</w:t>
      </w:r>
    </w:p>
    <w:bookmarkEnd w:id="1292"/>
    <w:bookmarkStart w:id="1293" w:name="fase-2-establecer-la-gobernanza"/>
    <w:p>
      <w:pPr>
        <w:pStyle w:val="Heading2"/>
      </w:pPr>
      <w:r>
        <w:rPr>
          <w:rStyle w:val="SectionNumber"/>
        </w:rPr>
        <w:t xml:space="preserve">1.1247</w:t>
      </w:r>
      <w:r>
        <w:tab/>
      </w:r>
      <w:r>
        <w:t xml:space="preserve">Fase 2: establecer la gobernanza</w:t>
      </w:r>
    </w:p>
    <w:p>
      <w:pPr>
        <w:numPr>
          <w:ilvl w:val="0"/>
          <w:numId w:val="1407"/>
        </w:numPr>
        <w:pStyle w:val="Compact"/>
      </w:pPr>
      <w:r>
        <w:t xml:space="preserve">nombrar a los propietarios de empresas, técnicos, legales, de riesgo, de datos, de seguridad, de cumplimiento, de privacidad, de adquisiciones y de registros responsables;</w:t>
      </w:r>
    </w:p>
    <w:p>
      <w:pPr>
        <w:numPr>
          <w:ilvl w:val="0"/>
          <w:numId w:val="1407"/>
        </w:numPr>
        <w:pStyle w:val="Compact"/>
      </w:pPr>
      <w:r>
        <w:t xml:space="preserve">definirá la decisión, la escalada, la suspensión del uso, la liberación y la autoridad de riesgo residual;</w:t>
      </w:r>
    </w:p>
    <w:p>
      <w:pPr>
        <w:numPr>
          <w:ilvl w:val="0"/>
          <w:numId w:val="1407"/>
        </w:numPr>
        <w:pStyle w:val="Compact"/>
      </w:pPr>
      <w:r>
        <w:t xml:space="preserve">establecer responsabilidades de gestión de la calidad cuando se apliquen las obligaciones del proveedor;</w:t>
      </w:r>
    </w:p>
    <w:p>
      <w:pPr>
        <w:numPr>
          <w:ilvl w:val="0"/>
          <w:numId w:val="1407"/>
        </w:numPr>
        <w:pStyle w:val="Compact"/>
      </w:pPr>
      <w:r>
        <w:t xml:space="preserve">aprobar el plan de gestión de riesgos y la metodología de evaluación;</w:t>
      </w:r>
    </w:p>
    <w:p>
      <w:pPr>
        <w:numPr>
          <w:ilvl w:val="0"/>
          <w:numId w:val="1407"/>
        </w:numPr>
        <w:pStyle w:val="Compact"/>
      </w:pPr>
      <w:r>
        <w:t xml:space="preserve">identificar al personal y a los suplentes competentes en materia de supervisión humana;</w:t>
      </w:r>
    </w:p>
    <w:p>
      <w:pPr>
        <w:numPr>
          <w:ilvl w:val="0"/>
          <w:numId w:val="1407"/>
        </w:numPr>
        <w:pStyle w:val="Compact"/>
      </w:pPr>
      <w:r>
        <w:t xml:space="preserve">definir funciones independientes de validación, conformidad, auditoría y garantía;</w:t>
      </w:r>
    </w:p>
    <w:p>
      <w:pPr>
        <w:numPr>
          <w:ilvl w:val="0"/>
          <w:numId w:val="1407"/>
        </w:numPr>
        <w:pStyle w:val="Compact"/>
      </w:pPr>
      <w:r>
        <w:t xml:space="preserve">establecer las pruebas del proveedor, la notificación de cambios, el apoyo a incidentes, la preservación y las expectativas de los derechos de auditoría;</w:t>
      </w:r>
    </w:p>
    <w:p>
      <w:pPr>
        <w:numPr>
          <w:ilvl w:val="0"/>
          <w:numId w:val="1407"/>
        </w:numPr>
        <w:pStyle w:val="Compact"/>
      </w:pPr>
      <w:r>
        <w:t xml:space="preserve">crear un registro de preparación de alto riesgo con los propietarios, dependencias, plazos y estado probatorio.</w:t>
      </w:r>
    </w:p>
    <w:bookmarkEnd w:id="1293"/>
    <w:bookmarkStart w:id="1294" w:name="fase-3-implementar-controles-básicos"/>
    <w:p>
      <w:pPr>
        <w:pStyle w:val="Heading2"/>
      </w:pPr>
      <w:r>
        <w:rPr>
          <w:rStyle w:val="SectionNumber"/>
        </w:rPr>
        <w:t xml:space="preserve">1.1248</w:t>
      </w:r>
      <w:r>
        <w:tab/>
      </w:r>
      <w:r>
        <w:t xml:space="preserve">Fase 3: Implementar controles básicos</w:t>
      </w:r>
    </w:p>
    <w:p>
      <w:pPr>
        <w:pStyle w:val="FirstParagraph"/>
      </w:pPr>
      <w:r>
        <w:t xml:space="preserve">Aplicación y pruebas, según proceda:</w:t>
      </w:r>
    </w:p>
    <w:p>
      <w:pPr>
        <w:numPr>
          <w:ilvl w:val="0"/>
          <w:numId w:val="1408"/>
        </w:numPr>
        <w:pStyle w:val="Compact"/>
      </w:pPr>
      <w:r>
        <w:t xml:space="preserve">la gestión continua del riesgo;</w:t>
      </w:r>
    </w:p>
    <w:p>
      <w:pPr>
        <w:numPr>
          <w:ilvl w:val="0"/>
          <w:numId w:val="1408"/>
        </w:numPr>
        <w:pStyle w:val="Compact"/>
      </w:pPr>
      <w:r>
        <w:t xml:space="preserve">controles de datos y gobernanza de los datos;</w:t>
      </w:r>
    </w:p>
    <w:p>
      <w:pPr>
        <w:numPr>
          <w:ilvl w:val="0"/>
          <w:numId w:val="1408"/>
        </w:numPr>
        <w:pStyle w:val="Compact"/>
      </w:pPr>
      <w:r>
        <w:t xml:space="preserve">documentación técnica adaptada a los requisitos del anexo IV;</w:t>
      </w:r>
    </w:p>
    <w:p>
      <w:pPr>
        <w:numPr>
          <w:ilvl w:val="0"/>
          <w:numId w:val="1408"/>
        </w:numPr>
        <w:pStyle w:val="Compact"/>
      </w:pPr>
      <w:r>
        <w:t xml:space="preserve">mantenimiento automático de registros y registros;</w:t>
      </w:r>
    </w:p>
    <w:p>
      <w:pPr>
        <w:numPr>
          <w:ilvl w:val="0"/>
          <w:numId w:val="1408"/>
        </w:numPr>
        <w:pStyle w:val="Compact"/>
      </w:pPr>
      <w:r>
        <w:t xml:space="preserve">información e instrucciones de uso sobre la transparencia;</w:t>
      </w:r>
    </w:p>
    <w:p>
      <w:pPr>
        <w:numPr>
          <w:ilvl w:val="0"/>
          <w:numId w:val="1408"/>
        </w:numPr>
        <w:pStyle w:val="Compact"/>
      </w:pPr>
      <w:r>
        <w:t xml:space="preserve">el diseño, la competencia, la intervención, la anulación y los mecanismos de detención de la supervisión humana;</w:t>
      </w:r>
    </w:p>
    <w:p>
      <w:pPr>
        <w:numPr>
          <w:ilvl w:val="0"/>
          <w:numId w:val="1408"/>
        </w:numPr>
        <w:pStyle w:val="Compact"/>
      </w:pPr>
      <w:r>
        <w:t xml:space="preserve">precisión, robustez, resiliencia, seguridad y controles de ciberseguridad;</w:t>
      </w:r>
    </w:p>
    <w:p>
      <w:pPr>
        <w:numPr>
          <w:ilvl w:val="0"/>
          <w:numId w:val="1408"/>
        </w:numPr>
        <w:pStyle w:val="Compact"/>
      </w:pPr>
      <w:r>
        <w:t xml:space="preserve">procesos de gestión de la calidad;</w:t>
      </w:r>
    </w:p>
    <w:p>
      <w:pPr>
        <w:numPr>
          <w:ilvl w:val="0"/>
          <w:numId w:val="1408"/>
        </w:numPr>
        <w:pStyle w:val="Compact"/>
      </w:pPr>
      <w:r>
        <w:t xml:space="preserve">cambios, configuración, liberación, retroceso y controles de modificación sustancial;</w:t>
      </w:r>
    </w:p>
    <w:p>
      <w:pPr>
        <w:numPr>
          <w:ilvl w:val="0"/>
          <w:numId w:val="1408"/>
        </w:numPr>
        <w:pStyle w:val="Compact"/>
      </w:pPr>
      <w:r>
        <w:t xml:space="preserve">la gobernanza del proveedor, componente, código abierto, nube y API;</w:t>
      </w:r>
    </w:p>
    <w:p>
      <w:pPr>
        <w:numPr>
          <w:ilvl w:val="0"/>
          <w:numId w:val="1408"/>
        </w:numPr>
        <w:pStyle w:val="Compact"/>
      </w:pPr>
      <w:r>
        <w:t xml:space="preserve">los procesos de denuncia, incidente, incidente grave, acción correctiva, retirada, retirada y respuesta de la autoridad;</w:t>
      </w:r>
    </w:p>
    <w:p>
      <w:pPr>
        <w:numPr>
          <w:ilvl w:val="0"/>
          <w:numId w:val="1408"/>
        </w:numPr>
        <w:pStyle w:val="Compact"/>
      </w:pPr>
      <w:r>
        <w:t xml:space="preserve">retención de pruebas, preservación, integridad y enlace de versiones.</w:t>
      </w:r>
    </w:p>
    <w:bookmarkEnd w:id="1294"/>
    <w:bookmarkStart w:id="1295" w:name="fase-4-validación-de-la-preparación"/>
    <w:p>
      <w:pPr>
        <w:pStyle w:val="Heading2"/>
      </w:pPr>
      <w:r>
        <w:rPr>
          <w:rStyle w:val="SectionNumber"/>
        </w:rPr>
        <w:t xml:space="preserve">1.1249</w:t>
      </w:r>
      <w:r>
        <w:tab/>
      </w:r>
      <w:r>
        <w:t xml:space="preserve">Fase 4: validación de la preparación</w:t>
      </w:r>
    </w:p>
    <w:p>
      <w:pPr>
        <w:pStyle w:val="FirstParagraph"/>
      </w:pPr>
      <w:r>
        <w:t xml:space="preserve">Realizar de forma proporcionada y documentada:</w:t>
      </w:r>
    </w:p>
    <w:p>
      <w:pPr>
        <w:numPr>
          <w:ilvl w:val="0"/>
          <w:numId w:val="1409"/>
        </w:numPr>
        <w:pStyle w:val="Compact"/>
      </w:pPr>
      <w:r>
        <w:t xml:space="preserve">revisión de la eficacia del diseño;</w:t>
      </w:r>
    </w:p>
    <w:p>
      <w:pPr>
        <w:numPr>
          <w:ilvl w:val="0"/>
          <w:numId w:val="1409"/>
        </w:numPr>
        <w:pStyle w:val="Compact"/>
      </w:pPr>
      <w:r>
        <w:t xml:space="preserve">pruebas de funcionamiento y eficacia;</w:t>
      </w:r>
    </w:p>
    <w:p>
      <w:pPr>
        <w:numPr>
          <w:ilvl w:val="0"/>
          <w:numId w:val="1409"/>
        </w:numPr>
        <w:pStyle w:val="Compact"/>
      </w:pPr>
      <w:r>
        <w:t xml:space="preserve">validación técnica con arreglo a criterios de aceptación predefinidos;</w:t>
      </w:r>
    </w:p>
    <w:p>
      <w:pPr>
        <w:numPr>
          <w:ilvl w:val="0"/>
          <w:numId w:val="1409"/>
        </w:numPr>
        <w:pStyle w:val="Compact"/>
      </w:pPr>
      <w:r>
        <w:t xml:space="preserve">precisión, error, subgrupo, discriminación y pruebas de sesgo;</w:t>
      </w:r>
    </w:p>
    <w:p>
      <w:pPr>
        <w:numPr>
          <w:ilvl w:val="0"/>
          <w:numId w:val="1409"/>
        </w:numPr>
        <w:pStyle w:val="Compact"/>
      </w:pPr>
      <w:r>
        <w:t xml:space="preserve">la supervisión humana, la escalada, la anulación y las pruebas de parada del uso;</w:t>
      </w:r>
    </w:p>
    <w:p>
      <w:pPr>
        <w:numPr>
          <w:ilvl w:val="0"/>
          <w:numId w:val="1409"/>
        </w:numPr>
        <w:pStyle w:val="Compact"/>
      </w:pPr>
      <w:r>
        <w:t xml:space="preserve">seguridad cibernética, robustez, resiliencia y pruebas de uso indebido previsible;</w:t>
      </w:r>
    </w:p>
    <w:p>
      <w:pPr>
        <w:numPr>
          <w:ilvl w:val="0"/>
          <w:numId w:val="1409"/>
        </w:numPr>
        <w:pStyle w:val="Compact"/>
      </w:pPr>
      <w:r>
        <w:t xml:space="preserve">la calidad de los datos, el linaje, la procedencia y la representatividad;</w:t>
      </w:r>
    </w:p>
    <w:p>
      <w:pPr>
        <w:numPr>
          <w:ilvl w:val="0"/>
          <w:numId w:val="1409"/>
        </w:numPr>
        <w:pStyle w:val="Compact"/>
      </w:pPr>
      <w:r>
        <w:t xml:space="preserve">documentación a la producción y conciliación de la versión del modelo;</w:t>
      </w:r>
    </w:p>
    <w:p>
      <w:pPr>
        <w:numPr>
          <w:ilvl w:val="0"/>
          <w:numId w:val="1409"/>
        </w:numPr>
        <w:pStyle w:val="Compact"/>
      </w:pPr>
      <w:r>
        <w:t xml:space="preserve">la integridad, integridad, recuperabilidad y revisión de la reproducibilidad de las pruebas;</w:t>
      </w:r>
    </w:p>
    <w:p>
      <w:pPr>
        <w:numPr>
          <w:ilvl w:val="0"/>
          <w:numId w:val="1409"/>
        </w:numPr>
        <w:pStyle w:val="Compact"/>
      </w:pPr>
      <w:r>
        <w:t xml:space="preserve">Examen de las pruebas del proveedor y la dependencia;</w:t>
      </w:r>
    </w:p>
    <w:p>
      <w:pPr>
        <w:numPr>
          <w:ilvl w:val="0"/>
          <w:numId w:val="1409"/>
        </w:numPr>
        <w:pStyle w:val="Compact"/>
      </w:pPr>
      <w:r>
        <w:t xml:space="preserve">la evaluación de conformidad y preparación sin tratarla como el propio proceso de conformidad.</w:t>
      </w:r>
    </w:p>
    <w:p>
      <w:pPr>
        <w:pStyle w:val="FirstParagraph"/>
      </w:pPr>
      <w:r>
        <w:t xml:space="preserve">Los criterios fallidos deben desencadenar la rehabilitación, restricción, suspensión, retroceso o escalada. No se puede prescindir de un criterio fallido sin justificación legal, técnica, de riesgo y de aprobación documentada.</w:t>
      </w:r>
    </w:p>
    <w:bookmarkEnd w:id="1295"/>
    <w:bookmarkStart w:id="1296" w:name="X2dbdcb5a6f1542e6ca1790a2b0845a0f669fe00"/>
    <w:p>
      <w:pPr>
        <w:pStyle w:val="Heading2"/>
      </w:pPr>
      <w:r>
        <w:rPr>
          <w:rStyle w:val="SectionNumber"/>
        </w:rPr>
        <w:t xml:space="preserve">1.1250</w:t>
      </w:r>
      <w:r>
        <w:tab/>
      </w:r>
      <w:r>
        <w:t xml:space="preserve">Fase 5: completar las medidas de autorización legal aplicables</w:t>
      </w:r>
    </w:p>
    <w:p>
      <w:pPr>
        <w:pStyle w:val="FirstParagraph"/>
      </w:pPr>
      <w:r>
        <w:t xml:space="preserve">Antes de la comercialización o puesta en servicio del sistema, según proceda:</w:t>
      </w:r>
    </w:p>
    <w:p>
      <w:pPr>
        <w:numPr>
          <w:ilvl w:val="0"/>
          <w:numId w:val="1410"/>
        </w:numPr>
        <w:pStyle w:val="Compact"/>
      </w:pPr>
      <w:r>
        <w:t xml:space="preserve">determinar la ruta de evaluación de la conformidad exigida por la ley;</w:t>
      </w:r>
    </w:p>
    <w:p>
      <w:pPr>
        <w:numPr>
          <w:ilvl w:val="0"/>
          <w:numId w:val="1410"/>
        </w:numPr>
        <w:pStyle w:val="Compact"/>
      </w:pPr>
      <w:r>
        <w:t xml:space="preserve">identificar si es necesaria la participación del organismo notificado;</w:t>
      </w:r>
    </w:p>
    <w:p>
      <w:pPr>
        <w:numPr>
          <w:ilvl w:val="0"/>
          <w:numId w:val="1410"/>
        </w:numPr>
        <w:pStyle w:val="Compact"/>
      </w:pPr>
      <w:r>
        <w:t xml:space="preserve">completar la evaluación de la conformidad aplicable;</w:t>
      </w:r>
    </w:p>
    <w:p>
      <w:pPr>
        <w:numPr>
          <w:ilvl w:val="0"/>
          <w:numId w:val="1410"/>
        </w:numPr>
        <w:pStyle w:val="Compact"/>
      </w:pPr>
      <w:r>
        <w:t xml:space="preserve">registro completo cuando sea necesario;</w:t>
      </w:r>
    </w:p>
    <w:p>
      <w:pPr>
        <w:numPr>
          <w:ilvl w:val="0"/>
          <w:numId w:val="1410"/>
        </w:numPr>
        <w:pStyle w:val="Compact"/>
      </w:pPr>
      <w:r>
        <w:t xml:space="preserve">preparar y aprobar la declaración UE de conformidad, cuando proceda;</w:t>
      </w:r>
    </w:p>
    <w:p>
      <w:pPr>
        <w:numPr>
          <w:ilvl w:val="0"/>
          <w:numId w:val="1410"/>
        </w:numPr>
        <w:pStyle w:val="Compact"/>
      </w:pPr>
      <w:r>
        <w:t xml:space="preserve">aplicar el marcado CE en su caso;</w:t>
      </w:r>
    </w:p>
    <w:p>
      <w:pPr>
        <w:numPr>
          <w:ilvl w:val="0"/>
          <w:numId w:val="1410"/>
        </w:numPr>
        <w:pStyle w:val="Compact"/>
      </w:pPr>
      <w:r>
        <w:t xml:space="preserve">aprobar la documentación técnica y las instrucciones de uso;</w:t>
      </w:r>
    </w:p>
    <w:p>
      <w:pPr>
        <w:numPr>
          <w:ilvl w:val="0"/>
          <w:numId w:val="1410"/>
        </w:numPr>
        <w:pStyle w:val="Compact"/>
      </w:pPr>
      <w:r>
        <w:t xml:space="preserve">verificará la transmisión de la información del proveedor al empleado y la información posterior;</w:t>
      </w:r>
    </w:p>
    <w:p>
      <w:pPr>
        <w:numPr>
          <w:ilvl w:val="0"/>
          <w:numId w:val="1410"/>
        </w:numPr>
        <w:pStyle w:val="Compact"/>
      </w:pPr>
      <w:r>
        <w:t xml:space="preserve">confirmar la preparación del despliegue y las funciones de despliegue aplicables;</w:t>
      </w:r>
    </w:p>
    <w:p>
      <w:pPr>
        <w:numPr>
          <w:ilvl w:val="0"/>
          <w:numId w:val="1410"/>
        </w:numPr>
        <w:pStyle w:val="Compact"/>
      </w:pPr>
      <w:r>
        <w:t xml:space="preserve">resolver o regular formalmente las conclusiones residuales en consonancia con las limitaciones legales;</w:t>
      </w:r>
    </w:p>
    <w:p>
      <w:pPr>
        <w:numPr>
          <w:ilvl w:val="0"/>
          <w:numId w:val="1410"/>
        </w:numPr>
        <w:pStyle w:val="Compact"/>
      </w:pPr>
      <w:r>
        <w:t xml:space="preserve">aprobar planes de seguimiento, incidencia, notificación, medidas correctoras y cambios posteriores a la comercialización;</w:t>
      </w:r>
    </w:p>
    <w:p>
      <w:pPr>
        <w:numPr>
          <w:ilvl w:val="0"/>
          <w:numId w:val="1410"/>
        </w:numPr>
        <w:pStyle w:val="Compact"/>
      </w:pPr>
      <w:r>
        <w:t xml:space="preserve">autoridad de liberación de registros, condiciones, restricciones y pruebas.</w:t>
      </w:r>
    </w:p>
    <w:p>
      <w:pPr>
        <w:pStyle w:val="FirstParagraph"/>
      </w:pPr>
      <w:r>
        <w:t xml:space="preserve">Ningún comité interno podrá renunciar a un requisito legalmente obligatorio de conformidad, registro, declaración, marcado o notificación.</w:t>
      </w:r>
    </w:p>
    <w:bookmarkEnd w:id="1296"/>
    <w:bookmarkStart w:id="1297" w:name="fase-6-operar-y-monitorear"/>
    <w:p>
      <w:pPr>
        <w:pStyle w:val="Heading2"/>
      </w:pPr>
      <w:r>
        <w:rPr>
          <w:rStyle w:val="SectionNumber"/>
        </w:rPr>
        <w:t xml:space="preserve">1.1251</w:t>
      </w:r>
      <w:r>
        <w:tab/>
      </w:r>
      <w:r>
        <w:t xml:space="preserve">Fase 6: operar y monitorear</w:t>
      </w:r>
    </w:p>
    <w:p>
      <w:pPr>
        <w:pStyle w:val="FirstParagraph"/>
      </w:pPr>
      <w:r>
        <w:t xml:space="preserve">Después del despliegue:</w:t>
      </w:r>
    </w:p>
    <w:p>
      <w:pPr>
        <w:numPr>
          <w:ilvl w:val="0"/>
          <w:numId w:val="1411"/>
        </w:numPr>
        <w:pStyle w:val="Compact"/>
      </w:pPr>
      <w:r>
        <w:t xml:space="preserve">supervisar el rendimiento, la deriva, los incidentes, las quejas, las anulaciones y el uso indebido previsible;</w:t>
      </w:r>
    </w:p>
    <w:p>
      <w:pPr>
        <w:numPr>
          <w:ilvl w:val="0"/>
          <w:numId w:val="1411"/>
        </w:numPr>
        <w:pStyle w:val="Compact"/>
      </w:pPr>
      <w:r>
        <w:t xml:space="preserve">validar la eficacia continua de la supervisión humana;</w:t>
      </w:r>
    </w:p>
    <w:p>
      <w:pPr>
        <w:numPr>
          <w:ilvl w:val="0"/>
          <w:numId w:val="1411"/>
        </w:numPr>
        <w:pStyle w:val="Compact"/>
      </w:pPr>
      <w:r>
        <w:t xml:space="preserve">mantener registros, documentación, pruebas y registros de versiones necesarios;</w:t>
      </w:r>
    </w:p>
    <w:p>
      <w:pPr>
        <w:numPr>
          <w:ilvl w:val="0"/>
          <w:numId w:val="1411"/>
        </w:numPr>
        <w:pStyle w:val="Compact"/>
      </w:pPr>
      <w:r>
        <w:t xml:space="preserve">llevar a cabo un seguimiento posterior a la comercialización, cuando proceda;</w:t>
      </w:r>
    </w:p>
    <w:p>
      <w:pPr>
        <w:numPr>
          <w:ilvl w:val="0"/>
          <w:numId w:val="1411"/>
        </w:numPr>
        <w:pStyle w:val="Compact"/>
      </w:pPr>
      <w:r>
        <w:t xml:space="preserve">evaluar y notificar incidentes graves con arreglo a las normas aplicables;</w:t>
      </w:r>
    </w:p>
    <w:p>
      <w:pPr>
        <w:numPr>
          <w:ilvl w:val="0"/>
          <w:numId w:val="1411"/>
        </w:numPr>
        <w:pStyle w:val="Compact"/>
      </w:pPr>
      <w:r>
        <w:t xml:space="preserve">investigar el incumplimiento y aplicar medidas correctoras;</w:t>
      </w:r>
    </w:p>
    <w:p>
      <w:pPr>
        <w:numPr>
          <w:ilvl w:val="0"/>
          <w:numId w:val="1411"/>
        </w:numPr>
        <w:pStyle w:val="Compact"/>
      </w:pPr>
      <w:r>
        <w:t xml:space="preserve">reevaluar después de cambios en el modelo, los datos, el propósito, el proveedor, la jurisdicción o el control del material;</w:t>
      </w:r>
    </w:p>
    <w:p>
      <w:pPr>
        <w:numPr>
          <w:ilvl w:val="0"/>
          <w:numId w:val="1411"/>
        </w:numPr>
        <w:pStyle w:val="Compact"/>
      </w:pPr>
      <w:r>
        <w:t xml:space="preserve">realizar análisis de modificación sustancial, cuando proceda;</w:t>
      </w:r>
    </w:p>
    <w:p>
      <w:pPr>
        <w:numPr>
          <w:ilvl w:val="0"/>
          <w:numId w:val="1411"/>
        </w:numPr>
        <w:pStyle w:val="Compact"/>
      </w:pPr>
      <w:r>
        <w:t xml:space="preserve">suspender, restringir, retirar, retirar o suspender el uso cuando sea necesario;</w:t>
      </w:r>
    </w:p>
    <w:p>
      <w:pPr>
        <w:numPr>
          <w:ilvl w:val="0"/>
          <w:numId w:val="1411"/>
        </w:numPr>
        <w:pStyle w:val="Compact"/>
      </w:pPr>
      <w:r>
        <w:t xml:space="preserve">apoyo a las solicitudes de las autoridades, inspecciones, actividades de vigilancia del mercado y seguimiento reglamentario;</w:t>
      </w:r>
    </w:p>
    <w:p>
      <w:pPr>
        <w:numPr>
          <w:ilvl w:val="0"/>
          <w:numId w:val="1411"/>
        </w:numPr>
        <w:pStyle w:val="Compact"/>
      </w:pPr>
      <w:r>
        <w:t xml:space="preserve">revisar si el uso del despliegue sigue siendo coherente con las instrucciones, la finalidad prevista y los controles aprobados.</w:t>
      </w:r>
    </w:p>
    <w:bookmarkEnd w:id="1297"/>
    <w:bookmarkStart w:id="1298" w:name="Xdcdd3b76bb6d7d31e7389c46c6b74ee7ebb7da1"/>
    <w:p>
      <w:pPr>
        <w:pStyle w:val="Heading2"/>
      </w:pPr>
      <w:r>
        <w:rPr>
          <w:rStyle w:val="SectionNumber"/>
        </w:rPr>
        <w:t xml:space="preserve">1.1252</w:t>
      </w:r>
      <w:r>
        <w:tab/>
      </w:r>
      <w:r>
        <w:t xml:space="preserve">Preparación específica para el despliegue</w:t>
      </w:r>
    </w:p>
    <w:p>
      <w:pPr>
        <w:pStyle w:val="FirstParagraph"/>
      </w:pPr>
      <w:r>
        <w:t xml:space="preserve">Cuando la organización actúe como desplegador, confirme, según proceda:</w:t>
      </w:r>
    </w:p>
    <w:p>
      <w:pPr>
        <w:numPr>
          <w:ilvl w:val="0"/>
          <w:numId w:val="1412"/>
        </w:numPr>
        <w:pStyle w:val="Compact"/>
      </w:pPr>
      <w:r>
        <w:t xml:space="preserve">uso de acuerdo con las instrucciones y la finalidad aprobada;</w:t>
      </w:r>
    </w:p>
    <w:p>
      <w:pPr>
        <w:numPr>
          <w:ilvl w:val="0"/>
          <w:numId w:val="1412"/>
        </w:numPr>
        <w:pStyle w:val="Compact"/>
      </w:pPr>
      <w:r>
        <w:t xml:space="preserve">la supervisión humana competente;</w:t>
      </w:r>
    </w:p>
    <w:p>
      <w:pPr>
        <w:numPr>
          <w:ilvl w:val="0"/>
          <w:numId w:val="1412"/>
        </w:numPr>
        <w:pStyle w:val="Compact"/>
      </w:pPr>
      <w:r>
        <w:t xml:space="preserve">pertinencia e idoneidad de los datos de entrada cuando se encuentren bajo control del despliegue;</w:t>
      </w:r>
    </w:p>
    <w:p>
      <w:pPr>
        <w:numPr>
          <w:ilvl w:val="0"/>
          <w:numId w:val="1412"/>
        </w:numPr>
        <w:pStyle w:val="Compact"/>
      </w:pPr>
      <w:r>
        <w:t xml:space="preserve">el seguimiento y la escalada de incidentes;</w:t>
      </w:r>
    </w:p>
    <w:p>
      <w:pPr>
        <w:numPr>
          <w:ilvl w:val="0"/>
          <w:numId w:val="1412"/>
        </w:numPr>
        <w:pStyle w:val="Compact"/>
      </w:pPr>
      <w:r>
        <w:t xml:space="preserve">la retención y el acceso a los troncos bajo control del despliegue;</w:t>
      </w:r>
    </w:p>
    <w:p>
      <w:pPr>
        <w:numPr>
          <w:ilvl w:val="0"/>
          <w:numId w:val="1412"/>
        </w:numPr>
        <w:pStyle w:val="Compact"/>
      </w:pPr>
      <w:r>
        <w:t xml:space="preserve">obligaciones de información de los trabajadores o representantes;</w:t>
      </w:r>
    </w:p>
    <w:p>
      <w:pPr>
        <w:numPr>
          <w:ilvl w:val="0"/>
          <w:numId w:val="1412"/>
        </w:numPr>
        <w:pStyle w:val="Compact"/>
      </w:pPr>
      <w:r>
        <w:t xml:space="preserve">obligaciones en materia de evaluación de impacto de los derechos fundamentales;</w:t>
      </w:r>
    </w:p>
    <w:p>
      <w:pPr>
        <w:numPr>
          <w:ilvl w:val="0"/>
          <w:numId w:val="1412"/>
        </w:numPr>
        <w:pStyle w:val="Compact"/>
      </w:pPr>
      <w:r>
        <w:t xml:space="preserve">coordinación de la evaluación de impacto de la protección de datos;</w:t>
      </w:r>
    </w:p>
    <w:p>
      <w:pPr>
        <w:numPr>
          <w:ilvl w:val="0"/>
          <w:numId w:val="1412"/>
        </w:numPr>
        <w:pStyle w:val="Compact"/>
      </w:pPr>
      <w:r>
        <w:t xml:space="preserve">la cooperación de las autoridades y el acceso a la información;</w:t>
      </w:r>
    </w:p>
    <w:p>
      <w:pPr>
        <w:numPr>
          <w:ilvl w:val="0"/>
          <w:numId w:val="1412"/>
        </w:numPr>
        <w:pStyle w:val="Compact"/>
      </w:pPr>
      <w:r>
        <w:t xml:space="preserve">controles que impidan la expansión de propósito, población o flujo de trabajo no aprobado.</w:t>
      </w:r>
    </w:p>
    <w:bookmarkEnd w:id="1298"/>
    <w:bookmarkStart w:id="1299" w:name="Xa51592b9c9be1010a6faf94e91a0efa14bc1de5"/>
    <w:p>
      <w:pPr>
        <w:pStyle w:val="Heading2"/>
      </w:pPr>
      <w:r>
        <w:rPr>
          <w:rStyle w:val="SectionNumber"/>
        </w:rPr>
        <w:t xml:space="preserve">1.1253</w:t>
      </w:r>
      <w:r>
        <w:tab/>
      </w:r>
      <w:r>
        <w:t xml:space="preserve">Ejemplo de servicios de viajes de GlobalWay</w:t>
      </w:r>
    </w:p>
    <w:p>
      <w:pPr>
        <w:pStyle w:val="FirstParagraph"/>
      </w:pPr>
      <w:r>
        <w:t xml:space="preserve">GlobalWay considera que su sistema de selección de la contratación es potencialmente de alto riesgo y confirma el propósito previsto, las funciones de proveedor y de despliegue de mapas, documenta la justificación de la clasificación del anexo III, establece un archivo de gestión de riesgos, realiza pruebas de subgrupos y supervisión y concilia la versión desplegada con la documentación técnica.</w:t>
      </w:r>
    </w:p>
    <w:p>
      <w:pPr>
        <w:pStyle w:val="BodyText"/>
      </w:pPr>
      <w:r>
        <w:t xml:space="preserve">Una prueba de escalonamiento humano falla, y la documentación del proveedor no soporta la versión de modelo implementada. GlobalWay bloquea la liberación, requiere remediación y reprueba, actualiza el paquete de pruebas del proveedor, y confirma la ruta de conformidad y registro aplicable antes de la autorización.Los controles posteriores a la liberación incluyen monitoreo, manejo de quejas, retención de registros, comunicación de trabajadores, evaluación de cambios y escalada de incidentes graves.</w:t>
      </w:r>
    </w:p>
    <w:bookmarkEnd w:id="1299"/>
    <w:bookmarkStart w:id="1300" w:name="actividades-de-control-8"/>
    <w:p>
      <w:pPr>
        <w:pStyle w:val="Heading2"/>
      </w:pPr>
      <w:r>
        <w:rPr>
          <w:rStyle w:val="SectionNumber"/>
        </w:rPr>
        <w:t xml:space="preserve">1.1254</w:t>
      </w:r>
      <w:r>
        <w:tab/>
      </w:r>
      <w:r>
        <w:t xml:space="preserve">Actividades de control</w:t>
      </w:r>
    </w:p>
    <w:p>
      <w:pPr>
        <w:numPr>
          <w:ilvl w:val="0"/>
          <w:numId w:val="1413"/>
        </w:numPr>
        <w:pStyle w:val="Compact"/>
      </w:pPr>
      <w:r>
        <w:t xml:space="preserve">Mantenga un registro de preparación de alto riesgo.</w:t>
      </w:r>
    </w:p>
    <w:p>
      <w:pPr>
        <w:numPr>
          <w:ilvl w:val="0"/>
          <w:numId w:val="1413"/>
        </w:numPr>
        <w:pStyle w:val="Compact"/>
      </w:pPr>
      <w:r>
        <w:t xml:space="preserve">Asignar a los propietarios responsables, dependencias, plazos y caminos de escalada.</w:t>
      </w:r>
    </w:p>
    <w:p>
      <w:pPr>
        <w:numPr>
          <w:ilvl w:val="0"/>
          <w:numId w:val="1413"/>
        </w:numPr>
        <w:pStyle w:val="Compact"/>
      </w:pPr>
      <w:r>
        <w:t xml:space="preserve">Mapa de cada obligación legal aplicable a un control, propietario de la prueba, y la versión del sistema.</w:t>
      </w:r>
    </w:p>
    <w:p>
      <w:pPr>
        <w:numPr>
          <w:ilvl w:val="0"/>
          <w:numId w:val="1413"/>
        </w:numPr>
        <w:pStyle w:val="Compact"/>
      </w:pPr>
      <w:r>
        <w:t xml:space="preserve">Requerir validación legal, técnica, de riesgo y de cumplimiento antes de la liberación.</w:t>
      </w:r>
    </w:p>
    <w:p>
      <w:pPr>
        <w:numPr>
          <w:ilvl w:val="0"/>
          <w:numId w:val="1413"/>
        </w:numPr>
        <w:pStyle w:val="Compact"/>
      </w:pPr>
      <w:r>
        <w:t xml:space="preserve">Impedir que los exámenes internos de preparación sustituyan a los procesos estatutarios.</w:t>
      </w:r>
    </w:p>
    <w:p>
      <w:pPr>
        <w:numPr>
          <w:ilvl w:val="0"/>
          <w:numId w:val="1413"/>
        </w:numPr>
        <w:pStyle w:val="Compact"/>
      </w:pPr>
      <w:r>
        <w:t xml:space="preserve">Seguimiento de hallazgos no resueltos, restricciones y condiciones de aprobación.</w:t>
      </w:r>
    </w:p>
    <w:p>
      <w:pPr>
        <w:numPr>
          <w:ilvl w:val="0"/>
          <w:numId w:val="1413"/>
        </w:numPr>
        <w:pStyle w:val="Compact"/>
      </w:pPr>
      <w:r>
        <w:t xml:space="preserve">Verifique la disponibilidad del proveedor para el despliegue y el despliegue.</w:t>
      </w:r>
    </w:p>
    <w:p>
      <w:pPr>
        <w:numPr>
          <w:ilvl w:val="0"/>
          <w:numId w:val="1413"/>
        </w:numPr>
        <w:pStyle w:val="Compact"/>
      </w:pPr>
      <w:r>
        <w:t xml:space="preserve">Reevalua después de cambios, incidentes, quejas, actualizaciones de proveedores o desarrollos legales.</w:t>
      </w:r>
    </w:p>
    <w:p>
      <w:pPr>
        <w:numPr>
          <w:ilvl w:val="0"/>
          <w:numId w:val="1413"/>
        </w:numPr>
        <w:pStyle w:val="Compact"/>
      </w:pPr>
      <w:r>
        <w:t xml:space="preserve">Mantener la preparación post-comercialización, incidente, acción correctiva, preservación y respuesta regulatoria.</w:t>
      </w:r>
    </w:p>
    <w:bookmarkEnd w:id="1300"/>
    <w:bookmarkStart w:id="1301" w:name="pruebas-132"/>
    <w:p>
      <w:pPr>
        <w:pStyle w:val="Heading2"/>
      </w:pPr>
      <w:r>
        <w:rPr>
          <w:rStyle w:val="SectionNumber"/>
        </w:rPr>
        <w:t xml:space="preserve">1.1255</w:t>
      </w:r>
      <w:r>
        <w:tab/>
      </w:r>
      <w:r>
        <w:t xml:space="preserve">Pruebas</w:t>
      </w:r>
    </w:p>
    <w:p>
      <w:pPr>
        <w:numPr>
          <w:ilvl w:val="0"/>
          <w:numId w:val="1414"/>
        </w:numPr>
        <w:pStyle w:val="Compact"/>
      </w:pPr>
      <w:r>
        <w:t xml:space="preserve">la aplicabilidad, la función y las evaluaciones de clasificación de alto riesgo;</w:t>
      </w:r>
    </w:p>
    <w:p>
      <w:pPr>
        <w:numPr>
          <w:ilvl w:val="0"/>
          <w:numId w:val="1414"/>
        </w:numPr>
        <w:pStyle w:val="Compact"/>
      </w:pPr>
      <w:r>
        <w:t xml:space="preserve">el objetivo previsto y el análisis de la fecha efectiva;</w:t>
      </w:r>
    </w:p>
    <w:p>
      <w:pPr>
        <w:numPr>
          <w:ilvl w:val="0"/>
          <w:numId w:val="1414"/>
        </w:numPr>
        <w:pStyle w:val="Compact"/>
      </w:pPr>
      <w:r>
        <w:t xml:space="preserve">el plan de preparación y registro de alto riesgo;</w:t>
      </w:r>
    </w:p>
    <w:p>
      <w:pPr>
        <w:numPr>
          <w:ilvl w:val="0"/>
          <w:numId w:val="1414"/>
        </w:numPr>
        <w:pStyle w:val="Compact"/>
      </w:pPr>
      <w:r>
        <w:t xml:space="preserve">los registros de gestión de la calidad y de gestión de riesgos;</w:t>
      </w:r>
    </w:p>
    <w:p>
      <w:pPr>
        <w:numPr>
          <w:ilvl w:val="0"/>
          <w:numId w:val="1414"/>
        </w:numPr>
        <w:pStyle w:val="Compact"/>
      </w:pPr>
      <w:r>
        <w:t xml:space="preserve">pruebas de gobernanza de los datos;</w:t>
      </w:r>
    </w:p>
    <w:p>
      <w:pPr>
        <w:numPr>
          <w:ilvl w:val="0"/>
          <w:numId w:val="1414"/>
        </w:numPr>
        <w:pStyle w:val="Compact"/>
      </w:pPr>
      <w:r>
        <w:t xml:space="preserve">documentación técnica e índice de versiones;</w:t>
      </w:r>
    </w:p>
    <w:p>
      <w:pPr>
        <w:numPr>
          <w:ilvl w:val="0"/>
          <w:numId w:val="1414"/>
        </w:numPr>
        <w:pStyle w:val="Compact"/>
      </w:pPr>
      <w:r>
        <w:t xml:space="preserve">registro, transparencia, instrucciones de uso y pruebas de supervisión humana;</w:t>
      </w:r>
    </w:p>
    <w:p>
      <w:pPr>
        <w:numPr>
          <w:ilvl w:val="0"/>
          <w:numId w:val="1414"/>
        </w:numPr>
        <w:pStyle w:val="Compact"/>
      </w:pPr>
      <w:r>
        <w:t xml:space="preserve">la validación, los criterios de aceptación y los informes de ensayo;</w:t>
      </w:r>
    </w:p>
    <w:p>
      <w:pPr>
        <w:numPr>
          <w:ilvl w:val="0"/>
          <w:numId w:val="1414"/>
        </w:numPr>
        <w:pStyle w:val="Compact"/>
      </w:pPr>
      <w:r>
        <w:t xml:space="preserve">la decisión sobre la ruta de conformidad y los registros de conformidad completados;</w:t>
      </w:r>
    </w:p>
    <w:p>
      <w:pPr>
        <w:numPr>
          <w:ilvl w:val="0"/>
          <w:numId w:val="1414"/>
        </w:numPr>
        <w:pStyle w:val="Compact"/>
      </w:pPr>
      <w:r>
        <w:t xml:space="preserve">los registros de los organismos notificados, cuando proceda;</w:t>
      </w:r>
    </w:p>
    <w:p>
      <w:pPr>
        <w:numPr>
          <w:ilvl w:val="0"/>
          <w:numId w:val="1414"/>
        </w:numPr>
        <w:pStyle w:val="Compact"/>
      </w:pPr>
      <w:r>
        <w:t xml:space="preserve">las pruebas de registro, declaración y marca CE, cuando proceda;</w:t>
      </w:r>
    </w:p>
    <w:p>
      <w:pPr>
        <w:numPr>
          <w:ilvl w:val="0"/>
          <w:numId w:val="1414"/>
        </w:numPr>
        <w:pStyle w:val="Compact"/>
      </w:pPr>
      <w:r>
        <w:t xml:space="preserve">los registros de entrega entre proveedores y empleados;</w:t>
      </w:r>
    </w:p>
    <w:p>
      <w:pPr>
        <w:numPr>
          <w:ilvl w:val="0"/>
          <w:numId w:val="1414"/>
        </w:numPr>
        <w:pStyle w:val="Compact"/>
      </w:pPr>
      <w:r>
        <w:t xml:space="preserve">la aprobación y las condiciones de liberación;</w:t>
      </w:r>
    </w:p>
    <w:p>
      <w:pPr>
        <w:numPr>
          <w:ilvl w:val="0"/>
          <w:numId w:val="1414"/>
        </w:numPr>
        <w:pStyle w:val="Compact"/>
      </w:pPr>
      <w:r>
        <w:t xml:space="preserve">seguimiento posterior a la comercialización, incidentes, notificación, denuncia y registros de medidas correctoras;</w:t>
      </w:r>
    </w:p>
    <w:p>
      <w:pPr>
        <w:numPr>
          <w:ilvl w:val="0"/>
          <w:numId w:val="1414"/>
        </w:numPr>
        <w:pStyle w:val="Compact"/>
      </w:pPr>
      <w:r>
        <w:t xml:space="preserve">las evaluaciones de cambios y modificaciones sustanciales;</w:t>
      </w:r>
    </w:p>
    <w:p>
      <w:pPr>
        <w:numPr>
          <w:ilvl w:val="0"/>
          <w:numId w:val="1414"/>
        </w:numPr>
        <w:pStyle w:val="Compact"/>
      </w:pPr>
      <w:r>
        <w:t xml:space="preserve">control de implementación y pruebas FRIA cuando proceda.</w:t>
      </w:r>
    </w:p>
    <w:bookmarkEnd w:id="1301"/>
    <w:bookmarkStart w:id="1302" w:name="pruebas-de-auditoría-8"/>
    <w:p>
      <w:pPr>
        <w:pStyle w:val="Heading2"/>
      </w:pPr>
      <w:r>
        <w:rPr>
          <w:rStyle w:val="SectionNumber"/>
        </w:rPr>
        <w:t xml:space="preserve">1.1256</w:t>
      </w:r>
      <w:r>
        <w:tab/>
      </w:r>
      <w:r>
        <w:t xml:space="preserve">Pruebas de auditoría</w:t>
      </w:r>
    </w:p>
    <w:p>
      <w:pPr>
        <w:numPr>
          <w:ilvl w:val="0"/>
          <w:numId w:val="1415"/>
        </w:numPr>
        <w:pStyle w:val="Compact"/>
      </w:pPr>
      <w:r>
        <w:t xml:space="preserve">Verificar la clasificación es actual, con soporte legal, y se basa en el propósito previsto y uso real.</w:t>
      </w:r>
    </w:p>
    <w:p>
      <w:pPr>
        <w:numPr>
          <w:ilvl w:val="0"/>
          <w:numId w:val="1415"/>
        </w:numPr>
        <w:pStyle w:val="Compact"/>
      </w:pPr>
      <w:r>
        <w:t xml:space="preserve">Confirme que la organización identificó las funciones de actor reguladas correctas y las fechas efectivas.</w:t>
      </w:r>
    </w:p>
    <w:p>
      <w:pPr>
        <w:numPr>
          <w:ilvl w:val="0"/>
          <w:numId w:val="1415"/>
        </w:numPr>
        <w:pStyle w:val="Compact"/>
      </w:pPr>
      <w:r>
        <w:t xml:space="preserve">Trace cada obligación de alto riesgo aplicable a un control, propietario de pruebas y versión implementada.</w:t>
      </w:r>
    </w:p>
    <w:p>
      <w:pPr>
        <w:numPr>
          <w:ilvl w:val="0"/>
          <w:numId w:val="1415"/>
        </w:numPr>
        <w:pStyle w:val="Compact"/>
      </w:pPr>
      <w:r>
        <w:t xml:space="preserve">Confirmar que la documentación técnica y las pruebas del proveedor coinciden con el sistema puesto en el mercado o puesto en servicio.</w:t>
      </w:r>
    </w:p>
    <w:p>
      <w:pPr>
        <w:numPr>
          <w:ilvl w:val="0"/>
          <w:numId w:val="1415"/>
        </w:numPr>
        <w:pStyle w:val="Compact"/>
      </w:pPr>
      <w:r>
        <w:t xml:space="preserve">Revise la cobertura de validación de exactitud, riesgo de discriminación, supervisión, robustez, resiliencia, seguridad, ciberseguridad y uso indebido previsible.</w:t>
      </w:r>
    </w:p>
    <w:p>
      <w:pPr>
        <w:numPr>
          <w:ilvl w:val="0"/>
          <w:numId w:val="1415"/>
        </w:numPr>
        <w:pStyle w:val="Compact"/>
      </w:pPr>
      <w:r>
        <w:t xml:space="preserve">El rastreo falló en los criterios de restricción, remediación, reprueba y decisiones de liberación autorizadas.</w:t>
      </w:r>
    </w:p>
    <w:p>
      <w:pPr>
        <w:numPr>
          <w:ilvl w:val="0"/>
          <w:numId w:val="1415"/>
        </w:numPr>
        <w:pStyle w:val="Compact"/>
      </w:pPr>
      <w:r>
        <w:t xml:space="preserve">Comprobar que la ruta de conformidad aplicable se haya completado y no haya sido sustituida por una revisión interna.</w:t>
      </w:r>
    </w:p>
    <w:p>
      <w:pPr>
        <w:numPr>
          <w:ilvl w:val="0"/>
          <w:numId w:val="1415"/>
        </w:numPr>
        <w:pStyle w:val="Compact"/>
      </w:pPr>
      <w:r>
        <w:t xml:space="preserve">Se han cumplido, en su caso, los requisitos de registro, declaración, marcado y organismo notificado.</w:t>
      </w:r>
    </w:p>
    <w:p>
      <w:pPr>
        <w:numPr>
          <w:ilvl w:val="0"/>
          <w:numId w:val="1415"/>
        </w:numPr>
        <w:pStyle w:val="Compact"/>
      </w:pPr>
      <w:r>
        <w:t xml:space="preserve">Comprobar las obligaciones de entrega y despliegue del proveedor al empleado.</w:t>
      </w:r>
    </w:p>
    <w:p>
      <w:pPr>
        <w:numPr>
          <w:ilvl w:val="0"/>
          <w:numId w:val="1415"/>
        </w:numPr>
        <w:pStyle w:val="Compact"/>
      </w:pPr>
      <w:r>
        <w:t xml:space="preserve">Verificar que los procesos de seguimiento post-comercialización, incidente, queja, acción correctiva y autoridad-respuesta funcionen.</w:t>
      </w:r>
    </w:p>
    <w:p>
      <w:pPr>
        <w:numPr>
          <w:ilvl w:val="0"/>
          <w:numId w:val="1415"/>
        </w:numPr>
        <w:pStyle w:val="Compact"/>
      </w:pPr>
      <w:r>
        <w:t xml:space="preserve">Confirmar los cambios materiales desencadenan la reevaluación y el análisis de la modificación sustancial.</w:t>
      </w:r>
    </w:p>
    <w:bookmarkEnd w:id="1302"/>
    <w:bookmarkStart w:id="1303" w:name="métricas-9"/>
    <w:p>
      <w:pPr>
        <w:pStyle w:val="Heading2"/>
      </w:pPr>
      <w:r>
        <w:rPr>
          <w:rStyle w:val="SectionNumber"/>
        </w:rPr>
        <w:t xml:space="preserve">1.1257</w:t>
      </w:r>
      <w:r>
        <w:tab/>
      </w:r>
      <w:r>
        <w:t xml:space="preserve">Métricas</w:t>
      </w:r>
    </w:p>
    <w:p>
      <w:pPr>
        <w:numPr>
          <w:ilvl w:val="0"/>
          <w:numId w:val="1416"/>
        </w:numPr>
        <w:pStyle w:val="Compact"/>
      </w:pPr>
      <w:r>
        <w:t xml:space="preserve">los sistemas potencialmente de alto riesgo identificados;</w:t>
      </w:r>
    </w:p>
    <w:p>
      <w:pPr>
        <w:numPr>
          <w:ilvl w:val="0"/>
          <w:numId w:val="1416"/>
        </w:numPr>
        <w:pStyle w:val="Compact"/>
      </w:pPr>
      <w:r>
        <w:t xml:space="preserve">sistemas confirmados de alto riesgo por función y ruta de los agentes;</w:t>
      </w:r>
    </w:p>
    <w:p>
      <w:pPr>
        <w:numPr>
          <w:ilvl w:val="0"/>
          <w:numId w:val="1416"/>
        </w:numPr>
        <w:pStyle w:val="Compact"/>
      </w:pPr>
      <w:r>
        <w:t xml:space="preserve">la clasificación y las evaluaciones de la fecha efectiva terminadas;</w:t>
      </w:r>
    </w:p>
    <w:p>
      <w:pPr>
        <w:numPr>
          <w:ilvl w:val="0"/>
          <w:numId w:val="1416"/>
        </w:numPr>
        <w:pStyle w:val="Compact"/>
      </w:pPr>
      <w:r>
        <w:t xml:space="preserve">controles de preparación completos;</w:t>
      </w:r>
    </w:p>
    <w:p>
      <w:pPr>
        <w:numPr>
          <w:ilvl w:val="0"/>
          <w:numId w:val="1416"/>
        </w:numPr>
        <w:pStyle w:val="Compact"/>
      </w:pPr>
      <w:r>
        <w:t xml:space="preserve">las lagunas en la prueba y en la relación entre versiones;</w:t>
      </w:r>
    </w:p>
    <w:p>
      <w:pPr>
        <w:numPr>
          <w:ilvl w:val="0"/>
          <w:numId w:val="1416"/>
        </w:numPr>
        <w:pStyle w:val="Compact"/>
      </w:pPr>
      <w:r>
        <w:t xml:space="preserve">criterios de validación fallidos;</w:t>
      </w:r>
    </w:p>
    <w:p>
      <w:pPr>
        <w:numPr>
          <w:ilvl w:val="0"/>
          <w:numId w:val="1416"/>
        </w:numPr>
        <w:pStyle w:val="Compact"/>
      </w:pPr>
      <w:r>
        <w:t xml:space="preserve">sistemas bloqueados, restringidos, suspendidos o a la espera de una nueva prueba;</w:t>
      </w:r>
    </w:p>
    <w:p>
      <w:pPr>
        <w:numPr>
          <w:ilvl w:val="0"/>
          <w:numId w:val="1416"/>
        </w:numPr>
        <w:pStyle w:val="Compact"/>
      </w:pPr>
      <w:r>
        <w:t xml:space="preserve">evaluaciones de conformidad completas;</w:t>
      </w:r>
    </w:p>
    <w:p>
      <w:pPr>
        <w:numPr>
          <w:ilvl w:val="0"/>
          <w:numId w:val="1416"/>
        </w:numPr>
        <w:pStyle w:val="Compact"/>
      </w:pPr>
      <w:r>
        <w:t xml:space="preserve">las acciones de registro, declaración y marcado completas, cuando proceda;</w:t>
      </w:r>
    </w:p>
    <w:p>
      <w:pPr>
        <w:numPr>
          <w:ilvl w:val="0"/>
          <w:numId w:val="1416"/>
        </w:numPr>
        <w:pStyle w:val="Compact"/>
      </w:pPr>
      <w:r>
        <w:t xml:space="preserve">las aprobaciones de despliegue con condiciones;</w:t>
      </w:r>
    </w:p>
    <w:p>
      <w:pPr>
        <w:numPr>
          <w:ilvl w:val="0"/>
          <w:numId w:val="1416"/>
        </w:numPr>
        <w:pStyle w:val="Compact"/>
      </w:pPr>
      <w:r>
        <w:t xml:space="preserve">el retraso en la rehabilitación y las reiteradas excepciones;</w:t>
      </w:r>
    </w:p>
    <w:p>
      <w:pPr>
        <w:numPr>
          <w:ilvl w:val="0"/>
          <w:numId w:val="1416"/>
        </w:numPr>
        <w:pStyle w:val="Compact"/>
      </w:pPr>
      <w:r>
        <w:t xml:space="preserve">cambios materiales a la espera de una reevaluación;</w:t>
      </w:r>
    </w:p>
    <w:p>
      <w:pPr>
        <w:numPr>
          <w:ilvl w:val="0"/>
          <w:numId w:val="1416"/>
        </w:numPr>
        <w:pStyle w:val="Compact"/>
      </w:pPr>
      <w:r>
        <w:t xml:space="preserve">la vigilancia, la denuncia, el incidente y las medidas correctivas pendientes.</w:t>
      </w:r>
    </w:p>
    <w:bookmarkEnd w:id="1303"/>
    <w:bookmarkStart w:id="1304" w:name="lista-de-verificación-de-gestión-11"/>
    <w:p>
      <w:pPr>
        <w:pStyle w:val="Heading2"/>
      </w:pPr>
      <w:r>
        <w:rPr>
          <w:rStyle w:val="SectionNumber"/>
        </w:rPr>
        <w:t xml:space="preserve">1.1258</w:t>
      </w:r>
      <w:r>
        <w:tab/>
      </w:r>
      <w:r>
        <w:t xml:space="preserve">Lista de verificación de gestión</w:t>
      </w:r>
    </w:p>
    <w:p>
      <w:pPr>
        <w:numPr>
          <w:ilvl w:val="0"/>
          <w:numId w:val="1417"/>
        </w:numPr>
        <w:pStyle w:val="Compact"/>
      </w:pPr>
      <w:r>
        <w:t xml:space="preserve">¿Hemos identificado cada sistema potencialmente de alto riesgo y la ruta legal correcta?</w:t>
      </w:r>
    </w:p>
    <w:p>
      <w:pPr>
        <w:numPr>
          <w:ilvl w:val="0"/>
          <w:numId w:val="1417"/>
        </w:numPr>
        <w:pStyle w:val="Compact"/>
      </w:pPr>
      <w:r>
        <w:t xml:space="preserve">¿La clasificación es legalmente defendible y se basa en el texto oficial actual?</w:t>
      </w:r>
    </w:p>
    <w:p>
      <w:pPr>
        <w:numPr>
          <w:ilvl w:val="0"/>
          <w:numId w:val="1417"/>
        </w:numPr>
        <w:pStyle w:val="Compact"/>
      </w:pPr>
      <w:r>
        <w:t xml:space="preserve">¿Se distinguen las funciones de proveedor, implementador y otros actores?</w:t>
      </w:r>
    </w:p>
    <w:p>
      <w:pPr>
        <w:numPr>
          <w:ilvl w:val="0"/>
          <w:numId w:val="1417"/>
        </w:numPr>
        <w:pStyle w:val="Compact"/>
      </w:pPr>
      <w:r>
        <w:t xml:space="preserve">¿Se aplican y demuestran todos los controles obligatorios del ciclo de vida?</w:t>
      </w:r>
    </w:p>
    <w:p>
      <w:pPr>
        <w:numPr>
          <w:ilvl w:val="0"/>
          <w:numId w:val="1417"/>
        </w:numPr>
        <w:pStyle w:val="Compact"/>
      </w:pPr>
      <w:r>
        <w:t xml:space="preserve">¿Coincide el sistema desplegado con la documentación técnica y de proveedores aprobada?</w:t>
      </w:r>
    </w:p>
    <w:p>
      <w:pPr>
        <w:numPr>
          <w:ilvl w:val="0"/>
          <w:numId w:val="1417"/>
        </w:numPr>
        <w:pStyle w:val="Compact"/>
      </w:pPr>
      <w:r>
        <w:t xml:space="preserve">¿Pueden los criterios fallidos bloquear el despliegue o continuar el uso?</w:t>
      </w:r>
    </w:p>
    <w:p>
      <w:pPr>
        <w:numPr>
          <w:ilvl w:val="0"/>
          <w:numId w:val="1417"/>
        </w:numPr>
        <w:pStyle w:val="Compact"/>
      </w:pPr>
      <w:r>
        <w:t xml:space="preserve">¿Se ha completado el proceso de conformidad correcto?</w:t>
      </w:r>
    </w:p>
    <w:p>
      <w:pPr>
        <w:numPr>
          <w:ilvl w:val="0"/>
          <w:numId w:val="1417"/>
        </w:numPr>
        <w:pStyle w:val="Compact"/>
      </w:pPr>
      <w:r>
        <w:t xml:space="preserve">¿Se abordan, en su caso, los requisitos de registro, declaración, marcado y organismo notificado?</w:t>
      </w:r>
    </w:p>
    <w:p>
      <w:pPr>
        <w:numPr>
          <w:ilvl w:val="0"/>
          <w:numId w:val="1417"/>
        </w:numPr>
        <w:pStyle w:val="Compact"/>
      </w:pPr>
      <w:r>
        <w:t xml:space="preserve">¿Se rigen el monitoreo, los incidentes, las quejas, las medidas correctivas y los cambios después de la liberación?</w:t>
      </w:r>
    </w:p>
    <w:p>
      <w:pPr>
        <w:numPr>
          <w:ilvl w:val="0"/>
          <w:numId w:val="1417"/>
        </w:numPr>
        <w:pStyle w:val="Compact"/>
      </w:pPr>
      <w:r>
        <w:t xml:space="preserve">¿Se pueden presentar rápidamente las pruebas necesarias para una autoridad?</w:t>
      </w:r>
    </w:p>
    <w:bookmarkEnd w:id="1304"/>
    <w:bookmarkStart w:id="1305" w:name="Xfaea624f8e373078ddca8c74b66c62310eebfce"/>
    <w:p>
      <w:pPr>
        <w:pStyle w:val="Heading2"/>
      </w:pPr>
      <w:r>
        <w:rPr>
          <w:rStyle w:val="SectionNumber"/>
        </w:rPr>
        <w:t xml:space="preserve">1.1259</w:t>
      </w:r>
      <w:r>
        <w:tab/>
      </w:r>
      <w:r>
        <w:t xml:space="preserve">Especificación de la figura — Modelo de puerta de alta resistencia a la ia de riesgo</w:t>
      </w:r>
    </w:p>
    <w:p>
      <w:pPr>
        <w:pStyle w:val="FirstParagraph"/>
      </w:pPr>
      <w:r>
        <w:t xml:space="preserve">Crear puertas secuenciales para la aplicabilidad y clasificación, análisis actor-papel, gobernanza, implementación de control, validación técnica, ruta de conformidad, pasos de autorización legal, aprobación de despliegue, transferencia de implementación y monitoreo post-comercialización. Mostrar evidencia completa, vinculación de versiones, responsabilidad de gestión y caminos de parada de criterios fallidos como requisitos transversales.</w:t>
      </w:r>
    </w:p>
    <w:p>
      <w:pPr>
        <w:pStyle w:val="BodyText"/>
      </w:pPr>
      <w:r>
        <w:rPr>
          <w:bCs/>
          <w:b/>
        </w:rPr>
        <w:t xml:space="preserve">Texto Alt:</w:t>
      </w:r>
      <w:r>
        <w:t xml:space="preserve"> </w:t>
      </w:r>
      <w:r>
        <w:t xml:space="preserve">La disponibilidad de IA de alto riesgo impide el avance de los roles de clasificación y actor a través de gobernanza, controles, validación, conformidad, registro y liberación, transferencia de implementación y monitoreo post-comercialización, con evidencia, vinculación de versiones, rendición de cuentas y rutas de parada después de criterios fallidos.</w:t>
      </w:r>
    </w:p>
    <w:bookmarkEnd w:id="1305"/>
    <w:bookmarkStart w:id="1306" w:name="referencias-jurídicas-primarias-101"/>
    <w:p>
      <w:pPr>
        <w:pStyle w:val="Heading2"/>
      </w:pPr>
      <w:r>
        <w:rPr>
          <w:rStyle w:val="SectionNumber"/>
        </w:rPr>
        <w:t xml:space="preserve">1.1260</w:t>
      </w:r>
      <w:r>
        <w:tab/>
      </w:r>
      <w:r>
        <w:t xml:space="preserve">Referencias jurídicas primarias</w:t>
      </w:r>
    </w:p>
    <w:p>
      <w:pPr>
        <w:numPr>
          <w:ilvl w:val="0"/>
          <w:numId w:val="1418"/>
        </w:numPr>
        <w:pStyle w:val="Compact"/>
      </w:pPr>
      <w:r>
        <w:t xml:space="preserve">Reglamento (UE) 2024/1689, modificado, incluidos los artículos 6, 8 a 27, 43, 47 a 49, 72 a 73 y los anexos I, III, IV, VI, VII y VIII, según proceda.</w:t>
      </w:r>
    </w:p>
    <w:p>
      <w:pPr>
        <w:numPr>
          <w:ilvl w:val="0"/>
          <w:numId w:val="1418"/>
        </w:numPr>
        <w:pStyle w:val="Compact"/>
      </w:pPr>
      <w:r>
        <w:t xml:space="preserve">Reglamento (UE) 2026/1744, en su caso.</w:t>
      </w:r>
    </w:p>
    <w:p>
      <w:pPr>
        <w:numPr>
          <w:ilvl w:val="0"/>
          <w:numId w:val="1418"/>
        </w:numPr>
        <w:pStyle w:val="Compact"/>
      </w:pPr>
      <w:r>
        <w:t xml:space="preserve">La aplicabilidad de las secciones 1 a 3 del capítulo III deberá ajustarse al actual calendario transitorio modificado para la ruta pertinente del artículo 6.</w:t>
      </w:r>
    </w:p>
    <w:p>
      <w:pPr>
        <w:numPr>
          <w:ilvl w:val="0"/>
          <w:numId w:val="1418"/>
        </w:numPr>
        <w:pStyle w:val="Compact"/>
      </w:pPr>
      <w:r>
        <w:t xml:space="preserve">La seguridad de los productos, la protección de los datos, el empleo, la ciberseguridad, el consumo y la legislación sectorial pueden imponer obligaciones adicionales.</w:t>
      </w:r>
    </w:p>
    <w:p>
      <w:pPr>
        <w:numPr>
          <w:ilvl w:val="0"/>
          <w:numId w:val="1418"/>
        </w:numPr>
        <w:pStyle w:val="Compact"/>
      </w:pPr>
      <w:r>
        <w:t xml:space="preserve">Los actuales controles consolidados de texto EUR-Lex sobre los resúmenes antiguos.</w:t>
      </w:r>
    </w:p>
    <w:bookmarkEnd w:id="1306"/>
    <w:bookmarkStart w:id="1307" w:name="X0aed7ed380eabb09898b4bbbc16cfd5404cc185"/>
    <w:p>
      <w:pPr>
        <w:pStyle w:val="Heading2"/>
      </w:pPr>
      <w:r>
        <w:rPr>
          <w:rStyle w:val="SectionNumber"/>
        </w:rPr>
        <w:t xml:space="preserve">1.1261</w:t>
      </w:r>
      <w:r>
        <w:tab/>
      </w:r>
      <w:r>
        <w:t xml:space="preserve">Capítulo 134 — Hoja de ruta de preparación para el GPAI</w:t>
      </w:r>
    </w:p>
    <w:p>
      <w:pPr>
        <w:pStyle w:val="BlockText"/>
      </w:pPr>
      <w:r>
        <w:rPr>
          <w:bCs/>
          <w:b/>
        </w:rPr>
        <w:t xml:space="preserve">Estatus legal:</w:t>
      </w:r>
      <w:r>
        <w:t xml:space="preserve"> </w:t>
      </w:r>
      <w:r>
        <w:t xml:space="preserve">Corregido Inglés maestro para la consolidación. Este capítulo es una hoja de ruta de preparación recomendada. No reemplaza obligaciones vinculantes del proveedor, obligaciones sistémicas de riesgo, supervisión de AI Office, o códigos y normas aplicables. Controla el conflicto anterior Capítulo 134 idioma.</w:t>
      </w:r>
    </w:p>
    <w:bookmarkEnd w:id="1307"/>
    <w:bookmarkStart w:id="1308" w:name="finalidad-12"/>
    <w:p>
      <w:pPr>
        <w:pStyle w:val="Heading2"/>
      </w:pPr>
      <w:r>
        <w:rPr>
          <w:rStyle w:val="SectionNumber"/>
        </w:rPr>
        <w:t xml:space="preserve">1.1262</w:t>
      </w:r>
      <w:r>
        <w:tab/>
      </w:r>
      <w:r>
        <w:t xml:space="preserve">Finalidad</w:t>
      </w:r>
    </w:p>
    <w:p>
      <w:pPr>
        <w:pStyle w:val="FirstParagraph"/>
      </w:pPr>
      <w:r>
        <w:t xml:space="preserve">Este capítulo proporciona una hoja de ruta práctica para las organizaciones que desarrollan, comercializan, modifican, integran, distribuyen o confían en modelos y sistemas de IA de uso general.</w:t>
      </w:r>
    </w:p>
    <w:p>
      <w:pPr>
        <w:pStyle w:val="BodyText"/>
      </w:pPr>
      <w:r>
        <w:t xml:space="preserve">AI puede apoyar la toma de decisiones humanas, pero no debe eliminar la responsabilidad humana, el juicio o la rendición de cuentas.</w:t>
      </w:r>
    </w:p>
    <w:bookmarkEnd w:id="1308"/>
    <w:bookmarkStart w:id="1309" w:name="requisito-132"/>
    <w:p>
      <w:pPr>
        <w:pStyle w:val="Heading2"/>
      </w:pPr>
      <w:r>
        <w:rPr>
          <w:rStyle w:val="SectionNumber"/>
        </w:rPr>
        <w:t xml:space="preserve">1.1263</w:t>
      </w:r>
      <w:r>
        <w:tab/>
      </w:r>
      <w:r>
        <w:t xml:space="preserve">Requisito</w:t>
      </w:r>
    </w:p>
    <w:p>
      <w:pPr>
        <w:pStyle w:val="FirstParagraph"/>
      </w:pPr>
      <w:r>
        <w:t xml:space="preserve">Las organizaciones deben determinar su papel legal en la cadena de valor de GPAI e implementar controles proporcionados a si son un proveedor de modelos de GPAI, un proveedor de sistemas de IA descendente, un implementador, un importador, un distribuidor, un representante autorizado o un proveedor de un modelo de GPAI con riesgo sistémico.</w:t>
      </w:r>
    </w:p>
    <w:bookmarkEnd w:id="1309"/>
    <w:bookmarkStart w:id="1310" w:name="explicación-en-lenguaje-sencillo-129"/>
    <w:p>
      <w:pPr>
        <w:pStyle w:val="Heading2"/>
      </w:pPr>
      <w:r>
        <w:rPr>
          <w:rStyle w:val="SectionNumber"/>
        </w:rPr>
        <w:t xml:space="preserve">1.1264</w:t>
      </w:r>
      <w:r>
        <w:tab/>
      </w:r>
      <w:r>
        <w:t xml:space="preserve">Explicación en lenguaje sencillo</w:t>
      </w:r>
    </w:p>
    <w:p>
      <w:pPr>
        <w:pStyle w:val="FirstParagraph"/>
      </w:pPr>
      <w:r>
        <w:t xml:space="preserve">Las obligaciones de GPAI difieren de las obligaciones del sistema de alto riesgo. Una empresa que utiliza un modelo de terceros no es automáticamente el proveedor del modelo, pero ajustar, cambiar de marca, modificar sustancialmente, desarrollar un sistema descendente o poner un modelo o sistema en el mercado bajo su propio nombre puede crear obligaciones adicionales. La designación de riesgos sistémicos crea una mejor evaluación, gestión de riesgos, ciberseguridad, notificación de incidentes y obligaciones de información.</w:t>
      </w:r>
    </w:p>
    <w:bookmarkEnd w:id="1310"/>
    <w:bookmarkStart w:id="1311" w:name="fase-1-mapear-la-cadena-de-valor-gpai"/>
    <w:p>
      <w:pPr>
        <w:pStyle w:val="Heading2"/>
      </w:pPr>
      <w:r>
        <w:rPr>
          <w:rStyle w:val="SectionNumber"/>
        </w:rPr>
        <w:t xml:space="preserve">1.1265</w:t>
      </w:r>
      <w:r>
        <w:tab/>
      </w:r>
      <w:r>
        <w:t xml:space="preserve">Fase 1: mapear la cadena de valor GPAI</w:t>
      </w:r>
    </w:p>
    <w:p>
      <w:pPr>
        <w:pStyle w:val="FirstParagraph"/>
      </w:pPr>
      <w:r>
        <w:t xml:space="preserve">Documento:</w:t>
      </w:r>
    </w:p>
    <w:p>
      <w:pPr>
        <w:numPr>
          <w:ilvl w:val="0"/>
          <w:numId w:val="1419"/>
        </w:numPr>
        <w:pStyle w:val="Compact"/>
      </w:pPr>
      <w:r>
        <w:t xml:space="preserve">nombres de modelos y sistemas, versiones, proveedores, licencias y arreglos de alojamiento;</w:t>
      </w:r>
    </w:p>
    <w:p>
      <w:pPr>
        <w:numPr>
          <w:ilvl w:val="0"/>
          <w:numId w:val="1419"/>
        </w:numPr>
        <w:pStyle w:val="Compact"/>
      </w:pPr>
      <w:r>
        <w:t xml:space="preserve">las funciones de proveedor, proveedor intermedio, despliegue, importador, distribuidor y representante autorizado;</w:t>
      </w:r>
    </w:p>
    <w:p>
      <w:pPr>
        <w:numPr>
          <w:ilvl w:val="0"/>
          <w:numId w:val="1419"/>
        </w:numPr>
        <w:pStyle w:val="Compact"/>
      </w:pPr>
      <w:r>
        <w:t xml:space="preserve">la condición de fuente abierta y los límites de las exenciones;</w:t>
      </w:r>
    </w:p>
    <w:p>
      <w:pPr>
        <w:numPr>
          <w:ilvl w:val="0"/>
          <w:numId w:val="1419"/>
        </w:numPr>
        <w:pStyle w:val="Compact"/>
      </w:pPr>
      <w:r>
        <w:t xml:space="preserve">jurisdicciones, sectores, usuarios y personas afectadas;</w:t>
      </w:r>
    </w:p>
    <w:p>
      <w:pPr>
        <w:numPr>
          <w:ilvl w:val="0"/>
          <w:numId w:val="1419"/>
        </w:numPr>
        <w:pStyle w:val="Compact"/>
      </w:pPr>
      <w:r>
        <w:t xml:space="preserve">afinación, recuperación, uso de herramientas, agentes, plug-ins e integraciones del sistema;</w:t>
      </w:r>
    </w:p>
    <w:p>
      <w:pPr>
        <w:numPr>
          <w:ilvl w:val="0"/>
          <w:numId w:val="1419"/>
        </w:numPr>
        <w:pStyle w:val="Compact"/>
      </w:pPr>
      <w:r>
        <w:t xml:space="preserve">la marca, la reventa, la modificación sustancial y los escenarios de marca blanca;</w:t>
      </w:r>
    </w:p>
    <w:p>
      <w:pPr>
        <w:numPr>
          <w:ilvl w:val="0"/>
          <w:numId w:val="1419"/>
        </w:numPr>
        <w:pStyle w:val="Compact"/>
      </w:pPr>
      <w:r>
        <w:t xml:space="preserve">procesos empresariales críticos y usos de alto riesgo posteriores.</w:t>
      </w:r>
    </w:p>
    <w:bookmarkEnd w:id="1311"/>
    <w:bookmarkStart w:id="1312" w:name="X3ae84ee56062e254812c0568bceceb836fd5a45"/>
    <w:p>
      <w:pPr>
        <w:pStyle w:val="Heading2"/>
      </w:pPr>
      <w:r>
        <w:rPr>
          <w:rStyle w:val="SectionNumber"/>
        </w:rPr>
        <w:t xml:space="preserve">1.1266</w:t>
      </w:r>
      <w:r>
        <w:tab/>
      </w:r>
      <w:r>
        <w:t xml:space="preserve">Fase 2: determinar la aplicabilidad y el papel</w:t>
      </w:r>
    </w:p>
    <w:p>
      <w:pPr>
        <w:pStyle w:val="FirstParagraph"/>
      </w:pPr>
      <w:r>
        <w:t xml:space="preserve">Evaluar:</w:t>
      </w:r>
    </w:p>
    <w:p>
      <w:pPr>
        <w:numPr>
          <w:ilvl w:val="0"/>
          <w:numId w:val="1420"/>
        </w:numPr>
        <w:pStyle w:val="Compact"/>
      </w:pPr>
      <w:r>
        <w:t xml:space="preserve">si el artefacto es un modelo GPAI, un sistema de IA utilizando GPAI, o ambos;</w:t>
      </w:r>
    </w:p>
    <w:p>
      <w:pPr>
        <w:numPr>
          <w:ilvl w:val="0"/>
          <w:numId w:val="1420"/>
        </w:numPr>
        <w:pStyle w:val="Compact"/>
      </w:pPr>
      <w:r>
        <w:t xml:space="preserve">qué entidad introduce el modelo o sistema en el mercado de la UE;</w:t>
      </w:r>
    </w:p>
    <w:p>
      <w:pPr>
        <w:numPr>
          <w:ilvl w:val="0"/>
          <w:numId w:val="1420"/>
        </w:numPr>
        <w:pStyle w:val="Compact"/>
      </w:pPr>
      <w:r>
        <w:t xml:space="preserve">si la organización ha modificado, rebautizado o modificado sustancialmente el modelo o sistema;</w:t>
      </w:r>
    </w:p>
    <w:p>
      <w:pPr>
        <w:numPr>
          <w:ilvl w:val="0"/>
          <w:numId w:val="1420"/>
        </w:numPr>
        <w:pStyle w:val="Compact"/>
      </w:pPr>
      <w:r>
        <w:t xml:space="preserve">si una exención de código abierto es pertinente y si se cumplen sus condiciones;</w:t>
      </w:r>
    </w:p>
    <w:p>
      <w:pPr>
        <w:numPr>
          <w:ilvl w:val="0"/>
          <w:numId w:val="1420"/>
        </w:numPr>
        <w:pStyle w:val="Compact"/>
      </w:pPr>
      <w:r>
        <w:t xml:space="preserve">si se aplican criterios de riesgo sistémico o de designación;</w:t>
      </w:r>
    </w:p>
    <w:p>
      <w:pPr>
        <w:numPr>
          <w:ilvl w:val="0"/>
          <w:numId w:val="1420"/>
        </w:numPr>
        <w:pStyle w:val="Compact"/>
      </w:pPr>
      <w:r>
        <w:t xml:space="preserve">si también se aplican obligaciones posteriores de alto riesgo, transparencia, privacidad, seguridad de los productos o sector;</w:t>
      </w:r>
    </w:p>
    <w:p>
      <w:pPr>
        <w:numPr>
          <w:ilvl w:val="0"/>
          <w:numId w:val="1420"/>
        </w:numPr>
        <w:pStyle w:val="Compact"/>
      </w:pPr>
      <w:r>
        <w:t xml:space="preserve">si la asignación contractual refleja las funciones jurídicas y operativas reales.</w:t>
      </w:r>
    </w:p>
    <w:bookmarkEnd w:id="1312"/>
    <w:bookmarkStart w:id="1313" w:name="X78a7ee8f68aaf34135a187c45a9d2373eb1b0ee"/>
    <w:p>
      <w:pPr>
        <w:pStyle w:val="Heading2"/>
      </w:pPr>
      <w:r>
        <w:rPr>
          <w:rStyle w:val="SectionNumber"/>
        </w:rPr>
        <w:t xml:space="preserve">1.1267</w:t>
      </w:r>
      <w:r>
        <w:tab/>
      </w:r>
      <w:r>
        <w:t xml:space="preserve">Fase 3: documentación e información posterior</w:t>
      </w:r>
    </w:p>
    <w:p>
      <w:pPr>
        <w:pStyle w:val="FirstParagraph"/>
      </w:pPr>
      <w:r>
        <w:t xml:space="preserve">Mantener registros proporcionados y controlados en versión que cubran:</w:t>
      </w:r>
    </w:p>
    <w:p>
      <w:pPr>
        <w:numPr>
          <w:ilvl w:val="0"/>
          <w:numId w:val="1421"/>
        </w:numPr>
        <w:pStyle w:val="Compact"/>
      </w:pPr>
      <w:r>
        <w:t xml:space="preserve">capacidades, limitaciones y usos previstos y previsibles del modelo;</w:t>
      </w:r>
    </w:p>
    <w:p>
      <w:pPr>
        <w:numPr>
          <w:ilvl w:val="0"/>
          <w:numId w:val="1421"/>
        </w:numPr>
        <w:pStyle w:val="Compact"/>
      </w:pPr>
      <w:r>
        <w:t xml:space="preserve">el modelo técnico y la documentación del sistema;</w:t>
      </w:r>
    </w:p>
    <w:p>
      <w:pPr>
        <w:numPr>
          <w:ilvl w:val="0"/>
          <w:numId w:val="1421"/>
        </w:numPr>
        <w:pStyle w:val="Compact"/>
      </w:pPr>
      <w:r>
        <w:t xml:space="preserve">integración, configuración, ajuste y arquitectura de recuperación;</w:t>
      </w:r>
    </w:p>
    <w:p>
      <w:pPr>
        <w:numPr>
          <w:ilvl w:val="0"/>
          <w:numId w:val="1421"/>
        </w:numPr>
        <w:pStyle w:val="Compact"/>
      </w:pPr>
      <w:r>
        <w:t xml:space="preserve">evaluación, validación y resultados del equipo rojo;</w:t>
      </w:r>
    </w:p>
    <w:p>
      <w:pPr>
        <w:numPr>
          <w:ilvl w:val="0"/>
          <w:numId w:val="1421"/>
        </w:numPr>
        <w:pStyle w:val="Compact"/>
      </w:pPr>
      <w:r>
        <w:t xml:space="preserve">información requerida para los proveedores intermedios;</w:t>
      </w:r>
    </w:p>
    <w:p>
      <w:pPr>
        <w:numPr>
          <w:ilvl w:val="0"/>
          <w:numId w:val="1421"/>
        </w:numPr>
        <w:pStyle w:val="Compact"/>
      </w:pPr>
      <w:r>
        <w:t xml:space="preserve">la política de observancia de los derechos de autor y las pruebas de su aplicación;</w:t>
      </w:r>
    </w:p>
    <w:p>
      <w:pPr>
        <w:numPr>
          <w:ilvl w:val="0"/>
          <w:numId w:val="1421"/>
        </w:numPr>
        <w:pStyle w:val="Compact"/>
      </w:pPr>
      <w:r>
        <w:t xml:space="preserve">resúmenes de contenidos de formación requeridos, cuando proceda;</w:t>
      </w:r>
    </w:p>
    <w:p>
      <w:pPr>
        <w:numPr>
          <w:ilvl w:val="0"/>
          <w:numId w:val="1421"/>
        </w:numPr>
        <w:pStyle w:val="Compact"/>
      </w:pPr>
      <w:r>
        <w:t xml:space="preserve">seguridad, incidentes, cambios y registros de liberación;</w:t>
      </w:r>
    </w:p>
    <w:p>
      <w:pPr>
        <w:numPr>
          <w:ilvl w:val="0"/>
          <w:numId w:val="1421"/>
        </w:numPr>
        <w:pStyle w:val="Compact"/>
      </w:pPr>
      <w:r>
        <w:t xml:space="preserve">contactos y procedimientos para las autoridades, los proveedores y los socios intermedios.</w:t>
      </w:r>
    </w:p>
    <w:bookmarkEnd w:id="1313"/>
    <w:bookmarkStart w:id="1314" w:name="Xccc8b6198502840422ce9961e73dd573e1cda44"/>
    <w:p>
      <w:pPr>
        <w:pStyle w:val="Heading2"/>
      </w:pPr>
      <w:r>
        <w:rPr>
          <w:rStyle w:val="SectionNumber"/>
        </w:rPr>
        <w:t xml:space="preserve">1.1268</w:t>
      </w:r>
      <w:r>
        <w:tab/>
      </w:r>
      <w:r>
        <w:t xml:space="preserve">Fase 4: evaluación del riesgo y del control</w:t>
      </w:r>
    </w:p>
    <w:p>
      <w:pPr>
        <w:pStyle w:val="FirstParagraph"/>
      </w:pPr>
      <w:r>
        <w:t xml:space="preserve">Dirección:</w:t>
      </w:r>
    </w:p>
    <w:p>
      <w:pPr>
        <w:numPr>
          <w:ilvl w:val="0"/>
          <w:numId w:val="1422"/>
        </w:numPr>
        <w:pStyle w:val="Compact"/>
      </w:pPr>
      <w:r>
        <w:t xml:space="preserve">capacidad y riesgo previsible de uso indebido;</w:t>
      </w:r>
    </w:p>
    <w:p>
      <w:pPr>
        <w:numPr>
          <w:ilvl w:val="0"/>
          <w:numId w:val="1422"/>
        </w:numPr>
        <w:pStyle w:val="Compact"/>
      </w:pPr>
      <w:r>
        <w:t xml:space="preserve">alucinaciones, falta de fiabilidad y confianza inadecuada;</w:t>
      </w:r>
    </w:p>
    <w:p>
      <w:pPr>
        <w:numPr>
          <w:ilvl w:val="0"/>
          <w:numId w:val="1422"/>
        </w:numPr>
        <w:pStyle w:val="Compact"/>
      </w:pPr>
      <w:r>
        <w:t xml:space="preserve">privacidad, confidencialidad y fuga de datos;</w:t>
      </w:r>
    </w:p>
    <w:p>
      <w:pPr>
        <w:numPr>
          <w:ilvl w:val="0"/>
          <w:numId w:val="1422"/>
        </w:numPr>
        <w:pStyle w:val="Compact"/>
      </w:pPr>
      <w:r>
        <w:t xml:space="preserve">la inyección rápida, el uso indebido de herramientas y el riesgo de acción agenteica;</w:t>
      </w:r>
    </w:p>
    <w:p>
      <w:pPr>
        <w:numPr>
          <w:ilvl w:val="0"/>
          <w:numId w:val="1422"/>
        </w:numPr>
        <w:pStyle w:val="Compact"/>
      </w:pPr>
      <w:r>
        <w:t xml:space="preserve">seguridad cibernética y exposición a la cadena de suministro de software;</w:t>
      </w:r>
    </w:p>
    <w:p>
      <w:pPr>
        <w:numPr>
          <w:ilvl w:val="0"/>
          <w:numId w:val="1422"/>
        </w:numPr>
        <w:pStyle w:val="Compact"/>
      </w:pPr>
      <w:r>
        <w:t xml:space="preserve">sesgo, discriminación y accesibilidad;</w:t>
      </w:r>
    </w:p>
    <w:p>
      <w:pPr>
        <w:numPr>
          <w:ilvl w:val="0"/>
          <w:numId w:val="1422"/>
        </w:numPr>
        <w:pStyle w:val="Compact"/>
      </w:pPr>
      <w:r>
        <w:t xml:space="preserve">riesgo de propiedad intelectual y contenido;</w:t>
      </w:r>
    </w:p>
    <w:p>
      <w:pPr>
        <w:numPr>
          <w:ilvl w:val="0"/>
          <w:numId w:val="1422"/>
        </w:numPr>
        <w:pStyle w:val="Compact"/>
      </w:pPr>
      <w:r>
        <w:t xml:space="preserve">concentración, continuidad y dependencia de los proveedores;</w:t>
      </w:r>
    </w:p>
    <w:p>
      <w:pPr>
        <w:numPr>
          <w:ilvl w:val="0"/>
          <w:numId w:val="1422"/>
        </w:numPr>
        <w:pStyle w:val="Compact"/>
      </w:pPr>
      <w:r>
        <w:t xml:space="preserve">utilización posterior en contextos de alto riesgo o de seguridad;</w:t>
      </w:r>
    </w:p>
    <w:p>
      <w:pPr>
        <w:numPr>
          <w:ilvl w:val="0"/>
          <w:numId w:val="1422"/>
        </w:numPr>
        <w:pStyle w:val="Compact"/>
      </w:pPr>
      <w:r>
        <w:t xml:space="preserve">modelo, proveedor, licencia, datos y cambios de integración.</w:t>
      </w:r>
    </w:p>
    <w:bookmarkEnd w:id="1314"/>
    <w:bookmarkStart w:id="1315" w:name="X743d13dca3d71dc3419a5400ed827559cf8b16c"/>
    <w:p>
      <w:pPr>
        <w:pStyle w:val="Heading2"/>
      </w:pPr>
      <w:r>
        <w:rPr>
          <w:rStyle w:val="SectionNumber"/>
        </w:rPr>
        <w:t xml:space="preserve">1.1269</w:t>
      </w:r>
      <w:r>
        <w:tab/>
      </w:r>
      <w:r>
        <w:t xml:space="preserve">Fase 5: preparación para el riesgo sistémico, cuando proceda</w:t>
      </w:r>
    </w:p>
    <w:p>
      <w:pPr>
        <w:pStyle w:val="FirstParagraph"/>
      </w:pPr>
      <w:r>
        <w:t xml:space="preserve">Para los modelos GPAI con riesgo sistémico, establezca procesos mejorados para:</w:t>
      </w:r>
    </w:p>
    <w:p>
      <w:pPr>
        <w:numPr>
          <w:ilvl w:val="0"/>
          <w:numId w:val="1423"/>
        </w:numPr>
        <w:pStyle w:val="Compact"/>
      </w:pPr>
      <w:r>
        <w:t xml:space="preserve">evaluaciones modelo normalizadas;</w:t>
      </w:r>
    </w:p>
    <w:p>
      <w:pPr>
        <w:numPr>
          <w:ilvl w:val="0"/>
          <w:numId w:val="1423"/>
        </w:numPr>
        <w:pStyle w:val="Compact"/>
      </w:pPr>
      <w:r>
        <w:t xml:space="preserve">pruebas contradictorias y desafíos independientes;</w:t>
      </w:r>
    </w:p>
    <w:p>
      <w:pPr>
        <w:numPr>
          <w:ilvl w:val="0"/>
          <w:numId w:val="1423"/>
        </w:numPr>
        <w:pStyle w:val="Compact"/>
      </w:pPr>
      <w:r>
        <w:t xml:space="preserve">identificación, evaluación y mitigación del riesgo sistémico;</w:t>
      </w:r>
    </w:p>
    <w:p>
      <w:pPr>
        <w:numPr>
          <w:ilvl w:val="0"/>
          <w:numId w:val="1423"/>
        </w:numPr>
        <w:pStyle w:val="Compact"/>
      </w:pPr>
      <w:r>
        <w:t xml:space="preserve">seguimiento y notificación de incidentes graves;</w:t>
      </w:r>
    </w:p>
    <w:p>
      <w:pPr>
        <w:numPr>
          <w:ilvl w:val="0"/>
          <w:numId w:val="1423"/>
        </w:numPr>
        <w:pStyle w:val="Compact"/>
      </w:pPr>
      <w:r>
        <w:t xml:space="preserve">las salvaguardias de seguridad cibernética y la resiliencia;</w:t>
      </w:r>
    </w:p>
    <w:p>
      <w:pPr>
        <w:numPr>
          <w:ilvl w:val="0"/>
          <w:numId w:val="1423"/>
        </w:numPr>
        <w:pStyle w:val="Compact"/>
      </w:pPr>
      <w:r>
        <w:t xml:space="preserve">información en materia de energía y recursos, cuando sea legalmente necesario;</w:t>
      </w:r>
    </w:p>
    <w:p>
      <w:pPr>
        <w:numPr>
          <w:ilvl w:val="0"/>
          <w:numId w:val="1423"/>
        </w:numPr>
        <w:pStyle w:val="Compact"/>
      </w:pPr>
      <w:r>
        <w:t xml:space="preserve">la cooperación con la Oficina de Inteligencia Artificial y las autoridades competentes;</w:t>
      </w:r>
    </w:p>
    <w:p>
      <w:pPr>
        <w:numPr>
          <w:ilvl w:val="0"/>
          <w:numId w:val="1423"/>
        </w:numPr>
        <w:pStyle w:val="Compact"/>
      </w:pPr>
      <w:r>
        <w:t xml:space="preserve">supervisión ejecutiva y de la junta de los riesgos sistémicos materiales.</w:t>
      </w:r>
    </w:p>
    <w:bookmarkEnd w:id="1315"/>
    <w:bookmarkStart w:id="1316" w:name="X6a7a429b5954f9464003af73fda7c1e1bc5c6ad"/>
    <w:p>
      <w:pPr>
        <w:pStyle w:val="Heading2"/>
      </w:pPr>
      <w:r>
        <w:rPr>
          <w:rStyle w:val="SectionNumber"/>
        </w:rPr>
        <w:t xml:space="preserve">1.1270</w:t>
      </w:r>
      <w:r>
        <w:tab/>
      </w:r>
      <w:r>
        <w:t xml:space="preserve">Fase 6: preparación para la integración posterior</w:t>
      </w:r>
    </w:p>
    <w:p>
      <w:pPr>
        <w:pStyle w:val="FirstParagraph"/>
      </w:pPr>
      <w:r>
        <w:t xml:space="preserve">Antes del despliegue de material:</w:t>
      </w:r>
    </w:p>
    <w:p>
      <w:pPr>
        <w:numPr>
          <w:ilvl w:val="0"/>
          <w:numId w:val="1424"/>
        </w:numPr>
        <w:pStyle w:val="Compact"/>
      </w:pPr>
      <w:r>
        <w:t xml:space="preserve">validar la información del proveedor y los derechos contractuales;</w:t>
      </w:r>
    </w:p>
    <w:p>
      <w:pPr>
        <w:numPr>
          <w:ilvl w:val="0"/>
          <w:numId w:val="1424"/>
        </w:numPr>
        <w:pStyle w:val="Compact"/>
      </w:pPr>
      <w:r>
        <w:t xml:space="preserve">evaluar los usos previstos y previsibles;</w:t>
      </w:r>
    </w:p>
    <w:p>
      <w:pPr>
        <w:numPr>
          <w:ilvl w:val="0"/>
          <w:numId w:val="1424"/>
        </w:numPr>
        <w:pStyle w:val="Compact"/>
      </w:pPr>
      <w:r>
        <w:t xml:space="preserve">definir los usos prohibidos y las restricciones técnicas;</w:t>
      </w:r>
    </w:p>
    <w:p>
      <w:pPr>
        <w:numPr>
          <w:ilvl w:val="0"/>
          <w:numId w:val="1424"/>
        </w:numPr>
        <w:pStyle w:val="Compact"/>
      </w:pPr>
      <w:r>
        <w:t xml:space="preserve">las señales de prueba, la recuperación, las herramientas, los agentes y la escalada humana;</w:t>
      </w:r>
    </w:p>
    <w:p>
      <w:pPr>
        <w:numPr>
          <w:ilvl w:val="0"/>
          <w:numId w:val="1424"/>
        </w:numPr>
        <w:pStyle w:val="Compact"/>
      </w:pPr>
      <w:r>
        <w:t xml:space="preserve">implementar la tala, monitoreo y respuesta a incidentes;</w:t>
      </w:r>
    </w:p>
    <w:p>
      <w:pPr>
        <w:numPr>
          <w:ilvl w:val="0"/>
          <w:numId w:val="1424"/>
        </w:numPr>
        <w:pStyle w:val="Compact"/>
      </w:pPr>
      <w:r>
        <w:t xml:space="preserve">establecer controles de la versión del modelo y del cambio;</w:t>
      </w:r>
    </w:p>
    <w:p>
      <w:pPr>
        <w:numPr>
          <w:ilvl w:val="0"/>
          <w:numId w:val="1424"/>
        </w:numPr>
        <w:pStyle w:val="Compact"/>
      </w:pPr>
      <w:r>
        <w:t xml:space="preserve">verificar la transparencia y las comunicaciones entre las personas afectadas;</w:t>
      </w:r>
    </w:p>
    <w:p>
      <w:pPr>
        <w:numPr>
          <w:ilvl w:val="0"/>
          <w:numId w:val="1424"/>
        </w:numPr>
        <w:pStyle w:val="Compact"/>
      </w:pPr>
      <w:r>
        <w:t xml:space="preserve">evaluar las superposiciones de alto riesgo, privacidad, seguridad, productos y sectores;</w:t>
      </w:r>
    </w:p>
    <w:p>
      <w:pPr>
        <w:numPr>
          <w:ilvl w:val="0"/>
          <w:numId w:val="1424"/>
        </w:numPr>
        <w:pStyle w:val="Compact"/>
      </w:pPr>
      <w:r>
        <w:t xml:space="preserve">mantener planes de salida, sustitución, portabilidad y continuidad.</w:t>
      </w:r>
    </w:p>
    <w:bookmarkEnd w:id="1316"/>
    <w:bookmarkStart w:id="1317" w:name="Xa229268c7b834b90257b8973ff30403b130eb98"/>
    <w:p>
      <w:pPr>
        <w:pStyle w:val="Heading2"/>
      </w:pPr>
      <w:r>
        <w:rPr>
          <w:rStyle w:val="SectionNumber"/>
        </w:rPr>
        <w:t xml:space="preserve">1.1271</w:t>
      </w:r>
      <w:r>
        <w:tab/>
      </w:r>
      <w:r>
        <w:t xml:space="preserve">Ejemplo de servicios de viajes de GlobalWay</w:t>
      </w:r>
    </w:p>
    <w:p>
      <w:pPr>
        <w:pStyle w:val="FirstParagraph"/>
      </w:pPr>
      <w:r>
        <w:t xml:space="preserve">GlobalWay integra modelos de GPAI de terceros en un servicio de asistente de consultores de viajes y resumen de documentos. Registra versiones de modelos y proveedores, revisa información técnica de aguas abajo, restringe datos de viajeros sensibles, prueba recuperación y llamadas de herramientas, requiere aprobación humana para reembolsos y decisiones sensibles a la seguridad, y monitorea cambios en el proveedor.</w:t>
      </w:r>
    </w:p>
    <w:p>
      <w:pPr>
        <w:pStyle w:val="BodyText"/>
      </w:pPr>
      <w:r>
        <w:t xml:space="preserve">Antes de ofrecer el asistente a los clientes corporativos bajo la marca GlobalWay, Legal reevalua si GlobalWay se ha convertido en un proveedor intermedio con funciones adicionales de documentación, transparencia, contrato o nivel de sistema. Los contratos requieren notificación de cambios, cooperación en incidentes, acceso a pruebas y soporte de salida.</w:t>
      </w:r>
    </w:p>
    <w:bookmarkEnd w:id="1317"/>
    <w:bookmarkStart w:id="1318" w:name="actividades-de-control-9"/>
    <w:p>
      <w:pPr>
        <w:pStyle w:val="Heading2"/>
      </w:pPr>
      <w:r>
        <w:rPr>
          <w:rStyle w:val="SectionNumber"/>
        </w:rPr>
        <w:t xml:space="preserve">1.1272</w:t>
      </w:r>
      <w:r>
        <w:tab/>
      </w:r>
      <w:r>
        <w:t xml:space="preserve">Actividades de control</w:t>
      </w:r>
    </w:p>
    <w:p>
      <w:pPr>
        <w:numPr>
          <w:ilvl w:val="0"/>
          <w:numId w:val="1425"/>
        </w:numPr>
        <w:pStyle w:val="Compact"/>
      </w:pPr>
      <w:r>
        <w:t xml:space="preserve">Mantener un modelo completo de GPAI y registro de integración.</w:t>
      </w:r>
    </w:p>
    <w:p>
      <w:pPr>
        <w:numPr>
          <w:ilvl w:val="0"/>
          <w:numId w:val="1425"/>
        </w:numPr>
        <w:pStyle w:val="Compact"/>
      </w:pPr>
      <w:r>
        <w:t xml:space="preserve">Documentar y aprobar las evaluaciones de las funciones y la aplicabilidad.</w:t>
      </w:r>
    </w:p>
    <w:p>
      <w:pPr>
        <w:numPr>
          <w:ilvl w:val="0"/>
          <w:numId w:val="1425"/>
        </w:numPr>
        <w:pStyle w:val="Compact"/>
      </w:pPr>
      <w:r>
        <w:t xml:space="preserve">Obtener, revisar y retener la documentación del proveedor y posterior.</w:t>
      </w:r>
    </w:p>
    <w:p>
      <w:pPr>
        <w:numPr>
          <w:ilvl w:val="0"/>
          <w:numId w:val="1425"/>
        </w:numPr>
        <w:pStyle w:val="Compact"/>
      </w:pPr>
      <w:r>
        <w:t xml:space="preserve">Implemente los derechos de autor, privacidad, seguridad, transparencia y controles de datos.</w:t>
      </w:r>
    </w:p>
    <w:p>
      <w:pPr>
        <w:numPr>
          <w:ilvl w:val="0"/>
          <w:numId w:val="1425"/>
        </w:numPr>
        <w:pStyle w:val="Compact"/>
      </w:pPr>
      <w:r>
        <w:t xml:space="preserve">Validar integraciones de alto impacto, agentes y herramientas.</w:t>
      </w:r>
    </w:p>
    <w:p>
      <w:pPr>
        <w:numPr>
          <w:ilvl w:val="0"/>
          <w:numId w:val="1425"/>
        </w:numPr>
        <w:pStyle w:val="Compact"/>
      </w:pPr>
      <w:r>
        <w:t xml:space="preserve">Supervisar los cambios en el modelo, el proveedor, la licencia, la legislación y el código de prácticas.</w:t>
      </w:r>
    </w:p>
    <w:p>
      <w:pPr>
        <w:numPr>
          <w:ilvl w:val="0"/>
          <w:numId w:val="1425"/>
        </w:numPr>
        <w:pStyle w:val="Compact"/>
      </w:pPr>
      <w:r>
        <w:t xml:space="preserve">Establecer controles de riesgos sistémicos, cuando proceda.</w:t>
      </w:r>
    </w:p>
    <w:p>
      <w:pPr>
        <w:numPr>
          <w:ilvl w:val="0"/>
          <w:numId w:val="1425"/>
        </w:numPr>
        <w:pStyle w:val="Compact"/>
      </w:pPr>
      <w:r>
        <w:t xml:space="preserve">Reevaluar los cambios de material antes de su liberación o su uso continuado.</w:t>
      </w:r>
    </w:p>
    <w:p>
      <w:pPr>
        <w:numPr>
          <w:ilvl w:val="0"/>
          <w:numId w:val="1425"/>
        </w:numPr>
        <w:pStyle w:val="Compact"/>
      </w:pPr>
      <w:r>
        <w:t xml:space="preserve">Mantener las pruebas que apoyen las decisiones, las revelaciones y la información posterior.</w:t>
      </w:r>
    </w:p>
    <w:bookmarkEnd w:id="1318"/>
    <w:bookmarkStart w:id="1319" w:name="pruebas-133"/>
    <w:p>
      <w:pPr>
        <w:pStyle w:val="Heading2"/>
      </w:pPr>
      <w:r>
        <w:rPr>
          <w:rStyle w:val="SectionNumber"/>
        </w:rPr>
        <w:t xml:space="preserve">1.1273</w:t>
      </w:r>
      <w:r>
        <w:tab/>
      </w:r>
      <w:r>
        <w:t xml:space="preserve">Pruebas</w:t>
      </w:r>
    </w:p>
    <w:p>
      <w:pPr>
        <w:numPr>
          <w:ilvl w:val="0"/>
          <w:numId w:val="1426"/>
        </w:numPr>
        <w:pStyle w:val="Compact"/>
      </w:pPr>
      <w:r>
        <w:t xml:space="preserve">GPAI inventario y evaluación de funciones;</w:t>
      </w:r>
    </w:p>
    <w:p>
      <w:pPr>
        <w:numPr>
          <w:ilvl w:val="0"/>
          <w:numId w:val="1426"/>
        </w:numPr>
        <w:pStyle w:val="Compact"/>
      </w:pPr>
      <w:r>
        <w:t xml:space="preserve">modelo y documentación de integración;</w:t>
      </w:r>
    </w:p>
    <w:p>
      <w:pPr>
        <w:numPr>
          <w:ilvl w:val="0"/>
          <w:numId w:val="1426"/>
        </w:numPr>
        <w:pStyle w:val="Compact"/>
      </w:pPr>
      <w:r>
        <w:t xml:space="preserve">información del proveedor y de la parte posterior del producto;</w:t>
      </w:r>
    </w:p>
    <w:p>
      <w:pPr>
        <w:numPr>
          <w:ilvl w:val="0"/>
          <w:numId w:val="1426"/>
        </w:numPr>
        <w:pStyle w:val="Compact"/>
      </w:pPr>
      <w:r>
        <w:t xml:space="preserve">política de derechos de autor y resumen de contenidos de formación, cuando proceda;</w:t>
      </w:r>
    </w:p>
    <w:p>
      <w:pPr>
        <w:numPr>
          <w:ilvl w:val="0"/>
          <w:numId w:val="1426"/>
        </w:numPr>
        <w:pStyle w:val="Compact"/>
      </w:pPr>
      <w:r>
        <w:t xml:space="preserve">análisis de código abierto;</w:t>
      </w:r>
    </w:p>
    <w:p>
      <w:pPr>
        <w:numPr>
          <w:ilvl w:val="0"/>
          <w:numId w:val="1426"/>
        </w:numPr>
        <w:pStyle w:val="Compact"/>
      </w:pPr>
      <w:r>
        <w:t xml:space="preserve">la evaluación del riesgo sistémico o los registros de designación;</w:t>
      </w:r>
    </w:p>
    <w:p>
      <w:pPr>
        <w:numPr>
          <w:ilvl w:val="0"/>
          <w:numId w:val="1426"/>
        </w:numPr>
        <w:pStyle w:val="Compact"/>
      </w:pPr>
      <w:r>
        <w:t xml:space="preserve">evaluación, pruebas contradictorias, seguridad cibernética y pruebas de incidentes;</w:t>
      </w:r>
    </w:p>
    <w:p>
      <w:pPr>
        <w:numPr>
          <w:ilvl w:val="0"/>
          <w:numId w:val="1426"/>
        </w:numPr>
        <w:pStyle w:val="Compact"/>
      </w:pPr>
      <w:r>
        <w:t xml:space="preserve">los contratos con proveedores y las notificaciones de cambios;</w:t>
      </w:r>
    </w:p>
    <w:p>
      <w:pPr>
        <w:numPr>
          <w:ilvl w:val="0"/>
          <w:numId w:val="1426"/>
        </w:numPr>
        <w:pStyle w:val="Compact"/>
      </w:pPr>
      <w:r>
        <w:t xml:space="preserve">los registros de seguimiento, divulgación y reevaluación;</w:t>
      </w:r>
    </w:p>
    <w:p>
      <w:pPr>
        <w:numPr>
          <w:ilvl w:val="0"/>
          <w:numId w:val="1426"/>
        </w:numPr>
        <w:pStyle w:val="Compact"/>
      </w:pPr>
      <w:r>
        <w:t xml:space="preserve">Oficina de AI, aplicación de leyes, normas y registros de seguimiento del código de prácticas.</w:t>
      </w:r>
    </w:p>
    <w:bookmarkEnd w:id="1319"/>
    <w:bookmarkStart w:id="1320" w:name="pruebas-de-auditoría-9"/>
    <w:p>
      <w:pPr>
        <w:pStyle w:val="Heading2"/>
      </w:pPr>
      <w:r>
        <w:rPr>
          <w:rStyle w:val="SectionNumber"/>
        </w:rPr>
        <w:t xml:space="preserve">1.1274</w:t>
      </w:r>
      <w:r>
        <w:tab/>
      </w:r>
      <w:r>
        <w:t xml:space="preserve">Pruebas de auditoría</w:t>
      </w:r>
    </w:p>
    <w:p>
      <w:pPr>
        <w:numPr>
          <w:ilvl w:val="0"/>
          <w:numId w:val="1427"/>
        </w:numPr>
        <w:pStyle w:val="Compact"/>
      </w:pPr>
      <w:r>
        <w:t xml:space="preserve">Verifique que los modelos e integraciones de GPAI estén completamente inventariados y versionados.</w:t>
      </w:r>
    </w:p>
    <w:p>
      <w:pPr>
        <w:numPr>
          <w:ilvl w:val="0"/>
          <w:numId w:val="1427"/>
        </w:numPr>
        <w:pStyle w:val="Compact"/>
      </w:pPr>
      <w:r>
        <w:t xml:space="preserve">Revise las determinaciones de rol, branding, modificación y suposiciones de código abierto.</w:t>
      </w:r>
    </w:p>
    <w:p>
      <w:pPr>
        <w:numPr>
          <w:ilvl w:val="0"/>
          <w:numId w:val="1427"/>
        </w:numPr>
        <w:pStyle w:val="Compact"/>
      </w:pPr>
      <w:r>
        <w:t xml:space="preserve">Confirme que el proveedor requerido y la documentación posterior se mantiene y se mantiene actualizada.</w:t>
      </w:r>
    </w:p>
    <w:p>
      <w:pPr>
        <w:numPr>
          <w:ilvl w:val="0"/>
          <w:numId w:val="1427"/>
        </w:numPr>
        <w:pStyle w:val="Compact"/>
      </w:pPr>
      <w:r>
        <w:t xml:space="preserve">Prueba los derechos de autor, privacidad, seguridad, transparencia y controles de proveedores.</w:t>
      </w:r>
    </w:p>
    <w:p>
      <w:pPr>
        <w:numPr>
          <w:ilvl w:val="0"/>
          <w:numId w:val="1427"/>
        </w:numPr>
        <w:pStyle w:val="Compact"/>
      </w:pPr>
      <w:r>
        <w:t xml:space="preserve">Revise las evaluaciones de mal uso, sesgo, fiabilidad, inyección rápida y riesgo de acción de herramientas.</w:t>
      </w:r>
    </w:p>
    <w:p>
      <w:pPr>
        <w:numPr>
          <w:ilvl w:val="0"/>
          <w:numId w:val="1427"/>
        </w:numPr>
        <w:pStyle w:val="Compact"/>
      </w:pPr>
      <w:r>
        <w:t xml:space="preserve">Confirmar los cambios de modelo o integración desencadenan una reevaluación antes de la liberación.</w:t>
      </w:r>
    </w:p>
    <w:p>
      <w:pPr>
        <w:numPr>
          <w:ilvl w:val="0"/>
          <w:numId w:val="1427"/>
        </w:numPr>
        <w:pStyle w:val="Compact"/>
      </w:pPr>
      <w:r>
        <w:t xml:space="preserve">Verificar los controles de riesgo sistémico mejorados cuando proceda.</w:t>
      </w:r>
    </w:p>
    <w:p>
      <w:pPr>
        <w:numPr>
          <w:ilvl w:val="0"/>
          <w:numId w:val="1427"/>
        </w:numPr>
        <w:pStyle w:val="Compact"/>
      </w:pPr>
      <w:r>
        <w:t xml:space="preserve">Confirmar que los códigos o directrices no vinculantes no están representados como ley vinculante.</w:t>
      </w:r>
    </w:p>
    <w:bookmarkEnd w:id="1320"/>
    <w:bookmarkStart w:id="1321" w:name="métricas-10"/>
    <w:p>
      <w:pPr>
        <w:pStyle w:val="Heading2"/>
      </w:pPr>
      <w:r>
        <w:rPr>
          <w:rStyle w:val="SectionNumber"/>
        </w:rPr>
        <w:t xml:space="preserve">1.1275</w:t>
      </w:r>
      <w:r>
        <w:tab/>
      </w:r>
      <w:r>
        <w:t xml:space="preserve">Métricas</w:t>
      </w:r>
    </w:p>
    <w:p>
      <w:pPr>
        <w:numPr>
          <w:ilvl w:val="0"/>
          <w:numId w:val="1428"/>
        </w:numPr>
        <w:pStyle w:val="Compact"/>
      </w:pPr>
      <w:r>
        <w:t xml:space="preserve">Modelos e integraciones de GPAI inventariados;</w:t>
      </w:r>
    </w:p>
    <w:p>
      <w:pPr>
        <w:numPr>
          <w:ilvl w:val="0"/>
          <w:numId w:val="1428"/>
        </w:numPr>
        <w:pStyle w:val="Compact"/>
      </w:pPr>
      <w:r>
        <w:t xml:space="preserve">las evaluaciones de funciones actuales;</w:t>
      </w:r>
    </w:p>
    <w:p>
      <w:pPr>
        <w:numPr>
          <w:ilvl w:val="0"/>
          <w:numId w:val="1428"/>
        </w:numPr>
        <w:pStyle w:val="Compact"/>
      </w:pPr>
      <w:r>
        <w:t xml:space="preserve">lagunas en la documentación del proveedor;</w:t>
      </w:r>
    </w:p>
    <w:p>
      <w:pPr>
        <w:numPr>
          <w:ilvl w:val="0"/>
          <w:numId w:val="1428"/>
        </w:numPr>
        <w:pStyle w:val="Compact"/>
      </w:pPr>
      <w:r>
        <w:t xml:space="preserve">las integraciones de alto impacto validadas;</w:t>
      </w:r>
    </w:p>
    <w:p>
      <w:pPr>
        <w:numPr>
          <w:ilvl w:val="0"/>
          <w:numId w:val="1428"/>
        </w:numPr>
        <w:pStyle w:val="Compact"/>
      </w:pPr>
      <w:r>
        <w:t xml:space="preserve">cambios de modelo pendientes de revisión;</w:t>
      </w:r>
    </w:p>
    <w:p>
      <w:pPr>
        <w:numPr>
          <w:ilvl w:val="0"/>
          <w:numId w:val="1428"/>
        </w:numPr>
        <w:pStyle w:val="Compact"/>
      </w:pPr>
      <w:r>
        <w:t xml:space="preserve">evaluación y resultados del equipo rojo;</w:t>
      </w:r>
    </w:p>
    <w:p>
      <w:pPr>
        <w:numPr>
          <w:ilvl w:val="0"/>
          <w:numId w:val="1428"/>
        </w:numPr>
        <w:pStyle w:val="Compact"/>
      </w:pPr>
      <w:r>
        <w:t xml:space="preserve">incidentes y acontecimientos de uso indebido;</w:t>
      </w:r>
    </w:p>
    <w:p>
      <w:pPr>
        <w:numPr>
          <w:ilvl w:val="0"/>
          <w:numId w:val="1428"/>
        </w:numPr>
        <w:pStyle w:val="Compact"/>
      </w:pPr>
      <w:r>
        <w:t xml:space="preserve">las solicitudes de información a posteriori vencidas;</w:t>
      </w:r>
    </w:p>
    <w:p>
      <w:pPr>
        <w:numPr>
          <w:ilvl w:val="0"/>
          <w:numId w:val="1428"/>
        </w:numPr>
        <w:pStyle w:val="Compact"/>
      </w:pPr>
      <w:r>
        <w:t xml:space="preserve">las acciones de riesgo sistémico vencidas;</w:t>
      </w:r>
    </w:p>
    <w:p>
      <w:pPr>
        <w:numPr>
          <w:ilvl w:val="0"/>
          <w:numId w:val="1428"/>
        </w:numPr>
        <w:pStyle w:val="Compact"/>
      </w:pPr>
      <w:r>
        <w:t xml:space="preserve">proveedores críticos sin planes de salida probados.</w:t>
      </w:r>
    </w:p>
    <w:bookmarkEnd w:id="1321"/>
    <w:bookmarkStart w:id="1322" w:name="lista-de-verificación-de-gestión-12"/>
    <w:p>
      <w:pPr>
        <w:pStyle w:val="Heading2"/>
      </w:pPr>
      <w:r>
        <w:rPr>
          <w:rStyle w:val="SectionNumber"/>
        </w:rPr>
        <w:t xml:space="preserve">1.1276</w:t>
      </w:r>
      <w:r>
        <w:tab/>
      </w:r>
      <w:r>
        <w:t xml:space="preserve">Lista de verificación de gestión</w:t>
      </w:r>
    </w:p>
    <w:p>
      <w:pPr>
        <w:numPr>
          <w:ilvl w:val="0"/>
          <w:numId w:val="1429"/>
        </w:numPr>
        <w:pStyle w:val="Compact"/>
      </w:pPr>
      <w:r>
        <w:t xml:space="preserve">¿Conocemos cada modelo de GPAI material e integración en uso?</w:t>
      </w:r>
    </w:p>
    <w:p>
      <w:pPr>
        <w:numPr>
          <w:ilvl w:val="0"/>
          <w:numId w:val="1429"/>
        </w:numPr>
        <w:pStyle w:val="Compact"/>
      </w:pPr>
      <w:r>
        <w:t xml:space="preserve">¿Nuestros roles legales y de cadena de suministro están respaldados por pruebas?</w:t>
      </w:r>
    </w:p>
    <w:p>
      <w:pPr>
        <w:numPr>
          <w:ilvl w:val="0"/>
          <w:numId w:val="1429"/>
        </w:numPr>
        <w:pStyle w:val="Compact"/>
      </w:pPr>
      <w:r>
        <w:t xml:space="preserve">¿Tenemos el proveedor actual y la documentación técnica?</w:t>
      </w:r>
    </w:p>
    <w:p>
      <w:pPr>
        <w:numPr>
          <w:ilvl w:val="0"/>
          <w:numId w:val="1429"/>
        </w:numPr>
        <w:pStyle w:val="Compact"/>
      </w:pPr>
      <w:r>
        <w:t xml:space="preserve">¿Funcionan los controles de derechos de autor, privacidad, seguridad y transparencia?</w:t>
      </w:r>
    </w:p>
    <w:p>
      <w:pPr>
        <w:numPr>
          <w:ilvl w:val="0"/>
          <w:numId w:val="1429"/>
        </w:numPr>
        <w:pStyle w:val="Compact"/>
      </w:pPr>
      <w:r>
        <w:t xml:space="preserve">¿Se han validado técnicamente los usos de alto impacto y agentes?</w:t>
      </w:r>
    </w:p>
    <w:p>
      <w:pPr>
        <w:numPr>
          <w:ilvl w:val="0"/>
          <w:numId w:val="1429"/>
        </w:numPr>
        <w:pStyle w:val="Compact"/>
      </w:pPr>
      <w:r>
        <w:t xml:space="preserve">¿Los cambios en el modelo, el proveedor, la licencia y la integración provocan una reevaluación?</w:t>
      </w:r>
    </w:p>
    <w:p>
      <w:pPr>
        <w:numPr>
          <w:ilvl w:val="0"/>
          <w:numId w:val="1429"/>
        </w:numPr>
        <w:pStyle w:val="Compact"/>
      </w:pPr>
      <w:r>
        <w:t xml:space="preserve">¿Se intensifican rápidamente las cuestiones de riesgo sistémico cuando es pertinente?</w:t>
      </w:r>
    </w:p>
    <w:bookmarkEnd w:id="1322"/>
    <w:bookmarkStart w:id="1323" w:name="X53467c836ad0b346482b59daaeb6339693fb353"/>
    <w:p>
      <w:pPr>
        <w:pStyle w:val="Heading2"/>
      </w:pPr>
      <w:r>
        <w:rPr>
          <w:rStyle w:val="SectionNumber"/>
        </w:rPr>
        <w:t xml:space="preserve">1.1277</w:t>
      </w:r>
      <w:r>
        <w:tab/>
      </w:r>
      <w:r>
        <w:t xml:space="preserve">Especificación de la figura — Mapa de preparación de la cadena de valor de GPAI</w:t>
      </w:r>
    </w:p>
    <w:p>
      <w:pPr>
        <w:pStyle w:val="FirstParagraph"/>
      </w:pPr>
      <w:r>
        <w:t xml:space="preserve">Cree un mapa que conecte a los proveedores de modelos, los proveedores de sistemas, los importadores, los distribuidores, los usuarios y las personas afectadas.Muestre la documentación, los derechos de autor, la evaluación, la seguridad, la transparencia, el riesgo sistémico, el cambio, el seguimiento, los incidentes y los controles de salida en toda la cadena.</w:t>
      </w:r>
    </w:p>
    <w:p>
      <w:pPr>
        <w:pStyle w:val="BodyText"/>
      </w:pPr>
      <w:r>
        <w:rPr>
          <w:bCs/>
          <w:b/>
        </w:rPr>
        <w:t xml:space="preserve">Texto Alt:</w:t>
      </w:r>
      <w:r>
        <w:t xml:space="preserve"> </w:t>
      </w:r>
      <w:r>
        <w:t xml:space="preserve">Mapa de preparación de GPAI que muestra proveedores de modelos, proveedores de sistemas descendentes, implementadores, importadores, distribuidores, usuarios y personas afectadas conectadas por la documentación, evaluación, seguridad, transparencia, cambio, monitoreo, incidentes y controles de continuidad.</w:t>
      </w:r>
    </w:p>
    <w:bookmarkEnd w:id="1323"/>
    <w:bookmarkStart w:id="1324" w:name="referencias-jurídicas-primarias-102"/>
    <w:p>
      <w:pPr>
        <w:pStyle w:val="Heading2"/>
      </w:pPr>
      <w:r>
        <w:rPr>
          <w:rStyle w:val="SectionNumber"/>
        </w:rPr>
        <w:t xml:space="preserve">1.1278</w:t>
      </w:r>
      <w:r>
        <w:tab/>
      </w:r>
      <w:r>
        <w:t xml:space="preserve">Referencias jurídicas primarias</w:t>
      </w:r>
    </w:p>
    <w:p>
      <w:pPr>
        <w:numPr>
          <w:ilvl w:val="0"/>
          <w:numId w:val="1430"/>
        </w:numPr>
        <w:pStyle w:val="Compact"/>
      </w:pPr>
      <w:r>
        <w:t xml:space="preserve">Reglamento (UE) 2024/1689, en su versión modificada: disposiciones aplicables en materia de GPAI, incluidos los artículos 51 a 56 y las disposiciones conexas en materia de supervisión y ejecución, más los anexos XI a XIII, cuando proceda.</w:t>
      </w:r>
    </w:p>
    <w:p>
      <w:pPr>
        <w:numPr>
          <w:ilvl w:val="0"/>
          <w:numId w:val="1430"/>
        </w:numPr>
        <w:pStyle w:val="Compact"/>
      </w:pPr>
      <w:r>
        <w:t xml:space="preserve">Reglamento (UE) 2026/1744, en su caso.</w:t>
      </w:r>
    </w:p>
    <w:p>
      <w:pPr>
        <w:numPr>
          <w:ilvl w:val="0"/>
          <w:numId w:val="1430"/>
        </w:numPr>
        <w:pStyle w:val="Compact"/>
      </w:pPr>
      <w:r>
        <w:t xml:space="preserve">Las decisiones, los actos de ejecución, las normas armonizadas y los códigos de práctica aplicables de la Oficina de Inteligencia Artificial deben identificarse por estatuto jurídico; el material no vinculante no debe representarse como ley.</w:t>
      </w:r>
    </w:p>
    <w:p>
      <w:pPr>
        <w:numPr>
          <w:ilvl w:val="0"/>
          <w:numId w:val="1430"/>
        </w:numPr>
        <w:pStyle w:val="Compact"/>
      </w:pPr>
      <w:r>
        <w:t xml:space="preserve">Los actuales controles consolidados de texto EUR-Lex sobre los resúmenes antiguos.</w:t>
      </w:r>
    </w:p>
    <w:bookmarkEnd w:id="1324"/>
    <w:bookmarkStart w:id="1325" w:name="Xac751fc5dd5a0385e1bb16e43eea64a6446d52c"/>
    <w:p>
      <w:pPr>
        <w:pStyle w:val="Heading2"/>
      </w:pPr>
      <w:r>
        <w:rPr>
          <w:rStyle w:val="SectionNumber"/>
        </w:rPr>
        <w:t xml:space="preserve">1.1279</w:t>
      </w:r>
      <w:r>
        <w:tab/>
      </w:r>
      <w:r>
        <w:t xml:space="preserve">Capítulo 135 — Hoja de ruta para la preparación para la transparencia</w:t>
      </w:r>
    </w:p>
    <w:p>
      <w:pPr>
        <w:pStyle w:val="BlockText"/>
      </w:pPr>
      <w:r>
        <w:rPr>
          <w:bCs/>
          <w:b/>
        </w:rPr>
        <w:t xml:space="preserve">Estatus legal:</w:t>
      </w:r>
      <w:r>
        <w:t xml:space="preserve"> </w:t>
      </w:r>
      <w:r>
        <w:t xml:space="preserve">Corregido Maestro Inglés para la consolidación. Este archivo controla el lenguaje de borrador del Capítulo 135 anterior en conflicto.</w:t>
      </w:r>
    </w:p>
    <w:bookmarkEnd w:id="1325"/>
    <w:bookmarkStart w:id="1326" w:name="finalidad-13"/>
    <w:p>
      <w:pPr>
        <w:pStyle w:val="Heading2"/>
      </w:pPr>
      <w:r>
        <w:rPr>
          <w:rStyle w:val="SectionNumber"/>
        </w:rPr>
        <w:t xml:space="preserve">1.1280</w:t>
      </w:r>
      <w:r>
        <w:tab/>
      </w:r>
      <w:r>
        <w:t xml:space="preserve">Finalidad</w:t>
      </w:r>
    </w:p>
    <w:p>
      <w:pPr>
        <w:pStyle w:val="FirstParagraph"/>
      </w:pPr>
      <w:r>
        <w:t xml:space="preserve">Este capítulo proporciona una hoja de ruta práctica para identificar, diseñar, implementar, probar y mantener las obligaciones de transparencia para los sistemas de IA y los contenidos generados o manipulados por IA.</w:t>
      </w:r>
    </w:p>
    <w:p>
      <w:pPr>
        <w:pStyle w:val="BodyText"/>
      </w:pPr>
      <w:r>
        <w:t xml:space="preserve">AI puede apoyar la toma de decisiones humanas, pero no debe eliminar la responsabilidad humana, el juicio o la rendición de cuentas.</w:t>
      </w:r>
    </w:p>
    <w:bookmarkEnd w:id="1326"/>
    <w:bookmarkStart w:id="1327" w:name="requisito-133"/>
    <w:p>
      <w:pPr>
        <w:pStyle w:val="Heading2"/>
      </w:pPr>
      <w:r>
        <w:rPr>
          <w:rStyle w:val="SectionNumber"/>
        </w:rPr>
        <w:t xml:space="preserve">1.1281</w:t>
      </w:r>
      <w:r>
        <w:tab/>
      </w:r>
      <w:r>
        <w:t xml:space="preserve">Requisito</w:t>
      </w:r>
    </w:p>
    <w:p>
      <w:pPr>
        <w:pStyle w:val="FirstParagraph"/>
      </w:pPr>
      <w:r>
        <w:t xml:space="preserve">Las organizaciones deben determinar qué obligaciones de transparencia se aplican a cada sistema, actor, caso de uso, producto y contexto de despliegue, y luego aplicar controles para que las notificaciones, revelaciones, marcas e instrucciones sean precisas, oportunas, accesibles, comprensibles, técnicamente eficaces y compatibles con el comportamiento real del sistema.</w:t>
      </w:r>
    </w:p>
    <w:bookmarkEnd w:id="1327"/>
    <w:bookmarkStart w:id="1328" w:name="explicación-en-lenguaje-sencillo-130"/>
    <w:p>
      <w:pPr>
        <w:pStyle w:val="Heading2"/>
      </w:pPr>
      <w:r>
        <w:rPr>
          <w:rStyle w:val="SectionNumber"/>
        </w:rPr>
        <w:t xml:space="preserve">1.1282</w:t>
      </w:r>
      <w:r>
        <w:tab/>
      </w:r>
      <w:r>
        <w:t xml:space="preserve">Explicación en lenguaje sencillo</w:t>
      </w:r>
    </w:p>
    <w:p>
      <w:pPr>
        <w:pStyle w:val="FirstParagraph"/>
      </w:pPr>
      <w:r>
        <w:t xml:space="preserve">La transparencia no se satisface al incluir una declaración genérica en una política de privacidad.Los deberes difieren según el papel y el uso y pueden incluir informar a las personas de que están interactuando con IA, proporcionar información e instrucciones para sistemas de alto riesgo, informar a los trabajadores o personas afectadas cuando sea necesario, marcar contenidos generados o manipulados por IA, revelar profundas informaciones o ciertos textos de interés público, e informar a las personas expuestas a sistemas de reconocimiento de emociones o de categorización biométrica.</w:t>
      </w:r>
    </w:p>
    <w:bookmarkEnd w:id="1328"/>
    <w:bookmarkStart w:id="1329" w:name="Xee7c726c711338b9b9b5266b1875d481e37d80e"/>
    <w:p>
      <w:pPr>
        <w:pStyle w:val="Heading2"/>
      </w:pPr>
      <w:r>
        <w:rPr>
          <w:rStyle w:val="SectionNumber"/>
        </w:rPr>
        <w:t xml:space="preserve">1.1283</w:t>
      </w:r>
      <w:r>
        <w:tab/>
      </w:r>
      <w:r>
        <w:t xml:space="preserve">Fase 1: hipótesis de transparencia de los inventarios</w:t>
      </w:r>
    </w:p>
    <w:p>
      <w:pPr>
        <w:pStyle w:val="FirstParagraph"/>
      </w:pPr>
      <w:r>
        <w:t xml:space="preserve">Identificar:</w:t>
      </w:r>
    </w:p>
    <w:p>
      <w:pPr>
        <w:numPr>
          <w:ilvl w:val="0"/>
          <w:numId w:val="1431"/>
        </w:numPr>
        <w:pStyle w:val="Compact"/>
      </w:pPr>
      <w:r>
        <w:t xml:space="preserve">sistemas que interactúen directamente con personas físicas;</w:t>
      </w:r>
    </w:p>
    <w:p>
      <w:pPr>
        <w:numPr>
          <w:ilvl w:val="0"/>
          <w:numId w:val="1431"/>
        </w:numPr>
        <w:pStyle w:val="Compact"/>
      </w:pPr>
      <w:r>
        <w:t xml:space="preserve">sistemas de alto riesgo que requieran instrucciones o comunicaciones con los usuarios;</w:t>
      </w:r>
    </w:p>
    <w:p>
      <w:pPr>
        <w:numPr>
          <w:ilvl w:val="0"/>
          <w:numId w:val="1431"/>
        </w:numPr>
        <w:pStyle w:val="Compact"/>
      </w:pPr>
      <w:r>
        <w:t xml:space="preserve">los usos de reconocimiento de emociones o de categorización biométrica;</w:t>
      </w:r>
    </w:p>
    <w:p>
      <w:pPr>
        <w:numPr>
          <w:ilvl w:val="0"/>
          <w:numId w:val="1431"/>
        </w:numPr>
        <w:pStyle w:val="Compact"/>
      </w:pPr>
      <w:r>
        <w:t xml:space="preserve">generación de audio, imagen, vídeo y texto sintético;</w:t>
      </w:r>
    </w:p>
    <w:p>
      <w:pPr>
        <w:numPr>
          <w:ilvl w:val="0"/>
          <w:numId w:val="1431"/>
        </w:numPr>
        <w:pStyle w:val="Compact"/>
      </w:pPr>
      <w:r>
        <w:t xml:space="preserve">escenarios de contenido falso y manipulado;</w:t>
      </w:r>
    </w:p>
    <w:p>
      <w:pPr>
        <w:numPr>
          <w:ilvl w:val="0"/>
          <w:numId w:val="1431"/>
        </w:numPr>
        <w:pStyle w:val="Compact"/>
      </w:pPr>
      <w:r>
        <w:t xml:space="preserve">textos de interés público y escenarios de responsabilidad editorial;</w:t>
      </w:r>
    </w:p>
    <w:p>
      <w:pPr>
        <w:numPr>
          <w:ilvl w:val="0"/>
          <w:numId w:val="1431"/>
        </w:numPr>
        <w:pStyle w:val="Compact"/>
      </w:pPr>
      <w:r>
        <w:t xml:space="preserve">empleados, solicitantes, viajeros, clientes, proveedores e interacciones públicas;</w:t>
      </w:r>
    </w:p>
    <w:p>
      <w:pPr>
        <w:numPr>
          <w:ilvl w:val="0"/>
          <w:numId w:val="1431"/>
        </w:numPr>
        <w:pStyle w:val="Compact"/>
      </w:pPr>
      <w:r>
        <w:t xml:space="preserve">canales, idiomas, jurisdicciones, características del público y necesidades de accesibilidad.</w:t>
      </w:r>
    </w:p>
    <w:bookmarkEnd w:id="1329"/>
    <w:bookmarkStart w:id="1330" w:name="Xc00e15c04bf2474a09dd5b7a0b557caba198a7c"/>
    <w:p>
      <w:pPr>
        <w:pStyle w:val="Heading2"/>
      </w:pPr>
      <w:r>
        <w:rPr>
          <w:rStyle w:val="SectionNumber"/>
        </w:rPr>
        <w:t xml:space="preserve">1.1284</w:t>
      </w:r>
      <w:r>
        <w:tab/>
      </w:r>
      <w:r>
        <w:t xml:space="preserve">Fase 2: determinar el desencadenante legal y el actor responsable</w:t>
      </w:r>
    </w:p>
    <w:p>
      <w:pPr>
        <w:pStyle w:val="FirstParagraph"/>
      </w:pPr>
      <w:r>
        <w:t xml:space="preserve">Para cada caso de uso, documento:</w:t>
      </w:r>
    </w:p>
    <w:p>
      <w:pPr>
        <w:numPr>
          <w:ilvl w:val="0"/>
          <w:numId w:val="1432"/>
        </w:numPr>
        <w:pStyle w:val="Compact"/>
      </w:pPr>
      <w:r>
        <w:t xml:space="preserve">la base jurídica o política aplicable;</w:t>
      </w:r>
    </w:p>
    <w:p>
      <w:pPr>
        <w:numPr>
          <w:ilvl w:val="0"/>
          <w:numId w:val="1432"/>
        </w:numPr>
        <w:pStyle w:val="Compact"/>
      </w:pPr>
      <w:r>
        <w:t xml:space="preserve">el proveedor, el implementador, el importador, el distribuidor, el fabricante del producto u otro agente responsable;</w:t>
      </w:r>
    </w:p>
    <w:p>
      <w:pPr>
        <w:numPr>
          <w:ilvl w:val="0"/>
          <w:numId w:val="1432"/>
        </w:numPr>
        <w:pStyle w:val="Compact"/>
      </w:pPr>
      <w:r>
        <w:t xml:space="preserve">el destinatario previsto o el público afectado;</w:t>
      </w:r>
    </w:p>
    <w:p>
      <w:pPr>
        <w:numPr>
          <w:ilvl w:val="0"/>
          <w:numId w:val="1432"/>
        </w:numPr>
        <w:pStyle w:val="Compact"/>
      </w:pPr>
      <w:r>
        <w:t xml:space="preserve">cuando la información deba ser entregada;</w:t>
      </w:r>
    </w:p>
    <w:p>
      <w:pPr>
        <w:numPr>
          <w:ilvl w:val="0"/>
          <w:numId w:val="1432"/>
        </w:numPr>
        <w:pStyle w:val="Compact"/>
      </w:pPr>
      <w:r>
        <w:t xml:space="preserve">contenido, formato y canal requeridos;</w:t>
      </w:r>
    </w:p>
    <w:p>
      <w:pPr>
        <w:numPr>
          <w:ilvl w:val="0"/>
          <w:numId w:val="1432"/>
        </w:numPr>
        <w:pStyle w:val="Compact"/>
      </w:pPr>
      <w:r>
        <w:t xml:space="preserve">excepciones, exclusiones y fechas efectivas;</w:t>
      </w:r>
    </w:p>
    <w:p>
      <w:pPr>
        <w:numPr>
          <w:ilvl w:val="0"/>
          <w:numId w:val="1432"/>
        </w:numPr>
        <w:pStyle w:val="Compact"/>
      </w:pPr>
      <w:r>
        <w:t xml:space="preserve">requisitos de marcado técnico o legibles por máquina;</w:t>
      </w:r>
    </w:p>
    <w:p>
      <w:pPr>
        <w:numPr>
          <w:ilvl w:val="0"/>
          <w:numId w:val="1432"/>
        </w:numPr>
        <w:pStyle w:val="Compact"/>
      </w:pPr>
      <w:r>
        <w:t xml:space="preserve">dependencia de los proveedores y de la información posterior;</w:t>
      </w:r>
    </w:p>
    <w:p>
      <w:pPr>
        <w:numPr>
          <w:ilvl w:val="0"/>
          <w:numId w:val="1432"/>
        </w:numPr>
        <w:pStyle w:val="Compact"/>
      </w:pPr>
      <w:r>
        <w:t xml:space="preserve">propietario responsable, revisor legal y aprobador;</w:t>
      </w:r>
    </w:p>
    <w:p>
      <w:pPr>
        <w:numPr>
          <w:ilvl w:val="0"/>
          <w:numId w:val="1432"/>
        </w:numPr>
        <w:pStyle w:val="Compact"/>
      </w:pPr>
      <w:r>
        <w:t xml:space="preserve">pruebas necesarias, seguimiento y activación de la reevaluación.</w:t>
      </w:r>
    </w:p>
    <w:bookmarkEnd w:id="1330"/>
    <w:bookmarkStart w:id="1331" w:name="Xa8114ffb6b78c96627f288bf7c44f72d03eb830"/>
    <w:p>
      <w:pPr>
        <w:pStyle w:val="Heading2"/>
      </w:pPr>
      <w:r>
        <w:rPr>
          <w:rStyle w:val="SectionNumber"/>
        </w:rPr>
        <w:t xml:space="preserve">1.1285</w:t>
      </w:r>
      <w:r>
        <w:tab/>
      </w:r>
      <w:r>
        <w:t xml:space="preserve">Fase 3: avisos de diseño, revelaciones e instrucciones</w:t>
      </w:r>
    </w:p>
    <w:p>
      <w:pPr>
        <w:pStyle w:val="FirstParagraph"/>
      </w:pPr>
      <w:r>
        <w:t xml:space="preserve">Las medidas de transparencia deberían ser las siguientes:</w:t>
      </w:r>
    </w:p>
    <w:p>
      <w:pPr>
        <w:numPr>
          <w:ilvl w:val="0"/>
          <w:numId w:val="1433"/>
        </w:numPr>
        <w:pStyle w:val="Compact"/>
      </w:pPr>
      <w:r>
        <w:t xml:space="preserve">clara, concisa y fácticamente exacta;</w:t>
      </w:r>
    </w:p>
    <w:p>
      <w:pPr>
        <w:numPr>
          <w:ilvl w:val="0"/>
          <w:numId w:val="1433"/>
        </w:numPr>
        <w:pStyle w:val="Compact"/>
      </w:pPr>
      <w:r>
        <w:t xml:space="preserve">distinguible de términos no relacionados y lenguaje de comercialización;</w:t>
      </w:r>
    </w:p>
    <w:p>
      <w:pPr>
        <w:numPr>
          <w:ilvl w:val="0"/>
          <w:numId w:val="1433"/>
        </w:numPr>
        <w:pStyle w:val="Compact"/>
      </w:pPr>
      <w:r>
        <w:t xml:space="preserve">presentado lo suficientemente pronto como para influir en la comprensión o elección de la persona;</w:t>
      </w:r>
    </w:p>
    <w:p>
      <w:pPr>
        <w:numPr>
          <w:ilvl w:val="0"/>
          <w:numId w:val="1433"/>
        </w:numPr>
        <w:pStyle w:val="Compact"/>
      </w:pPr>
      <w:r>
        <w:t xml:space="preserve">apropiado para el público y el contexto operativo;</w:t>
      </w:r>
    </w:p>
    <w:p>
      <w:pPr>
        <w:numPr>
          <w:ilvl w:val="0"/>
          <w:numId w:val="1433"/>
        </w:numPr>
        <w:pStyle w:val="Compact"/>
      </w:pPr>
      <w:r>
        <w:t xml:space="preserve">accesibles a las personas con discapacidad;</w:t>
      </w:r>
    </w:p>
    <w:p>
      <w:pPr>
        <w:numPr>
          <w:ilvl w:val="0"/>
          <w:numId w:val="1433"/>
        </w:numPr>
        <w:pStyle w:val="Compact"/>
      </w:pPr>
      <w:r>
        <w:t xml:space="preserve">disponible en los idiomas y canales pertinentes;</w:t>
      </w:r>
    </w:p>
    <w:p>
      <w:pPr>
        <w:numPr>
          <w:ilvl w:val="0"/>
          <w:numId w:val="1433"/>
        </w:numPr>
        <w:pStyle w:val="Compact"/>
      </w:pPr>
      <w:r>
        <w:t xml:space="preserve">coherente entre interfaces, documentos y canales de soporte;</w:t>
      </w:r>
    </w:p>
    <w:p>
      <w:pPr>
        <w:numPr>
          <w:ilvl w:val="0"/>
          <w:numId w:val="1433"/>
        </w:numPr>
        <w:pStyle w:val="Compact"/>
      </w:pPr>
      <w:r>
        <w:t xml:space="preserve">alineado con el propósito real, las limitaciones, el uso de datos, la supervisión y las rutas de denuncia;</w:t>
      </w:r>
    </w:p>
    <w:p>
      <w:pPr>
        <w:numPr>
          <w:ilvl w:val="0"/>
          <w:numId w:val="1433"/>
        </w:numPr>
        <w:pStyle w:val="Compact"/>
      </w:pPr>
      <w:r>
        <w:t xml:space="preserve">apoyados por un contacto humano significativo o un camino de escalada, cuando proceda.</w:t>
      </w:r>
    </w:p>
    <w:bookmarkEnd w:id="1331"/>
    <w:bookmarkStart w:id="1332" w:name="X4ef6de783fa94a481f095f071cf0f51c7ac2d66"/>
    <w:p>
      <w:pPr>
        <w:pStyle w:val="Heading2"/>
      </w:pPr>
      <w:r>
        <w:rPr>
          <w:rStyle w:val="SectionNumber"/>
        </w:rPr>
        <w:t xml:space="preserve">1.1286</w:t>
      </w:r>
      <w:r>
        <w:tab/>
      </w:r>
      <w:r>
        <w:t xml:space="preserve">Fase 4: Implementar controles técnicos y de liberación</w:t>
      </w:r>
    </w:p>
    <w:p>
      <w:pPr>
        <w:pStyle w:val="FirstParagraph"/>
      </w:pPr>
      <w:r>
        <w:t xml:space="preserve">Aplicar, según proceda:</w:t>
      </w:r>
    </w:p>
    <w:p>
      <w:pPr>
        <w:numPr>
          <w:ilvl w:val="0"/>
          <w:numId w:val="1434"/>
        </w:numPr>
        <w:pStyle w:val="Compact"/>
      </w:pPr>
      <w:r>
        <w:t xml:space="preserve">avisos de interacción de IA visibles;</w:t>
      </w:r>
    </w:p>
    <w:p>
      <w:pPr>
        <w:numPr>
          <w:ilvl w:val="0"/>
          <w:numId w:val="1434"/>
        </w:numPr>
        <w:pStyle w:val="Compact"/>
      </w:pPr>
      <w:r>
        <w:t xml:space="preserve">los indicadores de divulgación persistentes o de fácil acceso;</w:t>
      </w:r>
    </w:p>
    <w:p>
      <w:pPr>
        <w:numPr>
          <w:ilvl w:val="0"/>
          <w:numId w:val="1434"/>
        </w:numPr>
        <w:pStyle w:val="Compact"/>
      </w:pPr>
      <w:r>
        <w:t xml:space="preserve">marcado legible por máquina del contenido sintético cuando sea legalmente necesario y técnicamente viable;</w:t>
      </w:r>
    </w:p>
    <w:p>
      <w:pPr>
        <w:numPr>
          <w:ilvl w:val="0"/>
          <w:numId w:val="1434"/>
        </w:numPr>
        <w:pStyle w:val="Compact"/>
      </w:pPr>
      <w:r>
        <w:t xml:space="preserve">metadatos y controles de procedencia;</w:t>
      </w:r>
    </w:p>
    <w:p>
      <w:pPr>
        <w:numPr>
          <w:ilvl w:val="0"/>
          <w:numId w:val="1434"/>
        </w:numPr>
        <w:pStyle w:val="Compact"/>
      </w:pPr>
      <w:r>
        <w:t xml:space="preserve">etiquetas de contenido deepfake y manipuladas;</w:t>
      </w:r>
    </w:p>
    <w:p>
      <w:pPr>
        <w:numPr>
          <w:ilvl w:val="0"/>
          <w:numId w:val="1434"/>
        </w:numPr>
        <w:pStyle w:val="Compact"/>
      </w:pPr>
      <w:r>
        <w:t xml:space="preserve">las comunicaciones entre personas afectadas y trabajadores;</w:t>
      </w:r>
    </w:p>
    <w:p>
      <w:pPr>
        <w:numPr>
          <w:ilvl w:val="0"/>
          <w:numId w:val="1434"/>
        </w:numPr>
        <w:pStyle w:val="Compact"/>
      </w:pPr>
      <w:r>
        <w:t xml:space="preserve">opciones de apoyo humano y escalada;</w:t>
      </w:r>
    </w:p>
    <w:p>
      <w:pPr>
        <w:numPr>
          <w:ilvl w:val="0"/>
          <w:numId w:val="1434"/>
        </w:numPr>
        <w:pStyle w:val="Compact"/>
      </w:pPr>
      <w:r>
        <w:t xml:space="preserve">registro legal de la presentación del aviso y la versión del sistema;</w:t>
      </w:r>
    </w:p>
    <w:p>
      <w:pPr>
        <w:numPr>
          <w:ilvl w:val="0"/>
          <w:numId w:val="1434"/>
        </w:numPr>
        <w:pStyle w:val="Compact"/>
      </w:pPr>
      <w:r>
        <w:t xml:space="preserve">puertas de liberación que impidan el despliegue sin controles de transparencia aprobados.</w:t>
      </w:r>
    </w:p>
    <w:bookmarkEnd w:id="1332"/>
    <w:bookmarkStart w:id="1333" w:name="fase-5-eficacia-de-las-pruebas"/>
    <w:p>
      <w:pPr>
        <w:pStyle w:val="Heading2"/>
      </w:pPr>
      <w:r>
        <w:rPr>
          <w:rStyle w:val="SectionNumber"/>
        </w:rPr>
        <w:t xml:space="preserve">1.1287</w:t>
      </w:r>
      <w:r>
        <w:tab/>
      </w:r>
      <w:r>
        <w:t xml:space="preserve">Fase 5: eficacia de las pruebas</w:t>
      </w:r>
    </w:p>
    <w:p>
      <w:pPr>
        <w:pStyle w:val="FirstParagraph"/>
      </w:pPr>
      <w:r>
        <w:t xml:space="preserve">Ensayo:</w:t>
      </w:r>
    </w:p>
    <w:p>
      <w:pPr>
        <w:numPr>
          <w:ilvl w:val="0"/>
          <w:numId w:val="1435"/>
        </w:numPr>
        <w:pStyle w:val="Compact"/>
      </w:pPr>
      <w:r>
        <w:t xml:space="preserve">el momento, la ubicación y la visibilidad del aviso;</w:t>
      </w:r>
    </w:p>
    <w:p>
      <w:pPr>
        <w:numPr>
          <w:ilvl w:val="0"/>
          <w:numId w:val="1435"/>
        </w:numPr>
        <w:pStyle w:val="Compact"/>
      </w:pPr>
      <w:r>
        <w:t xml:space="preserve">comprensión por el público previsto;</w:t>
      </w:r>
    </w:p>
    <w:p>
      <w:pPr>
        <w:numPr>
          <w:ilvl w:val="0"/>
          <w:numId w:val="1435"/>
        </w:numPr>
        <w:pStyle w:val="Compact"/>
      </w:pPr>
      <w:r>
        <w:t xml:space="preserve">accesibilidad y compatibilidad de la tecnología de asistencia;</w:t>
      </w:r>
    </w:p>
    <w:p>
      <w:pPr>
        <w:numPr>
          <w:ilvl w:val="0"/>
          <w:numId w:val="1435"/>
        </w:numPr>
        <w:pStyle w:val="Compact"/>
      </w:pPr>
      <w:r>
        <w:t xml:space="preserve">calidad del idioma y precisión de localización;</w:t>
      </w:r>
    </w:p>
    <w:p>
      <w:pPr>
        <w:numPr>
          <w:ilvl w:val="0"/>
          <w:numId w:val="1435"/>
        </w:numPr>
        <w:pStyle w:val="Compact"/>
      </w:pPr>
      <w:r>
        <w:t xml:space="preserve">presentación móvil, web, voz, documento y canal integrado;</w:t>
      </w:r>
    </w:p>
    <w:p>
      <w:pPr>
        <w:numPr>
          <w:ilvl w:val="0"/>
          <w:numId w:val="1435"/>
        </w:numPr>
        <w:pStyle w:val="Compact"/>
      </w:pPr>
      <w:r>
        <w:t xml:space="preserve">la persistencia del marcado técnico después del tratamiento o la distribución normales;</w:t>
      </w:r>
    </w:p>
    <w:p>
      <w:pPr>
        <w:numPr>
          <w:ilvl w:val="0"/>
          <w:numId w:val="1435"/>
        </w:numPr>
        <w:pStyle w:val="Compact"/>
      </w:pPr>
      <w:r>
        <w:t xml:space="preserve">la capacidad del usuario para obtener apoyo o desafío humano, cuando proceda;</w:t>
      </w:r>
    </w:p>
    <w:p>
      <w:pPr>
        <w:numPr>
          <w:ilvl w:val="0"/>
          <w:numId w:val="1435"/>
        </w:numPr>
        <w:pStyle w:val="Compact"/>
      </w:pPr>
      <w:r>
        <w:t xml:space="preserve">coherencia entre el comportamiento real del sistema y la divulgación autorizada;</w:t>
      </w:r>
    </w:p>
    <w:p>
      <w:pPr>
        <w:numPr>
          <w:ilvl w:val="0"/>
          <w:numId w:val="1435"/>
        </w:numPr>
        <w:pStyle w:val="Compact"/>
      </w:pPr>
      <w:r>
        <w:t xml:space="preserve">enlace entre avisos, marcas, instrucciones y la versión desplegada.</w:t>
      </w:r>
    </w:p>
    <w:bookmarkEnd w:id="1333"/>
    <w:bookmarkStart w:id="1334" w:name="fase-6-seguimiento-y-mantenimiento"/>
    <w:p>
      <w:pPr>
        <w:pStyle w:val="Heading2"/>
      </w:pPr>
      <w:r>
        <w:rPr>
          <w:rStyle w:val="SectionNumber"/>
        </w:rPr>
        <w:t xml:space="preserve">1.1288</w:t>
      </w:r>
      <w:r>
        <w:tab/>
      </w:r>
      <w:r>
        <w:t xml:space="preserve">Fase 6: seguimiento y mantenimiento</w:t>
      </w:r>
    </w:p>
    <w:p>
      <w:pPr>
        <w:pStyle w:val="FirstParagraph"/>
      </w:pPr>
      <w:r>
        <w:t xml:space="preserve">Volver a evaluar después de:</w:t>
      </w:r>
    </w:p>
    <w:p>
      <w:pPr>
        <w:numPr>
          <w:ilvl w:val="0"/>
          <w:numId w:val="1436"/>
        </w:numPr>
        <w:pStyle w:val="Compact"/>
      </w:pPr>
      <w:r>
        <w:t xml:space="preserve">cambios de modelo, interfaz, propósito o flujo de trabajo;</w:t>
      </w:r>
    </w:p>
    <w:p>
      <w:pPr>
        <w:numPr>
          <w:ilvl w:val="0"/>
          <w:numId w:val="1436"/>
        </w:numPr>
        <w:pStyle w:val="Compact"/>
      </w:pPr>
      <w:r>
        <w:t xml:space="preserve">nuevas funciones de generación o manipulación de contenidos;</w:t>
      </w:r>
    </w:p>
    <w:p>
      <w:pPr>
        <w:numPr>
          <w:ilvl w:val="0"/>
          <w:numId w:val="1436"/>
        </w:numPr>
        <w:pStyle w:val="Compact"/>
      </w:pPr>
      <w:r>
        <w:t xml:space="preserve">expansión a nuevos países, poblaciones o idiomas;</w:t>
      </w:r>
    </w:p>
    <w:p>
      <w:pPr>
        <w:numPr>
          <w:ilvl w:val="0"/>
          <w:numId w:val="1436"/>
        </w:numPr>
        <w:pStyle w:val="Compact"/>
      </w:pPr>
      <w:r>
        <w:t xml:space="preserve">quejas, defectos de accesibilidad o pruebas de confusión del usuario;</w:t>
      </w:r>
    </w:p>
    <w:p>
      <w:pPr>
        <w:numPr>
          <w:ilvl w:val="0"/>
          <w:numId w:val="1436"/>
        </w:numPr>
        <w:pStyle w:val="Compact"/>
      </w:pPr>
      <w:r>
        <w:t xml:space="preserve">cambios en el proveedor o la plataforma;</w:t>
      </w:r>
    </w:p>
    <w:p>
      <w:pPr>
        <w:numPr>
          <w:ilvl w:val="0"/>
          <w:numId w:val="1436"/>
        </w:numPr>
        <w:pStyle w:val="Compact"/>
      </w:pPr>
      <w:r>
        <w:t xml:space="preserve">cambios en los requisitos legales, actos de ejecución u orientaciones autorizadas;</w:t>
      </w:r>
    </w:p>
    <w:p>
      <w:pPr>
        <w:numPr>
          <w:ilvl w:val="0"/>
          <w:numId w:val="1436"/>
        </w:numPr>
        <w:pStyle w:val="Compact"/>
      </w:pPr>
      <w:r>
        <w:t xml:space="preserve">Reclasificación, modificación sustancial o nuevo uso de alto riesgo.</w:t>
      </w:r>
    </w:p>
    <w:bookmarkEnd w:id="1334"/>
    <w:bookmarkStart w:id="1335" w:name="X000ae64d075a83d1db22c72f8da55e24970d77e"/>
    <w:p>
      <w:pPr>
        <w:pStyle w:val="Heading2"/>
      </w:pPr>
      <w:r>
        <w:rPr>
          <w:rStyle w:val="SectionNumber"/>
        </w:rPr>
        <w:t xml:space="preserve">1.1289</w:t>
      </w:r>
      <w:r>
        <w:tab/>
      </w:r>
      <w:r>
        <w:t xml:space="preserve">Ejemplo de servicios de viajes de GlobalWay</w:t>
      </w:r>
    </w:p>
    <w:p>
      <w:pPr>
        <w:pStyle w:val="FirstParagraph"/>
      </w:pPr>
      <w:r>
        <w:t xml:space="preserve">GlobalWay mapea su chatbot de viajeros, herramienta de reclutamiento, contenido de marketing sintético y piloto de análisis de emociones del centro de llamadas. El chatbot muestra un aviso de IA antes de la primera respuesta y proporciona una ruta visible a un consultor humano. Los avisos del solicitante se revisan contra el flujo de trabajo de reclutamiento real.</w:t>
      </w:r>
    </w:p>
    <w:p>
      <w:pPr>
        <w:pStyle w:val="BodyText"/>
      </w:pPr>
      <w:r>
        <w:t xml:space="preserve">Las pruebas de accesibilidad muestran que los lectores de pantalla no anuncian correctamente un anuncio. La versión se detiene hasta que el defecto se corrige, se vuelve a probar y se vincula a la versión de producción aprobada. Una puerta de cambio de proveedor requiere una revisión renovada de la transparencia siempre que cambie el modelo o interfaz subyacente.</w:t>
      </w:r>
    </w:p>
    <w:bookmarkEnd w:id="1335"/>
    <w:bookmarkStart w:id="1336" w:name="actividades-de-control-10"/>
    <w:p>
      <w:pPr>
        <w:pStyle w:val="Heading2"/>
      </w:pPr>
      <w:r>
        <w:rPr>
          <w:rStyle w:val="SectionNumber"/>
        </w:rPr>
        <w:t xml:space="preserve">1.1290</w:t>
      </w:r>
      <w:r>
        <w:tab/>
      </w:r>
      <w:r>
        <w:t xml:space="preserve">Actividades de control</w:t>
      </w:r>
    </w:p>
    <w:p>
      <w:pPr>
        <w:numPr>
          <w:ilvl w:val="0"/>
          <w:numId w:val="1437"/>
        </w:numPr>
        <w:pStyle w:val="Compact"/>
      </w:pPr>
      <w:r>
        <w:t xml:space="preserve">Mantener una matriz de aplicabilidad de transparencia y una biblioteca de avisos.</w:t>
      </w:r>
    </w:p>
    <w:p>
      <w:pPr>
        <w:numPr>
          <w:ilvl w:val="0"/>
          <w:numId w:val="1437"/>
        </w:numPr>
        <w:pStyle w:val="Compact"/>
      </w:pPr>
      <w:r>
        <w:t xml:space="preserve">Distinguir funciones específicas de los actores y fechas efectivas.</w:t>
      </w:r>
    </w:p>
    <w:p>
      <w:pPr>
        <w:numPr>
          <w:ilvl w:val="0"/>
          <w:numId w:val="1437"/>
        </w:numPr>
        <w:pStyle w:val="Compact"/>
      </w:pPr>
      <w:r>
        <w:t xml:space="preserve">Aprobar avisos, instrucciones y marcas técnicas antes de la liberación.</w:t>
      </w:r>
    </w:p>
    <w:p>
      <w:pPr>
        <w:numPr>
          <w:ilvl w:val="0"/>
          <w:numId w:val="1437"/>
        </w:numPr>
        <w:pStyle w:val="Compact"/>
      </w:pPr>
      <w:r>
        <w:t xml:space="preserve">Momento de prueba, comprensión, accesibilidad, localización y persistencia técnica.</w:t>
      </w:r>
    </w:p>
    <w:p>
      <w:pPr>
        <w:numPr>
          <w:ilvl w:val="0"/>
          <w:numId w:val="1437"/>
        </w:numPr>
        <w:pStyle w:val="Compact"/>
      </w:pPr>
      <w:r>
        <w:t xml:space="preserve">Reconciliar las revelaciones con funciones reales, limitaciones, uso de datos y supervisión.</w:t>
      </w:r>
    </w:p>
    <w:p>
      <w:pPr>
        <w:numPr>
          <w:ilvl w:val="0"/>
          <w:numId w:val="1437"/>
        </w:numPr>
        <w:pStyle w:val="Compact"/>
      </w:pPr>
      <w:r>
        <w:t xml:space="preserve">Mantener la evidencia del proveedor y la información posterior.</w:t>
      </w:r>
    </w:p>
    <w:p>
      <w:pPr>
        <w:numPr>
          <w:ilvl w:val="0"/>
          <w:numId w:val="1437"/>
        </w:numPr>
        <w:pStyle w:val="Compact"/>
      </w:pPr>
      <w:r>
        <w:t xml:space="preserve">Supervisar las quejas, la confusión y los fallos en la divulgación.</w:t>
      </w:r>
    </w:p>
    <w:p>
      <w:pPr>
        <w:numPr>
          <w:ilvl w:val="0"/>
          <w:numId w:val="1437"/>
        </w:numPr>
        <w:pStyle w:val="Compact"/>
      </w:pPr>
      <w:r>
        <w:t xml:space="preserve">Reevaluación de activación después del cambio material.</w:t>
      </w:r>
    </w:p>
    <w:p>
      <w:pPr>
        <w:numPr>
          <w:ilvl w:val="0"/>
          <w:numId w:val="1437"/>
        </w:numPr>
        <w:pStyle w:val="Compact"/>
      </w:pPr>
      <w:r>
        <w:t xml:space="preserve">Preservar versiones aprobadas, pruebas de implementación y acciones correctivas.</w:t>
      </w:r>
    </w:p>
    <w:bookmarkEnd w:id="1336"/>
    <w:bookmarkStart w:id="1337" w:name="pruebas-134"/>
    <w:p>
      <w:pPr>
        <w:pStyle w:val="Heading2"/>
      </w:pPr>
      <w:r>
        <w:rPr>
          <w:rStyle w:val="SectionNumber"/>
        </w:rPr>
        <w:t xml:space="preserve">1.1291</w:t>
      </w:r>
      <w:r>
        <w:tab/>
      </w:r>
      <w:r>
        <w:t xml:space="preserve">Pruebas</w:t>
      </w:r>
    </w:p>
    <w:p>
      <w:pPr>
        <w:numPr>
          <w:ilvl w:val="0"/>
          <w:numId w:val="1438"/>
        </w:numPr>
        <w:pStyle w:val="Compact"/>
      </w:pPr>
      <w:r>
        <w:t xml:space="preserve">matriz de aplicabilidad de la transparencia;</w:t>
      </w:r>
    </w:p>
    <w:p>
      <w:pPr>
        <w:numPr>
          <w:ilvl w:val="0"/>
          <w:numId w:val="1438"/>
        </w:numPr>
        <w:pStyle w:val="Compact"/>
      </w:pPr>
      <w:r>
        <w:t xml:space="preserve">análisis de la función jurídica y de los casos de uso;</w:t>
      </w:r>
    </w:p>
    <w:p>
      <w:pPr>
        <w:numPr>
          <w:ilvl w:val="0"/>
          <w:numId w:val="1438"/>
        </w:numPr>
        <w:pStyle w:val="Compact"/>
      </w:pPr>
      <w:r>
        <w:t xml:space="preserve">notificación, divulgación y texto de instrucciones aprobados;</w:t>
      </w:r>
    </w:p>
    <w:p>
      <w:pPr>
        <w:numPr>
          <w:ilvl w:val="0"/>
          <w:numId w:val="1438"/>
        </w:numPr>
        <w:pStyle w:val="Compact"/>
      </w:pPr>
      <w:r>
        <w:t xml:space="preserve">ejemplos de interfaz de usuario, documento y contenido;</w:t>
      </w:r>
    </w:p>
    <w:p>
      <w:pPr>
        <w:numPr>
          <w:ilvl w:val="0"/>
          <w:numId w:val="1438"/>
        </w:numPr>
        <w:pStyle w:val="Compact"/>
      </w:pPr>
      <w:r>
        <w:t xml:space="preserve">accesibilidad, comprensión y pruebas lingüísticas;</w:t>
      </w:r>
    </w:p>
    <w:p>
      <w:pPr>
        <w:numPr>
          <w:ilvl w:val="0"/>
          <w:numId w:val="1438"/>
        </w:numPr>
        <w:pStyle w:val="Compact"/>
      </w:pPr>
      <w:r>
        <w:t xml:space="preserve">los resultados de los ensayos de marcaje y procedencia legibles por máquina;</w:t>
      </w:r>
    </w:p>
    <w:p>
      <w:pPr>
        <w:numPr>
          <w:ilvl w:val="0"/>
          <w:numId w:val="1438"/>
        </w:numPr>
        <w:pStyle w:val="Compact"/>
      </w:pPr>
      <w:r>
        <w:t xml:space="preserve">la documentación relativa al proveedor y la documentación posterior;</w:t>
      </w:r>
    </w:p>
    <w:p>
      <w:pPr>
        <w:numPr>
          <w:ilvl w:val="0"/>
          <w:numId w:val="1438"/>
        </w:numPr>
        <w:pStyle w:val="Compact"/>
      </w:pPr>
      <w:r>
        <w:t xml:space="preserve">el despliegue, la liberación y los registros de versiones;</w:t>
      </w:r>
    </w:p>
    <w:p>
      <w:pPr>
        <w:numPr>
          <w:ilvl w:val="0"/>
          <w:numId w:val="1438"/>
        </w:numPr>
        <w:pStyle w:val="Compact"/>
      </w:pPr>
      <w:r>
        <w:t xml:space="preserve">resultados de las pruebas de escalonamiento humano;</w:t>
      </w:r>
    </w:p>
    <w:p>
      <w:pPr>
        <w:numPr>
          <w:ilvl w:val="0"/>
          <w:numId w:val="1438"/>
        </w:numPr>
        <w:pStyle w:val="Compact"/>
      </w:pPr>
      <w:r>
        <w:t xml:space="preserve">cambios y antecedentes de reevaluación;</w:t>
      </w:r>
    </w:p>
    <w:p>
      <w:pPr>
        <w:numPr>
          <w:ilvl w:val="0"/>
          <w:numId w:val="1438"/>
        </w:numPr>
        <w:pStyle w:val="Compact"/>
      </w:pPr>
      <w:r>
        <w:t xml:space="preserve">quejas, defectos y registros de rehabilitación.</w:t>
      </w:r>
    </w:p>
    <w:bookmarkEnd w:id="1337"/>
    <w:bookmarkStart w:id="1338" w:name="pruebas-de-auditoría-10"/>
    <w:p>
      <w:pPr>
        <w:pStyle w:val="Heading2"/>
      </w:pPr>
      <w:r>
        <w:rPr>
          <w:rStyle w:val="SectionNumber"/>
        </w:rPr>
        <w:t xml:space="preserve">1.1292</w:t>
      </w:r>
      <w:r>
        <w:tab/>
      </w:r>
      <w:r>
        <w:t xml:space="preserve">Pruebas de auditoría</w:t>
      </w:r>
    </w:p>
    <w:p>
      <w:pPr>
        <w:numPr>
          <w:ilvl w:val="0"/>
          <w:numId w:val="1439"/>
        </w:numPr>
        <w:pStyle w:val="Compact"/>
      </w:pPr>
      <w:r>
        <w:t xml:space="preserve">Seleccionar sistemas de IA y verificar la aplicabilidad de la transparencia se evaluó utilizando el texto legal actual.</w:t>
      </w:r>
    </w:p>
    <w:p>
      <w:pPr>
        <w:numPr>
          <w:ilvl w:val="0"/>
          <w:numId w:val="1439"/>
        </w:numPr>
        <w:pStyle w:val="Compact"/>
      </w:pPr>
      <w:r>
        <w:t xml:space="preserve">Se identificaron el actor, receptor, momento, canal y fecha efectiva correctos.</w:t>
      </w:r>
    </w:p>
    <w:p>
      <w:pPr>
        <w:numPr>
          <w:ilvl w:val="0"/>
          <w:numId w:val="1439"/>
        </w:numPr>
        <w:pStyle w:val="Compact"/>
      </w:pPr>
      <w:r>
        <w:t xml:space="preserve">Comparar las revelaciones e instrucciones aprobadas con el comportamiento y las limitaciones reales del sistema.</w:t>
      </w:r>
    </w:p>
    <w:p>
      <w:pPr>
        <w:numPr>
          <w:ilvl w:val="0"/>
          <w:numId w:val="1439"/>
        </w:numPr>
        <w:pStyle w:val="Compact"/>
      </w:pPr>
      <w:r>
        <w:t xml:space="preserve">Revise las pruebas de accesibilidad, lenguaje, localización y comprensión.</w:t>
      </w:r>
    </w:p>
    <w:p>
      <w:pPr>
        <w:numPr>
          <w:ilvl w:val="0"/>
          <w:numId w:val="1439"/>
        </w:numPr>
        <w:pStyle w:val="Compact"/>
      </w:pPr>
      <w:r>
        <w:t xml:space="preserve">Ensayo de la marca de contenido sintético y de la persistencia de la divulgación, cuando proceda.</w:t>
      </w:r>
    </w:p>
    <w:p>
      <w:pPr>
        <w:numPr>
          <w:ilvl w:val="0"/>
          <w:numId w:val="1439"/>
        </w:numPr>
        <w:pStyle w:val="Compact"/>
      </w:pPr>
      <w:r>
        <w:t xml:space="preserve">Verificar que las funciones de apoyo humano o escalada funcionen como representadas.</w:t>
      </w:r>
    </w:p>
    <w:p>
      <w:pPr>
        <w:numPr>
          <w:ilvl w:val="0"/>
          <w:numId w:val="1439"/>
        </w:numPr>
        <w:pStyle w:val="Compact"/>
      </w:pPr>
      <w:r>
        <w:t xml:space="preserve">Confirme que los cambios en el proveedor y la versión desencadenan una reevaluación y aprobación.</w:t>
      </w:r>
    </w:p>
    <w:p>
      <w:pPr>
        <w:numPr>
          <w:ilvl w:val="0"/>
          <w:numId w:val="1439"/>
        </w:numPr>
        <w:pStyle w:val="Compact"/>
      </w:pPr>
      <w:r>
        <w:t xml:space="preserve">Verificar que las orientaciones no vinculantes no estén representadas como un deber de transparencia vinculante.</w:t>
      </w:r>
    </w:p>
    <w:bookmarkEnd w:id="1338"/>
    <w:bookmarkStart w:id="1339" w:name="métricas-11"/>
    <w:p>
      <w:pPr>
        <w:pStyle w:val="Heading2"/>
      </w:pPr>
      <w:r>
        <w:rPr>
          <w:rStyle w:val="SectionNumber"/>
        </w:rPr>
        <w:t xml:space="preserve">1.1293</w:t>
      </w:r>
      <w:r>
        <w:tab/>
      </w:r>
      <w:r>
        <w:t xml:space="preserve">Métricas</w:t>
      </w:r>
    </w:p>
    <w:p>
      <w:pPr>
        <w:numPr>
          <w:ilvl w:val="0"/>
          <w:numId w:val="1440"/>
        </w:numPr>
        <w:pStyle w:val="Compact"/>
      </w:pPr>
      <w:r>
        <w:t xml:space="preserve">sistemas que requieran medidas de transparencia;</w:t>
      </w:r>
    </w:p>
    <w:p>
      <w:pPr>
        <w:numPr>
          <w:ilvl w:val="0"/>
          <w:numId w:val="1440"/>
        </w:numPr>
        <w:pStyle w:val="Compact"/>
      </w:pPr>
      <w:r>
        <w:t xml:space="preserve">notificaciones e instrucciones aprobadas aplicadas;</w:t>
      </w:r>
    </w:p>
    <w:p>
      <w:pPr>
        <w:numPr>
          <w:ilvl w:val="0"/>
          <w:numId w:val="1440"/>
        </w:numPr>
        <w:pStyle w:val="Compact"/>
      </w:pPr>
      <w:r>
        <w:t xml:space="preserve">accesibilidad, comprensión o defectos lingüísticos;</w:t>
      </w:r>
    </w:p>
    <w:p>
      <w:pPr>
        <w:numPr>
          <w:ilvl w:val="0"/>
          <w:numId w:val="1440"/>
        </w:numPr>
        <w:pStyle w:val="Compact"/>
      </w:pPr>
      <w:r>
        <w:t xml:space="preserve">la revelación o los fallos de marcado;</w:t>
      </w:r>
    </w:p>
    <w:p>
      <w:pPr>
        <w:numPr>
          <w:ilvl w:val="0"/>
          <w:numId w:val="1440"/>
        </w:numPr>
        <w:pStyle w:val="Compact"/>
      </w:pPr>
      <w:r>
        <w:t xml:space="preserve">reclamaciones de los usuarios o confusión documentada;</w:t>
      </w:r>
    </w:p>
    <w:p>
      <w:pPr>
        <w:numPr>
          <w:ilvl w:val="0"/>
          <w:numId w:val="1440"/>
        </w:numPr>
        <w:pStyle w:val="Compact"/>
      </w:pPr>
      <w:r>
        <w:t xml:space="preserve">los sistemas modificados sin reevaluación de la transparencia;</w:t>
      </w:r>
    </w:p>
    <w:p>
      <w:pPr>
        <w:numPr>
          <w:ilvl w:val="0"/>
          <w:numId w:val="1440"/>
        </w:numPr>
        <w:pStyle w:val="Compact"/>
      </w:pPr>
      <w:r>
        <w:t xml:space="preserve">el retraso en la rehabilitación;</w:t>
      </w:r>
    </w:p>
    <w:p>
      <w:pPr>
        <w:numPr>
          <w:ilvl w:val="0"/>
          <w:numId w:val="1440"/>
        </w:numPr>
        <w:pStyle w:val="Compact"/>
      </w:pPr>
      <w:r>
        <w:t xml:space="preserve">tasa de éxito de la escalada humana;</w:t>
      </w:r>
    </w:p>
    <w:p>
      <w:pPr>
        <w:numPr>
          <w:ilvl w:val="0"/>
          <w:numId w:val="1440"/>
        </w:numPr>
        <w:pStyle w:val="Compact"/>
      </w:pPr>
      <w:r>
        <w:t xml:space="preserve">cambios en el proveedor a la espera de revisión.</w:t>
      </w:r>
    </w:p>
    <w:bookmarkEnd w:id="1339"/>
    <w:bookmarkStart w:id="1340" w:name="lista-de-verificación-de-gestión-13"/>
    <w:p>
      <w:pPr>
        <w:pStyle w:val="Heading2"/>
      </w:pPr>
      <w:r>
        <w:rPr>
          <w:rStyle w:val="SectionNumber"/>
        </w:rPr>
        <w:t xml:space="preserve">1.1294</w:t>
      </w:r>
      <w:r>
        <w:tab/>
      </w:r>
      <w:r>
        <w:t xml:space="preserve">Lista de verificación de gestión</w:t>
      </w:r>
    </w:p>
    <w:p>
      <w:pPr>
        <w:numPr>
          <w:ilvl w:val="0"/>
          <w:numId w:val="1441"/>
        </w:numPr>
        <w:pStyle w:val="Compact"/>
      </w:pPr>
      <w:r>
        <w:t xml:space="preserve">¿Se han identificado todas las interacciones de IA aplicables y los usos de contenido sintético?</w:t>
      </w:r>
    </w:p>
    <w:p>
      <w:pPr>
        <w:numPr>
          <w:ilvl w:val="0"/>
          <w:numId w:val="1441"/>
        </w:numPr>
        <w:pStyle w:val="Compact"/>
      </w:pPr>
      <w:r>
        <w:t xml:space="preserve">¿Está claro el actor responsable y el disparador legal?</w:t>
      </w:r>
    </w:p>
    <w:p>
      <w:pPr>
        <w:numPr>
          <w:ilvl w:val="0"/>
          <w:numId w:val="1441"/>
        </w:numPr>
        <w:pStyle w:val="Compact"/>
      </w:pPr>
      <w:r>
        <w:t xml:space="preserve">¿ Son los avisos oportunos, exactos, accesibles, comprensibles y localizados?</w:t>
      </w:r>
    </w:p>
    <w:p>
      <w:pPr>
        <w:numPr>
          <w:ilvl w:val="0"/>
          <w:numId w:val="1441"/>
        </w:numPr>
        <w:pStyle w:val="Compact"/>
      </w:pPr>
      <w:r>
        <w:t xml:space="preserve">¿Las revelaciones e instrucciones coinciden con el comportamiento real del sistema?</w:t>
      </w:r>
    </w:p>
    <w:p>
      <w:pPr>
        <w:numPr>
          <w:ilvl w:val="0"/>
          <w:numId w:val="1441"/>
        </w:numPr>
        <w:pStyle w:val="Compact"/>
      </w:pPr>
      <w:r>
        <w:t xml:space="preserve">¿Se aplican y prueban marcas legibles por máquina cuando es necesario?</w:t>
      </w:r>
    </w:p>
    <w:p>
      <w:pPr>
        <w:numPr>
          <w:ilvl w:val="0"/>
          <w:numId w:val="1441"/>
        </w:numPr>
        <w:pStyle w:val="Compact"/>
      </w:pPr>
      <w:r>
        <w:t xml:space="preserve">¿Pueden los usuarios obtener un apoyo humano significativo cuando proceda?</w:t>
      </w:r>
    </w:p>
    <w:p>
      <w:pPr>
        <w:numPr>
          <w:ilvl w:val="0"/>
          <w:numId w:val="1441"/>
        </w:numPr>
        <w:pStyle w:val="Compact"/>
      </w:pPr>
      <w:r>
        <w:t xml:space="preserve">¿Se vuelven a probar los controles de transparencia tras el cambio de material?</w:t>
      </w:r>
    </w:p>
    <w:bookmarkEnd w:id="1340"/>
    <w:bookmarkStart w:id="1341" w:name="X8411ada7bac4c01e80c574493450f140668be64"/>
    <w:p>
      <w:pPr>
        <w:pStyle w:val="Heading2"/>
      </w:pPr>
      <w:r>
        <w:rPr>
          <w:rStyle w:val="SectionNumber"/>
        </w:rPr>
        <w:t xml:space="preserve">1.1295</w:t>
      </w:r>
      <w:r>
        <w:tab/>
      </w:r>
      <w:r>
        <w:t xml:space="preserve">Especificación de la figura — AI Transparency Readiness Journey</w:t>
      </w:r>
    </w:p>
    <w:p>
      <w:pPr>
        <w:pStyle w:val="FirstParagraph"/>
      </w:pPr>
      <w:r>
        <w:t xml:space="preserve">Cree un viaje desde la identificación de casos de uso y el análisis de desencadenantes legales a través del mapeo de actores, el diseño de notificaciones e instrucciones, la revisión de la accesibilidad, el marcado técnico, la implementación, las pruebas de producción, la aprobación de versiones, la retroalimentación de los usuarios, la revisión del cambio y la supervisión continua.</w:t>
      </w:r>
    </w:p>
    <w:p>
      <w:pPr>
        <w:pStyle w:val="BodyText"/>
      </w:pPr>
      <w:r>
        <w:rPr>
          <w:bCs/>
          <w:b/>
        </w:rPr>
        <w:t xml:space="preserve">Texto Alt:</w:t>
      </w:r>
      <w:r>
        <w:t xml:space="preserve"> </w:t>
      </w:r>
      <w:r>
        <w:t xml:space="preserve">Viaje de preparación para la transparencia de la IA desde la identificación de interacciones y contenido relevantes a través del análisis de actores, notificaciones e instrucciones aprobadas, marcas técnicas, pruebas de accesibilidad, implementación, retroalimentación de los usuarios, revisión del cambio y monitoreo continuo.</w:t>
      </w:r>
    </w:p>
    <w:bookmarkEnd w:id="1341"/>
    <w:bookmarkStart w:id="1342" w:name="referencias-jurídicas-primarias-103"/>
    <w:p>
      <w:pPr>
        <w:pStyle w:val="Heading2"/>
      </w:pPr>
      <w:r>
        <w:rPr>
          <w:rStyle w:val="SectionNumber"/>
        </w:rPr>
        <w:t xml:space="preserve">1.1296</w:t>
      </w:r>
      <w:r>
        <w:tab/>
      </w:r>
      <w:r>
        <w:t xml:space="preserve">Referencias jurídicas primarias</w:t>
      </w:r>
    </w:p>
    <w:p>
      <w:pPr>
        <w:numPr>
          <w:ilvl w:val="0"/>
          <w:numId w:val="1442"/>
        </w:numPr>
        <w:pStyle w:val="Compact"/>
      </w:pPr>
      <w:r>
        <w:t xml:space="preserve">Reglamento (UE) 2024/1689, modificado: obligaciones aplicables en materia de transparencia y de información, incluidos los artículos 13, 26 y 50, junto con las definiciones, excepciones, fechas de entrada en vigor y requisitos de documentación del anexo IV pertinentes.</w:t>
      </w:r>
    </w:p>
    <w:p>
      <w:pPr>
        <w:numPr>
          <w:ilvl w:val="0"/>
          <w:numId w:val="1442"/>
        </w:numPr>
        <w:pStyle w:val="Compact"/>
      </w:pPr>
      <w:r>
        <w:t xml:space="preserve">Reglamento (UE) 2026/1744, en su caso.</w:t>
      </w:r>
    </w:p>
    <w:p>
      <w:pPr>
        <w:numPr>
          <w:ilvl w:val="0"/>
          <w:numId w:val="1442"/>
        </w:numPr>
        <w:pStyle w:val="Compact"/>
      </w:pPr>
      <w:r>
        <w:t xml:space="preserve">Accesibilidad aplicable, protección del consumidor, empleo, privacidad, medios de comunicación y legislación sectorial.</w:t>
      </w:r>
    </w:p>
    <w:p>
      <w:pPr>
        <w:numPr>
          <w:ilvl w:val="0"/>
          <w:numId w:val="1442"/>
        </w:numPr>
        <w:pStyle w:val="Compact"/>
      </w:pPr>
      <w:r>
        <w:t xml:space="preserve">Los actuales controles consolidados de texto EUR-Lex sobre los resúmenes antiguos.</w:t>
      </w:r>
    </w:p>
    <w:bookmarkEnd w:id="1342"/>
    <w:bookmarkStart w:id="1343" w:name="X505ab13eea1bb2ae04b7c0c777503615e32f655"/>
    <w:p>
      <w:pPr>
        <w:pStyle w:val="Heading2"/>
      </w:pPr>
      <w:r>
        <w:rPr>
          <w:rStyle w:val="SectionNumber"/>
        </w:rPr>
        <w:t xml:space="preserve">1.1297</w:t>
      </w:r>
      <w:r>
        <w:tab/>
      </w:r>
      <w:r>
        <w:t xml:space="preserve">Capítulo 136 — Despliegue multijurisdiccional</w:t>
      </w:r>
    </w:p>
    <w:p>
      <w:pPr>
        <w:pStyle w:val="BlockText"/>
      </w:pPr>
      <w:r>
        <w:rPr>
          <w:bCs/>
          <w:b/>
        </w:rPr>
        <w:t xml:space="preserve">Estatus legal:</w:t>
      </w:r>
      <w:r>
        <w:t xml:space="preserve"> </w:t>
      </w:r>
      <w:r>
        <w:t xml:space="preserve">Corregido Maestro Inglés para la consolidación. Este archivo controla el lenguaje de borrador del Capítulo 136 anterior en conflicto.</w:t>
      </w:r>
    </w:p>
    <w:bookmarkEnd w:id="1343"/>
    <w:bookmarkStart w:id="1344" w:name="finalidad-14"/>
    <w:p>
      <w:pPr>
        <w:pStyle w:val="Heading2"/>
      </w:pPr>
      <w:r>
        <w:rPr>
          <w:rStyle w:val="SectionNumber"/>
        </w:rPr>
        <w:t xml:space="preserve">1.1298</w:t>
      </w:r>
      <w:r>
        <w:tab/>
      </w:r>
      <w:r>
        <w:t xml:space="preserve">Finalidad</w:t>
      </w:r>
    </w:p>
    <w:p>
      <w:pPr>
        <w:pStyle w:val="FirstParagraph"/>
      </w:pPr>
      <w:r>
        <w:t xml:space="preserve">En este capítulo se explica cómo las organizaciones deben regir los sistemas de IA implementados en múltiples países, entidades jurídicas, sectores, idiomas, poblaciones y regímenes regulatorios.</w:t>
      </w:r>
    </w:p>
    <w:p>
      <w:pPr>
        <w:pStyle w:val="BodyText"/>
      </w:pPr>
      <w:r>
        <w:t xml:space="preserve">AI puede apoyar la toma de decisiones humanas, pero no debe eliminar la responsabilidad humana, el juicio o la rendición de cuentas.</w:t>
      </w:r>
    </w:p>
    <w:bookmarkEnd w:id="1344"/>
    <w:bookmarkStart w:id="1345" w:name="requisito-134"/>
    <w:p>
      <w:pPr>
        <w:pStyle w:val="Heading2"/>
      </w:pPr>
      <w:r>
        <w:rPr>
          <w:rStyle w:val="SectionNumber"/>
        </w:rPr>
        <w:t xml:space="preserve">1.1299</w:t>
      </w:r>
      <w:r>
        <w:tab/>
      </w:r>
      <w:r>
        <w:t xml:space="preserve">Requisito</w:t>
      </w:r>
    </w:p>
    <w:p>
      <w:pPr>
        <w:pStyle w:val="FirstParagraph"/>
      </w:pPr>
      <w:r>
        <w:t xml:space="preserve">Las organizaciones que despliegan IA en múltiples jurisdicciones deben determinar qué regímenes jurídicos, funciones de actores, normas sectoriales, obligaciones contractuales y restricciones locales se aplican a cada despliegue, luego implementar un método controlado para resolver conflictos, aplicar superposiciones locales, gestionar datos transfronterizos y dependencias de proveedores, preservar pruebas consistentes e impedir la expansión no autorizada del uso.</w:t>
      </w:r>
    </w:p>
    <w:bookmarkEnd w:id="1345"/>
    <w:bookmarkStart w:id="1346" w:name="explicación-en-lenguaje-sencillo-131"/>
    <w:p>
      <w:pPr>
        <w:pStyle w:val="Heading2"/>
      </w:pPr>
      <w:r>
        <w:rPr>
          <w:rStyle w:val="SectionNumber"/>
        </w:rPr>
        <w:t xml:space="preserve">1.1300</w:t>
      </w:r>
      <w:r>
        <w:tab/>
      </w:r>
      <w:r>
        <w:t xml:space="preserve">Explicación en lenguaje sencillo</w:t>
      </w:r>
    </w:p>
    <w:p>
      <w:pPr>
        <w:pStyle w:val="FirstParagraph"/>
      </w:pPr>
      <w:r>
        <w:t xml:space="preserve">Un sistema aprobado en un país no es automáticamente legal ni operacionalmente adecuado en otro. La misma capacidad puede tener diferentes clasificaciones, normas de uso prohibido, garantías de empleo, obligaciones de transparencia, requisitos de privacidad, restricciones sectoriales, expectativas lingüísticas, necesidades de accesibilidad y contactos reguladores. La Ley de IA de la UE también puede aplicarse cuando un proveedor o un implementador está fuera de la Unión pero el sistema o su producto se utiliza en la Unión.</w:t>
      </w:r>
    </w:p>
    <w:bookmarkEnd w:id="1346"/>
    <w:bookmarkStart w:id="1347" w:name="X22288aebfe5fc6e788a135c8246f3da1a45c5e1"/>
    <w:p>
      <w:pPr>
        <w:pStyle w:val="Heading2"/>
      </w:pPr>
      <w:r>
        <w:rPr>
          <w:rStyle w:val="SectionNumber"/>
        </w:rPr>
        <w:t xml:space="preserve">1.1301</w:t>
      </w:r>
      <w:r>
        <w:tab/>
      </w:r>
      <w:r>
        <w:t xml:space="preserve">Base de referencia mundial y superposiciones locales</w:t>
      </w:r>
    </w:p>
    <w:p>
      <w:pPr>
        <w:pStyle w:val="FirstParagraph"/>
      </w:pPr>
      <w:r>
        <w:t xml:space="preserve">Establecer:</w:t>
      </w:r>
    </w:p>
    <w:p>
      <w:pPr>
        <w:numPr>
          <w:ilvl w:val="0"/>
          <w:numId w:val="1443"/>
        </w:numPr>
        <w:pStyle w:val="Compact"/>
      </w:pPr>
      <w:r>
        <w:t xml:space="preserve">una política mundial de gobernanza de la IA y una base de referencia mínima de control;</w:t>
      </w:r>
    </w:p>
    <w:p>
      <w:pPr>
        <w:numPr>
          <w:ilvl w:val="0"/>
          <w:numId w:val="1443"/>
        </w:numPr>
        <w:pStyle w:val="Compact"/>
      </w:pPr>
      <w:r>
        <w:t xml:space="preserve">un método común de inventario, función, aplicabilidad y clasificación;</w:t>
      </w:r>
    </w:p>
    <w:p>
      <w:pPr>
        <w:numPr>
          <w:ilvl w:val="0"/>
          <w:numId w:val="1443"/>
        </w:numPr>
        <w:pStyle w:val="Compact"/>
      </w:pPr>
      <w:r>
        <w:t xml:space="preserve">ciclo de vida mínimo, riesgo, datos, seguridad, privacidad, supervisión, supervisión y controles de pruebas;</w:t>
      </w:r>
    </w:p>
    <w:p>
      <w:pPr>
        <w:numPr>
          <w:ilvl w:val="0"/>
          <w:numId w:val="1443"/>
        </w:numPr>
        <w:pStyle w:val="Compact"/>
      </w:pPr>
      <w:r>
        <w:t xml:space="preserve">superposiciones jurídicas y reglamentarias específicas de la jurisdicción;</w:t>
      </w:r>
    </w:p>
    <w:p>
      <w:pPr>
        <w:numPr>
          <w:ilvl w:val="0"/>
          <w:numId w:val="1443"/>
        </w:numPr>
        <w:pStyle w:val="Compact"/>
      </w:pPr>
      <w:r>
        <w:t xml:space="preserve">el sector, el cliente, la mano de obra y las superposiciones de productos;</w:t>
      </w:r>
    </w:p>
    <w:p>
      <w:pPr>
        <w:numPr>
          <w:ilvl w:val="0"/>
          <w:numId w:val="1443"/>
        </w:numPr>
        <w:pStyle w:val="Compact"/>
      </w:pPr>
      <w:r>
        <w:t xml:space="preserve">criterios documentados para aplicar requisitos locales más estrictos;</w:t>
      </w:r>
    </w:p>
    <w:p>
      <w:pPr>
        <w:numPr>
          <w:ilvl w:val="0"/>
          <w:numId w:val="1443"/>
        </w:numPr>
        <w:pStyle w:val="Compact"/>
      </w:pPr>
      <w:r>
        <w:t xml:space="preserve">un proceso para resolver las obligaciones contradictorias y aumentar las cuestiones jurídicas no resueltas;</w:t>
      </w:r>
    </w:p>
    <w:p>
      <w:pPr>
        <w:numPr>
          <w:ilvl w:val="0"/>
          <w:numId w:val="1443"/>
        </w:numPr>
        <w:pStyle w:val="Compact"/>
      </w:pPr>
      <w:r>
        <w:t xml:space="preserve">controles técnicos capaces de restringir o suspender el despliegue por jurisdicción.</w:t>
      </w:r>
    </w:p>
    <w:bookmarkEnd w:id="1347"/>
    <w:bookmarkStart w:id="1348" w:name="evaluación-de-la-jurisdicción"/>
    <w:p>
      <w:pPr>
        <w:pStyle w:val="Heading2"/>
      </w:pPr>
      <w:r>
        <w:rPr>
          <w:rStyle w:val="SectionNumber"/>
        </w:rPr>
        <w:t xml:space="preserve">1.1302</w:t>
      </w:r>
      <w:r>
        <w:tab/>
      </w:r>
      <w:r>
        <w:t xml:space="preserve">Evaluación de la jurisdicción</w:t>
      </w:r>
    </w:p>
    <w:p>
      <w:pPr>
        <w:pStyle w:val="FirstParagraph"/>
      </w:pPr>
      <w:r>
        <w:t xml:space="preserve">Para cada despliegue, documento:</w:t>
      </w:r>
    </w:p>
    <w:p>
      <w:pPr>
        <w:numPr>
          <w:ilvl w:val="0"/>
          <w:numId w:val="1444"/>
        </w:numPr>
        <w:pStyle w:val="Compact"/>
      </w:pPr>
      <w:r>
        <w:t xml:space="preserve">los países, territorios, mercados y establecimientos implicados;</w:t>
      </w:r>
    </w:p>
    <w:p>
      <w:pPr>
        <w:numPr>
          <w:ilvl w:val="0"/>
          <w:numId w:val="1444"/>
        </w:numPr>
        <w:pStyle w:val="Compact"/>
      </w:pPr>
      <w:r>
        <w:t xml:space="preserve">las personas jurídicas y los propietarios comerciales y técnicos responsables;</w:t>
      </w:r>
    </w:p>
    <w:p>
      <w:pPr>
        <w:numPr>
          <w:ilvl w:val="0"/>
          <w:numId w:val="1444"/>
        </w:numPr>
        <w:pStyle w:val="Compact"/>
      </w:pPr>
      <w:r>
        <w:t xml:space="preserve">el proveedor, el implementador, el importador, el distribuidor, el representante autorizado, el fabricante del producto, el empleador, el controlador, el procesador y otras funciones pertinentes;</w:t>
      </w:r>
    </w:p>
    <w:p>
      <w:pPr>
        <w:numPr>
          <w:ilvl w:val="0"/>
          <w:numId w:val="1444"/>
        </w:numPr>
        <w:pStyle w:val="Compact"/>
      </w:pPr>
      <w:r>
        <w:t xml:space="preserve">la finalidad prevista, el uso real, los usuarios y las poblaciones afectadas;</w:t>
      </w:r>
    </w:p>
    <w:p>
      <w:pPr>
        <w:numPr>
          <w:ilvl w:val="0"/>
          <w:numId w:val="1444"/>
        </w:numPr>
        <w:pStyle w:val="Compact"/>
      </w:pPr>
      <w:r>
        <w:t xml:space="preserve">aplicabilidad territorial y extraterritorial;</w:t>
      </w:r>
    </w:p>
    <w:p>
      <w:pPr>
        <w:numPr>
          <w:ilvl w:val="0"/>
          <w:numId w:val="1444"/>
        </w:numPr>
        <w:pStyle w:val="Compact"/>
      </w:pPr>
      <w:r>
        <w:t xml:space="preserve">la IA aplicable, la privacidad, el empleo, la igualdad, el consumidor, la seguridad, la accesibilidad, la ciberseguridad, los productos y la legislación sectorial;</w:t>
      </w:r>
    </w:p>
    <w:p>
      <w:pPr>
        <w:numPr>
          <w:ilvl w:val="0"/>
          <w:numId w:val="1444"/>
        </w:numPr>
        <w:pStyle w:val="Compact"/>
      </w:pPr>
      <w:r>
        <w:t xml:space="preserve">los contactos reguladores, de autoridad, de notificación, de consulta y de representación de los trabajadores;</w:t>
      </w:r>
    </w:p>
    <w:p>
      <w:pPr>
        <w:numPr>
          <w:ilvl w:val="0"/>
          <w:numId w:val="1444"/>
        </w:numPr>
        <w:pStyle w:val="Compact"/>
      </w:pPr>
      <w:r>
        <w:t xml:space="preserve">localización de datos, mecanismos de transferencia, retención, acceso y riesgos de solicitud por parte del gobierno;</w:t>
      </w:r>
    </w:p>
    <w:p>
      <w:pPr>
        <w:numPr>
          <w:ilvl w:val="0"/>
          <w:numId w:val="1444"/>
        </w:numPr>
        <w:pStyle w:val="Compact"/>
      </w:pPr>
      <w:r>
        <w:t xml:space="preserve">la lengua local, la cultura, la accesibilidad y los requisitos de apoyo;</w:t>
      </w:r>
    </w:p>
    <w:p>
      <w:pPr>
        <w:numPr>
          <w:ilvl w:val="0"/>
          <w:numId w:val="1444"/>
        </w:numPr>
        <w:pStyle w:val="Compact"/>
      </w:pPr>
      <w:r>
        <w:t xml:space="preserve">el proveedor, el subprocesador, la nube, el modelo y las ubicaciones de infraestructura;</w:t>
      </w:r>
    </w:p>
    <w:p>
      <w:pPr>
        <w:numPr>
          <w:ilvl w:val="0"/>
          <w:numId w:val="1444"/>
        </w:numPr>
        <w:pStyle w:val="Compact"/>
      </w:pPr>
      <w:r>
        <w:t xml:space="preserve">restricciones, aprobaciones, condiciones de lanzamiento y desencadenantes de reevaluación.</w:t>
      </w:r>
    </w:p>
    <w:bookmarkEnd w:id="1348"/>
    <w:bookmarkStart w:id="1349" w:name="modelo-de-decisión-de-despliegue"/>
    <w:p>
      <w:pPr>
        <w:pStyle w:val="Heading2"/>
      </w:pPr>
      <w:r>
        <w:rPr>
          <w:rStyle w:val="SectionNumber"/>
        </w:rPr>
        <w:t xml:space="preserve">1.1303</w:t>
      </w:r>
      <w:r>
        <w:tab/>
      </w:r>
      <w:r>
        <w:t xml:space="preserve">Modelo de decisión de despliegue</w:t>
      </w:r>
    </w:p>
    <w:p>
      <w:pPr>
        <w:pStyle w:val="FirstParagraph"/>
      </w:pPr>
      <w:r>
        <w:t xml:space="preserve">Utilizar resultados controlados tales como:</w:t>
      </w:r>
    </w:p>
    <w:p>
      <w:pPr>
        <w:numPr>
          <w:ilvl w:val="0"/>
          <w:numId w:val="1445"/>
        </w:numPr>
        <w:pStyle w:val="Compact"/>
      </w:pPr>
      <w:r>
        <w:t xml:space="preserve">aprobado con arreglo a la base de referencia mundial;</w:t>
      </w:r>
    </w:p>
    <w:p>
      <w:pPr>
        <w:numPr>
          <w:ilvl w:val="0"/>
          <w:numId w:val="1445"/>
        </w:numPr>
        <w:pStyle w:val="Compact"/>
      </w:pPr>
      <w:r>
        <w:t xml:space="preserve">aprobado sujeto a la configuración local, notificación, consulta o control del contrato;</w:t>
      </w:r>
    </w:p>
    <w:p>
      <w:pPr>
        <w:numPr>
          <w:ilvl w:val="0"/>
          <w:numId w:val="1445"/>
        </w:numPr>
        <w:pStyle w:val="Compact"/>
      </w:pPr>
      <w:r>
        <w:t xml:space="preserve">aprobado únicamente para usuarios, datos, fines o regiones limitados;</w:t>
      </w:r>
    </w:p>
    <w:p>
      <w:pPr>
        <w:numPr>
          <w:ilvl w:val="0"/>
          <w:numId w:val="1445"/>
        </w:numPr>
        <w:pStyle w:val="Compact"/>
      </w:pPr>
      <w:r>
        <w:t xml:space="preserve">piloto aprobado con un seguimiento mejorado y unos criterios de salida definidos;</w:t>
      </w:r>
    </w:p>
    <w:p>
      <w:pPr>
        <w:numPr>
          <w:ilvl w:val="0"/>
          <w:numId w:val="1445"/>
        </w:numPr>
        <w:pStyle w:val="Compact"/>
      </w:pPr>
      <w:r>
        <w:t xml:space="preserve">diferida en espera de reparación legal, técnica, de proveedores o de pruebas;</w:t>
      </w:r>
    </w:p>
    <w:p>
      <w:pPr>
        <w:numPr>
          <w:ilvl w:val="0"/>
          <w:numId w:val="1445"/>
        </w:numPr>
        <w:pStyle w:val="Compact"/>
      </w:pPr>
      <w:r>
        <w:t xml:space="preserve">prohibido o no disponible en la jurisdicción;</w:t>
      </w:r>
    </w:p>
    <w:p>
      <w:pPr>
        <w:numPr>
          <w:ilvl w:val="0"/>
          <w:numId w:val="1445"/>
        </w:numPr>
        <w:pStyle w:val="Compact"/>
      </w:pPr>
      <w:r>
        <w:t xml:space="preserve">suspendido o retirado después de un cambio legal, incidente, queja o fallo de control.</w:t>
      </w:r>
    </w:p>
    <w:bookmarkEnd w:id="1349"/>
    <w:bookmarkStart w:id="1350" w:name="X7e3b94a1d4b2ac5317c6a3e018f4fb8142cf028"/>
    <w:p>
      <w:pPr>
        <w:pStyle w:val="Heading2"/>
      </w:pPr>
      <w:r>
        <w:rPr>
          <w:rStyle w:val="SectionNumber"/>
        </w:rPr>
        <w:t xml:space="preserve">1.1304</w:t>
      </w:r>
      <w:r>
        <w:tab/>
      </w:r>
      <w:r>
        <w:t xml:space="preserve">Datos, infraestructura y consideraciones de los proveedores</w:t>
      </w:r>
    </w:p>
    <w:p>
      <w:pPr>
        <w:pStyle w:val="FirstParagraph"/>
      </w:pPr>
      <w:r>
        <w:t xml:space="preserve">Evaluar:</w:t>
      </w:r>
    </w:p>
    <w:p>
      <w:pPr>
        <w:numPr>
          <w:ilvl w:val="0"/>
          <w:numId w:val="1446"/>
        </w:numPr>
        <w:pStyle w:val="Compact"/>
      </w:pPr>
      <w:r>
        <w:t xml:space="preserve">la recopilación, el uso y la reutilización lícitos de datos;</w:t>
      </w:r>
    </w:p>
    <w:p>
      <w:pPr>
        <w:numPr>
          <w:ilvl w:val="0"/>
          <w:numId w:val="1446"/>
        </w:numPr>
        <w:pStyle w:val="Compact"/>
      </w:pPr>
      <w:r>
        <w:t xml:space="preserve">requisitos de localización o residencia;</w:t>
      </w:r>
    </w:p>
    <w:p>
      <w:pPr>
        <w:numPr>
          <w:ilvl w:val="0"/>
          <w:numId w:val="1446"/>
        </w:numPr>
        <w:pStyle w:val="Compact"/>
      </w:pPr>
      <w:r>
        <w:t xml:space="preserve">mecanismos de transferencia internacional;</w:t>
      </w:r>
    </w:p>
    <w:p>
      <w:pPr>
        <w:numPr>
          <w:ilvl w:val="0"/>
          <w:numId w:val="1446"/>
        </w:numPr>
        <w:pStyle w:val="Compact"/>
      </w:pPr>
      <w:r>
        <w:t xml:space="preserve">la formación, el ajuste y las restricciones de uso secundario;</w:t>
      </w:r>
    </w:p>
    <w:p>
      <w:pPr>
        <w:numPr>
          <w:ilvl w:val="0"/>
          <w:numId w:val="1446"/>
        </w:numPr>
        <w:pStyle w:val="Compact"/>
      </w:pPr>
      <w:r>
        <w:t xml:space="preserve">datos sensibles y de categorías especiales;</w:t>
      </w:r>
    </w:p>
    <w:p>
      <w:pPr>
        <w:numPr>
          <w:ilvl w:val="0"/>
          <w:numId w:val="1446"/>
        </w:numPr>
        <w:pStyle w:val="Compact"/>
      </w:pPr>
      <w:r>
        <w:t xml:space="preserve">las normas de retención, supresión, preservación y acceso a la autoridad;</w:t>
      </w:r>
    </w:p>
    <w:p>
      <w:pPr>
        <w:numPr>
          <w:ilvl w:val="0"/>
          <w:numId w:val="1446"/>
        </w:numPr>
        <w:pStyle w:val="Compact"/>
      </w:pPr>
      <w:r>
        <w:t xml:space="preserve">la nube regional, el modelo y los puntos finales de registro;</w:t>
      </w:r>
    </w:p>
    <w:p>
      <w:pPr>
        <w:numPr>
          <w:ilvl w:val="0"/>
          <w:numId w:val="1446"/>
        </w:numPr>
        <w:pStyle w:val="Compact"/>
      </w:pPr>
      <w:r>
        <w:t xml:space="preserve">soberanía, acceso del gobierno y riesgo de concentración;</w:t>
      </w:r>
    </w:p>
    <w:p>
      <w:pPr>
        <w:numPr>
          <w:ilvl w:val="0"/>
          <w:numId w:val="1446"/>
        </w:numPr>
        <w:pStyle w:val="Compact"/>
      </w:pPr>
      <w:r>
        <w:t xml:space="preserve">incidentes, vigilancia y disponibilidad de pruebas en todas las regiones;</w:t>
      </w:r>
    </w:p>
    <w:p>
      <w:pPr>
        <w:numPr>
          <w:ilvl w:val="0"/>
          <w:numId w:val="1446"/>
        </w:numPr>
        <w:pStyle w:val="Compact"/>
      </w:pPr>
      <w:r>
        <w:t xml:space="preserve">cambio de proveedor, subprocesador, continuidad, portabilidad y arreglos de salida.</w:t>
      </w:r>
    </w:p>
    <w:bookmarkEnd w:id="1350"/>
    <w:bookmarkStart w:id="1351" w:name="Xb67fa3dd9a93260ff545f6f7b38482608677fc3"/>
    <w:p>
      <w:pPr>
        <w:pStyle w:val="Heading2"/>
      </w:pPr>
      <w:r>
        <w:rPr>
          <w:rStyle w:val="SectionNumber"/>
        </w:rPr>
        <w:t xml:space="preserve">1.1305</w:t>
      </w:r>
      <w:r>
        <w:tab/>
      </w:r>
      <w:r>
        <w:t xml:space="preserve">Localización y protección de los usuarios</w:t>
      </w:r>
    </w:p>
    <w:p>
      <w:pPr>
        <w:pStyle w:val="FirstParagraph"/>
      </w:pPr>
      <w:r>
        <w:t xml:space="preserve">Validar:</w:t>
      </w:r>
    </w:p>
    <w:p>
      <w:pPr>
        <w:numPr>
          <w:ilvl w:val="0"/>
          <w:numId w:val="1447"/>
        </w:numPr>
        <w:pStyle w:val="Compact"/>
      </w:pPr>
      <w:r>
        <w:t xml:space="preserve">las notificaciones, revelaciones e instrucciones traducidas;</w:t>
      </w:r>
    </w:p>
    <w:p>
      <w:pPr>
        <w:numPr>
          <w:ilvl w:val="0"/>
          <w:numId w:val="1447"/>
        </w:numPr>
        <w:pStyle w:val="Compact"/>
      </w:pPr>
      <w:r>
        <w:t xml:space="preserve">accesibilidad y compatibilidad de la tecnología de asistencia;</w:t>
      </w:r>
    </w:p>
    <w:p>
      <w:pPr>
        <w:numPr>
          <w:ilvl w:val="0"/>
          <w:numId w:val="1447"/>
        </w:numPr>
        <w:pStyle w:val="Compact"/>
      </w:pPr>
      <w:r>
        <w:t xml:space="preserve">competencia y autoridad locales en materia de supervisión humana;</w:t>
      </w:r>
    </w:p>
    <w:p>
      <w:pPr>
        <w:numPr>
          <w:ilvl w:val="0"/>
          <w:numId w:val="1447"/>
        </w:numPr>
        <w:pStyle w:val="Compact"/>
      </w:pPr>
      <w:r>
        <w:t xml:space="preserve">resultados culturales, lingüísticos y contextuales;</w:t>
      </w:r>
    </w:p>
    <w:p>
      <w:pPr>
        <w:numPr>
          <w:ilvl w:val="0"/>
          <w:numId w:val="1447"/>
        </w:numPr>
        <w:pStyle w:val="Compact"/>
      </w:pPr>
      <w:r>
        <w:t xml:space="preserve">sesgo local, subgrupo y riesgos para las personas vulnerables;</w:t>
      </w:r>
    </w:p>
    <w:p>
      <w:pPr>
        <w:numPr>
          <w:ilvl w:val="0"/>
          <w:numId w:val="1447"/>
        </w:numPr>
        <w:pStyle w:val="Compact"/>
      </w:pPr>
      <w:r>
        <w:t xml:space="preserve">tareas de comunicación entre trabajadores, solicitantes, clientes y personas afectadas;</w:t>
      </w:r>
    </w:p>
    <w:p>
      <w:pPr>
        <w:numPr>
          <w:ilvl w:val="0"/>
          <w:numId w:val="1447"/>
        </w:numPr>
        <w:pStyle w:val="Compact"/>
      </w:pPr>
      <w:r>
        <w:t xml:space="preserve">los canales de apoyo al cliente, reclamación, apelación y escalonamiento humano;</w:t>
      </w:r>
    </w:p>
    <w:p>
      <w:pPr>
        <w:numPr>
          <w:ilvl w:val="0"/>
          <w:numId w:val="1447"/>
        </w:numPr>
        <w:pStyle w:val="Compact"/>
      </w:pPr>
      <w:r>
        <w:t xml:space="preserve">emergencia, incidente, regulador y escalada legal;</w:t>
      </w:r>
    </w:p>
    <w:p>
      <w:pPr>
        <w:numPr>
          <w:ilvl w:val="0"/>
          <w:numId w:val="1447"/>
        </w:numPr>
        <w:pStyle w:val="Compact"/>
      </w:pPr>
      <w:r>
        <w:t xml:space="preserve">Retroceso local, retroceso y arreglos de continuidad de servicio.</w:t>
      </w:r>
    </w:p>
    <w:bookmarkEnd w:id="1351"/>
    <w:bookmarkStart w:id="1352" w:name="gestión-del-cambio"/>
    <w:p>
      <w:pPr>
        <w:pStyle w:val="Heading2"/>
      </w:pPr>
      <w:r>
        <w:rPr>
          <w:rStyle w:val="SectionNumber"/>
        </w:rPr>
        <w:t xml:space="preserve">1.1306</w:t>
      </w:r>
      <w:r>
        <w:tab/>
      </w:r>
      <w:r>
        <w:t xml:space="preserve">Gestión del cambio</w:t>
      </w:r>
    </w:p>
    <w:p>
      <w:pPr>
        <w:pStyle w:val="FirstParagraph"/>
      </w:pPr>
      <w:r>
        <w:t xml:space="preserve">Reevaluar el despliegue después de:</w:t>
      </w:r>
    </w:p>
    <w:p>
      <w:pPr>
        <w:numPr>
          <w:ilvl w:val="0"/>
          <w:numId w:val="1448"/>
        </w:numPr>
        <w:pStyle w:val="Compact"/>
      </w:pPr>
      <w:r>
        <w:t xml:space="preserve">expansión a un nuevo país, sector, entidad jurídica o población de clientes;</w:t>
      </w:r>
    </w:p>
    <w:p>
      <w:pPr>
        <w:numPr>
          <w:ilvl w:val="0"/>
          <w:numId w:val="1448"/>
        </w:numPr>
        <w:pStyle w:val="Compact"/>
      </w:pPr>
      <w:r>
        <w:t xml:space="preserve">un nuevo idioma o grupo afectado;</w:t>
      </w:r>
    </w:p>
    <w:p>
      <w:pPr>
        <w:numPr>
          <w:ilvl w:val="0"/>
          <w:numId w:val="1448"/>
        </w:numPr>
        <w:pStyle w:val="Compact"/>
      </w:pPr>
      <w:r>
        <w:t xml:space="preserve">cambio de modelo, proveedor, licencia, nube o subprocesador;</w:t>
      </w:r>
    </w:p>
    <w:p>
      <w:pPr>
        <w:numPr>
          <w:ilvl w:val="0"/>
          <w:numId w:val="1448"/>
        </w:numPr>
        <w:pStyle w:val="Compact"/>
      </w:pPr>
      <w:r>
        <w:t xml:space="preserve">nueva fuente de datos, finalidad, ruta de transferencia o modelo de retención;</w:t>
      </w:r>
    </w:p>
    <w:p>
      <w:pPr>
        <w:numPr>
          <w:ilvl w:val="0"/>
          <w:numId w:val="1448"/>
        </w:numPr>
        <w:pStyle w:val="Compact"/>
      </w:pPr>
      <w:r>
        <w:t xml:space="preserve">la legislación local, la decisión reguladora o el cambio de orientación autorizado;</w:t>
      </w:r>
    </w:p>
    <w:p>
      <w:pPr>
        <w:numPr>
          <w:ilvl w:val="0"/>
          <w:numId w:val="1448"/>
        </w:numPr>
        <w:pStyle w:val="Compact"/>
      </w:pPr>
      <w:r>
        <w:t xml:space="preserve">incidentes materiales, quejas, constataciones de auditoría o discriminación;</w:t>
      </w:r>
    </w:p>
    <w:p>
      <w:pPr>
        <w:numPr>
          <w:ilvl w:val="0"/>
          <w:numId w:val="1448"/>
        </w:numPr>
        <w:pStyle w:val="Compact"/>
      </w:pPr>
      <w:r>
        <w:t xml:space="preserve">adquisición, reestructuración o nuevo modelo de contratación;</w:t>
      </w:r>
    </w:p>
    <w:p>
      <w:pPr>
        <w:numPr>
          <w:ilvl w:val="0"/>
          <w:numId w:val="1448"/>
        </w:numPr>
        <w:pStyle w:val="Compact"/>
      </w:pPr>
      <w:r>
        <w:t xml:space="preserve">modificación sustancial, repurposición, o cambio de marca.</w:t>
      </w:r>
    </w:p>
    <w:bookmarkEnd w:id="1352"/>
    <w:bookmarkStart w:id="1353" w:name="X7bec734689071689e5d5e104e3b968f74658b28"/>
    <w:p>
      <w:pPr>
        <w:pStyle w:val="Heading2"/>
      </w:pPr>
      <w:r>
        <w:rPr>
          <w:rStyle w:val="SectionNumber"/>
        </w:rPr>
        <w:t xml:space="preserve">1.1307</w:t>
      </w:r>
      <w:r>
        <w:tab/>
      </w:r>
      <w:r>
        <w:t xml:space="preserve">Ejemplo de servicios de viajes de GlobalWay</w:t>
      </w:r>
    </w:p>
    <w:p>
      <w:pPr>
        <w:pStyle w:val="FirstParagraph"/>
      </w:pPr>
      <w:r>
        <w:t xml:space="preserve">GlobalWay planea implementar un sistema de asignación de asistentes de viajeros y empleados en la UE, Reino Unido, Estados Unidos, Colombia y México. Aplica una base de referencia común de seguridad, supervisión, inventario y evidencia, luego crea superposiciones de jurisdicción para la consulta de los trabajadores, avisos de privacidad, salvaguardias de decisión automatizada, transferencias de datos, retención, accesibilidad, pruebas de idioma local y contactos reguladores.</w:t>
      </w:r>
    </w:p>
    <w:p>
      <w:pPr>
        <w:pStyle w:val="BodyText"/>
      </w:pPr>
      <w:r>
        <w:t xml:space="preserve">El despliegue en un país se retrasa porque el proceso de escalada en el idioma local y el arreglo regional de retención de registros están incompletos, y la georestricción permanece activa hasta que el propietario del negocio local apruebe los controles y las pruebas corregidos.</w:t>
      </w:r>
    </w:p>
    <w:bookmarkEnd w:id="1353"/>
    <w:bookmarkStart w:id="1354" w:name="actividades-de-control-11"/>
    <w:p>
      <w:pPr>
        <w:pStyle w:val="Heading2"/>
      </w:pPr>
      <w:r>
        <w:rPr>
          <w:rStyle w:val="SectionNumber"/>
        </w:rPr>
        <w:t xml:space="preserve">1.1308</w:t>
      </w:r>
      <w:r>
        <w:tab/>
      </w:r>
      <w:r>
        <w:t xml:space="preserve">Actividades de control</w:t>
      </w:r>
    </w:p>
    <w:p>
      <w:pPr>
        <w:numPr>
          <w:ilvl w:val="0"/>
          <w:numId w:val="1449"/>
        </w:numPr>
        <w:pStyle w:val="Compact"/>
      </w:pPr>
      <w:r>
        <w:t xml:space="preserve">Mantener un registro de jurisdicción, entidad, función jurídica y despliegue.</w:t>
      </w:r>
    </w:p>
    <w:p>
      <w:pPr>
        <w:numPr>
          <w:ilvl w:val="0"/>
          <w:numId w:val="1449"/>
        </w:numPr>
        <w:pStyle w:val="Compact"/>
      </w:pPr>
      <w:r>
        <w:t xml:space="preserve">Definir una base de referencia mundial y superposiciones locales aprobadas.</w:t>
      </w:r>
    </w:p>
    <w:p>
      <w:pPr>
        <w:numPr>
          <w:ilvl w:val="0"/>
          <w:numId w:val="1449"/>
        </w:numPr>
        <w:pStyle w:val="Compact"/>
      </w:pPr>
      <w:r>
        <w:t xml:space="preserve">Exigir la aprobación del país y la población antes del lanzamiento o la expansión de la producción.</w:t>
      </w:r>
    </w:p>
    <w:p>
      <w:pPr>
        <w:numPr>
          <w:ilvl w:val="0"/>
          <w:numId w:val="1449"/>
        </w:numPr>
        <w:pStyle w:val="Compact"/>
      </w:pPr>
      <w:r>
        <w:t xml:space="preserve">Validar el lenguaje, accesibilidad, sesgo, supervisión, quejas y apoyo local.</w:t>
      </w:r>
    </w:p>
    <w:p>
      <w:pPr>
        <w:numPr>
          <w:ilvl w:val="0"/>
          <w:numId w:val="1449"/>
        </w:numPr>
        <w:pStyle w:val="Compact"/>
      </w:pPr>
      <w:r>
        <w:t xml:space="preserve">Controla los datos transfronterizos, registros, pruebas y flujos de proveedores.</w:t>
      </w:r>
    </w:p>
    <w:p>
      <w:pPr>
        <w:numPr>
          <w:ilvl w:val="0"/>
          <w:numId w:val="1449"/>
        </w:numPr>
        <w:pStyle w:val="Compact"/>
      </w:pPr>
      <w:r>
        <w:t xml:space="preserve">Regulador de seguimiento, notificación, consulta y requisitos de información de los trabajadores.</w:t>
      </w:r>
    </w:p>
    <w:p>
      <w:pPr>
        <w:numPr>
          <w:ilvl w:val="0"/>
          <w:numId w:val="1449"/>
        </w:numPr>
        <w:pStyle w:val="Compact"/>
      </w:pPr>
      <w:r>
        <w:t xml:space="preserve">Utilice controles de georestricción, configuración, identidad o liberación cuando sea necesario.</w:t>
      </w:r>
    </w:p>
    <w:p>
      <w:pPr>
        <w:numPr>
          <w:ilvl w:val="0"/>
          <w:numId w:val="1449"/>
        </w:numPr>
        <w:pStyle w:val="Compact"/>
      </w:pPr>
      <w:r>
        <w:t xml:space="preserve">Reevaluar después de un cambio legal, técnico, organizativo, de proveedor, de propósito o geográfico.</w:t>
      </w:r>
    </w:p>
    <w:p>
      <w:pPr>
        <w:numPr>
          <w:ilvl w:val="0"/>
          <w:numId w:val="1449"/>
        </w:numPr>
        <w:pStyle w:val="Compact"/>
      </w:pPr>
      <w:r>
        <w:t xml:space="preserve">Bloquear o suspender el despliegue cuando los controles locales necesarios estén incompletos.</w:t>
      </w:r>
    </w:p>
    <w:bookmarkEnd w:id="1354"/>
    <w:bookmarkStart w:id="1355" w:name="pruebas-135"/>
    <w:p>
      <w:pPr>
        <w:pStyle w:val="Heading2"/>
      </w:pPr>
      <w:r>
        <w:rPr>
          <w:rStyle w:val="SectionNumber"/>
        </w:rPr>
        <w:t xml:space="preserve">1.1309</w:t>
      </w:r>
      <w:r>
        <w:tab/>
      </w:r>
      <w:r>
        <w:t xml:space="preserve">Pruebas</w:t>
      </w:r>
    </w:p>
    <w:p>
      <w:pPr>
        <w:numPr>
          <w:ilvl w:val="0"/>
          <w:numId w:val="1450"/>
        </w:numPr>
        <w:pStyle w:val="Compact"/>
      </w:pPr>
      <w:r>
        <w:t xml:space="preserve">mapas de la jurisdicción y las entidades;</w:t>
      </w:r>
    </w:p>
    <w:p>
      <w:pPr>
        <w:numPr>
          <w:ilvl w:val="0"/>
          <w:numId w:val="1450"/>
        </w:numPr>
        <w:pStyle w:val="Compact"/>
      </w:pPr>
      <w:r>
        <w:t xml:space="preserve">la aplicabilidad, el alcance territorial y las evaluaciones de las funciones;</w:t>
      </w:r>
    </w:p>
    <w:p>
      <w:pPr>
        <w:numPr>
          <w:ilvl w:val="0"/>
          <w:numId w:val="1450"/>
        </w:numPr>
        <w:pStyle w:val="Compact"/>
      </w:pPr>
      <w:r>
        <w:t xml:space="preserve">registro de obligaciones legales y sectoriales;</w:t>
      </w:r>
    </w:p>
    <w:p>
      <w:pPr>
        <w:numPr>
          <w:ilvl w:val="0"/>
          <w:numId w:val="1450"/>
        </w:numPr>
        <w:pStyle w:val="Compact"/>
      </w:pPr>
      <w:r>
        <w:t xml:space="preserve">la base de referencia del control mundial y los revestimientos locales;</w:t>
      </w:r>
    </w:p>
    <w:p>
      <w:pPr>
        <w:numPr>
          <w:ilvl w:val="0"/>
          <w:numId w:val="1450"/>
        </w:numPr>
        <w:pStyle w:val="Compact"/>
      </w:pPr>
      <w:r>
        <w:t xml:space="preserve">la privacidad, el flujo de datos, la transferencia, la retención y las evaluaciones de localización;</w:t>
      </w:r>
    </w:p>
    <w:p>
      <w:pPr>
        <w:numPr>
          <w:ilvl w:val="0"/>
          <w:numId w:val="1450"/>
        </w:numPr>
        <w:pStyle w:val="Compact"/>
      </w:pPr>
      <w:r>
        <w:t xml:space="preserve">notificaciones, instrucciones, consultas y aprobaciones localizadas;</w:t>
      </w:r>
    </w:p>
    <w:p>
      <w:pPr>
        <w:numPr>
          <w:ilvl w:val="0"/>
          <w:numId w:val="1450"/>
        </w:numPr>
        <w:pStyle w:val="Compact"/>
      </w:pPr>
      <w:r>
        <w:t xml:space="preserve">lenguaje, accesibilidad, subgrupos y pruebas de supervisión;</w:t>
      </w:r>
    </w:p>
    <w:p>
      <w:pPr>
        <w:numPr>
          <w:ilvl w:val="0"/>
          <w:numId w:val="1450"/>
        </w:numPr>
        <w:pStyle w:val="Compact"/>
      </w:pPr>
      <w:r>
        <w:t xml:space="preserve">las aprobaciones, restricciones y registros de liberación de los países;</w:t>
      </w:r>
    </w:p>
    <w:p>
      <w:pPr>
        <w:numPr>
          <w:ilvl w:val="0"/>
          <w:numId w:val="1450"/>
        </w:numPr>
        <w:pStyle w:val="Compact"/>
      </w:pPr>
      <w:r>
        <w:t xml:space="preserve">el proveedor, el subprocesador, la infraestructura y los registros de ubicación;</w:t>
      </w:r>
    </w:p>
    <w:p>
      <w:pPr>
        <w:numPr>
          <w:ilvl w:val="0"/>
          <w:numId w:val="1450"/>
        </w:numPr>
        <w:pStyle w:val="Compact"/>
      </w:pPr>
      <w:r>
        <w:t xml:space="preserve">listas de contactos reguladores y de escalada;</w:t>
      </w:r>
    </w:p>
    <w:p>
      <w:pPr>
        <w:numPr>
          <w:ilvl w:val="0"/>
          <w:numId w:val="1450"/>
        </w:numPr>
        <w:pStyle w:val="Compact"/>
      </w:pPr>
      <w:r>
        <w:t xml:space="preserve">las pruebas de georestricción y de aplicación técnica;</w:t>
      </w:r>
    </w:p>
    <w:p>
      <w:pPr>
        <w:numPr>
          <w:ilvl w:val="0"/>
          <w:numId w:val="1450"/>
        </w:numPr>
        <w:pStyle w:val="Compact"/>
      </w:pPr>
      <w:r>
        <w:t xml:space="preserve">seguimiento, incidente, cambio legal y historia de reevaluación.</w:t>
      </w:r>
    </w:p>
    <w:bookmarkEnd w:id="1355"/>
    <w:bookmarkStart w:id="1356" w:name="pruebas-de-auditoría-11"/>
    <w:p>
      <w:pPr>
        <w:pStyle w:val="Heading2"/>
      </w:pPr>
      <w:r>
        <w:rPr>
          <w:rStyle w:val="SectionNumber"/>
        </w:rPr>
        <w:t xml:space="preserve">1.1310</w:t>
      </w:r>
      <w:r>
        <w:tab/>
      </w:r>
      <w:r>
        <w:t xml:space="preserve">Pruebas de auditoría</w:t>
      </w:r>
    </w:p>
    <w:p>
      <w:pPr>
        <w:numPr>
          <w:ilvl w:val="0"/>
          <w:numId w:val="1451"/>
        </w:numPr>
        <w:pStyle w:val="Compact"/>
      </w:pPr>
      <w:r>
        <w:t xml:space="preserve">Se evaluaron las jurisdicciones seleccionadas y se verificó el alcance territorial, las entidades, las funciones, los propósitos y las poblaciones afectadas.</w:t>
      </w:r>
    </w:p>
    <w:p>
      <w:pPr>
        <w:numPr>
          <w:ilvl w:val="0"/>
          <w:numId w:val="1451"/>
        </w:numPr>
        <w:pStyle w:val="Compact"/>
      </w:pPr>
      <w:r>
        <w:t xml:space="preserve">Confirmar que los requisitos legales y sectoriales locales se asignan a los controles y las pruebas recuperables.</w:t>
      </w:r>
    </w:p>
    <w:p>
      <w:pPr>
        <w:numPr>
          <w:ilvl w:val="0"/>
          <w:numId w:val="1451"/>
        </w:numPr>
        <w:pStyle w:val="Compact"/>
      </w:pPr>
      <w:r>
        <w:t xml:space="preserve">Revise el lenguaje, accesibilidad, supervisión, quejas y pruebas de subgrupos.</w:t>
      </w:r>
    </w:p>
    <w:p>
      <w:pPr>
        <w:numPr>
          <w:ilvl w:val="0"/>
          <w:numId w:val="1451"/>
        </w:numPr>
        <w:pStyle w:val="Compact"/>
      </w:pPr>
      <w:r>
        <w:t xml:space="preserve">Verifique los controles de transferencia de datos, localización, retención y ubicación de proveedores.</w:t>
      </w:r>
    </w:p>
    <w:p>
      <w:pPr>
        <w:numPr>
          <w:ilvl w:val="0"/>
          <w:numId w:val="1451"/>
        </w:numPr>
        <w:pStyle w:val="Compact"/>
      </w:pPr>
      <w:r>
        <w:t xml:space="preserve">Rastrear el lanzamiento del país o la aprobación de la expansión a los criterios de preparación local completados.</w:t>
      </w:r>
    </w:p>
    <w:p>
      <w:pPr>
        <w:numPr>
          <w:ilvl w:val="0"/>
          <w:numId w:val="1451"/>
        </w:numPr>
        <w:pStyle w:val="Compact"/>
      </w:pPr>
      <w:r>
        <w:t xml:space="preserve">Confirme que los cambios legales, de proveedor, modelo, propósito y población desencadenan una reevaluación.</w:t>
      </w:r>
    </w:p>
    <w:p>
      <w:pPr>
        <w:numPr>
          <w:ilvl w:val="0"/>
          <w:numId w:val="1451"/>
        </w:numPr>
        <w:pStyle w:val="Compact"/>
      </w:pPr>
      <w:r>
        <w:t xml:space="preserve">Revise si los despliegues prohibidos, aplazados o restringidos se aplican técnicamente.</w:t>
      </w:r>
    </w:p>
    <w:p>
      <w:pPr>
        <w:numPr>
          <w:ilvl w:val="0"/>
          <w:numId w:val="1451"/>
        </w:numPr>
        <w:pStyle w:val="Compact"/>
      </w:pPr>
      <w:r>
        <w:t xml:space="preserve">Verificar los conflictos no resueltos y las excepciones se intensifican a los responsables de la toma de decisiones autorizados.</w:t>
      </w:r>
    </w:p>
    <w:bookmarkEnd w:id="1356"/>
    <w:bookmarkStart w:id="1357" w:name="métricas-12"/>
    <w:p>
      <w:pPr>
        <w:pStyle w:val="Heading2"/>
      </w:pPr>
      <w:r>
        <w:rPr>
          <w:rStyle w:val="SectionNumber"/>
        </w:rPr>
        <w:t xml:space="preserve">1.1311</w:t>
      </w:r>
      <w:r>
        <w:tab/>
      </w:r>
      <w:r>
        <w:t xml:space="preserve">Métricas</w:t>
      </w:r>
    </w:p>
    <w:p>
      <w:pPr>
        <w:numPr>
          <w:ilvl w:val="0"/>
          <w:numId w:val="1452"/>
        </w:numPr>
        <w:pStyle w:val="Compact"/>
      </w:pPr>
      <w:r>
        <w:t xml:space="preserve">las jurisdicciones con evaluaciones actuales;</w:t>
      </w:r>
    </w:p>
    <w:p>
      <w:pPr>
        <w:numPr>
          <w:ilvl w:val="0"/>
          <w:numId w:val="1452"/>
        </w:numPr>
        <w:pStyle w:val="Compact"/>
      </w:pPr>
      <w:r>
        <w:t xml:space="preserve">despliegues en espera de aprobación local;</w:t>
      </w:r>
    </w:p>
    <w:p>
      <w:pPr>
        <w:numPr>
          <w:ilvl w:val="0"/>
          <w:numId w:val="1452"/>
        </w:numPr>
        <w:pStyle w:val="Compact"/>
      </w:pPr>
      <w:r>
        <w:t xml:space="preserve">deficiencias de control local o de pruebas;</w:t>
      </w:r>
    </w:p>
    <w:p>
      <w:pPr>
        <w:numPr>
          <w:ilvl w:val="0"/>
          <w:numId w:val="1452"/>
        </w:numPr>
        <w:pStyle w:val="Compact"/>
      </w:pPr>
      <w:r>
        <w:t xml:space="preserve">defectos de traducción, accesibilidad o localización;</w:t>
      </w:r>
    </w:p>
    <w:p>
      <w:pPr>
        <w:numPr>
          <w:ilvl w:val="0"/>
          <w:numId w:val="1452"/>
        </w:numPr>
        <w:pStyle w:val="Compact"/>
      </w:pPr>
      <w:r>
        <w:t xml:space="preserve">excepciones a las transferencias transfronterizas;</w:t>
      </w:r>
    </w:p>
    <w:p>
      <w:pPr>
        <w:numPr>
          <w:ilvl w:val="0"/>
          <w:numId w:val="1452"/>
        </w:numPr>
        <w:pStyle w:val="Compact"/>
      </w:pPr>
      <w:r>
        <w:t xml:space="preserve">la tala regional y las lagunas en materia de pruebas;</w:t>
      </w:r>
    </w:p>
    <w:p>
      <w:pPr>
        <w:numPr>
          <w:ilvl w:val="0"/>
          <w:numId w:val="1452"/>
        </w:numPr>
        <w:pStyle w:val="Compact"/>
      </w:pPr>
      <w:r>
        <w:t xml:space="preserve">cambios legales o reglamentarios pendientes de evaluación;</w:t>
      </w:r>
    </w:p>
    <w:p>
      <w:pPr>
        <w:numPr>
          <w:ilvl w:val="0"/>
          <w:numId w:val="1452"/>
        </w:numPr>
        <w:pStyle w:val="Compact"/>
      </w:pPr>
      <w:r>
        <w:t xml:space="preserve">los despliegues restringidos, suspendidos o retirados;</w:t>
      </w:r>
    </w:p>
    <w:p>
      <w:pPr>
        <w:numPr>
          <w:ilvl w:val="0"/>
          <w:numId w:val="1452"/>
        </w:numPr>
        <w:pStyle w:val="Compact"/>
      </w:pPr>
      <w:r>
        <w:t xml:space="preserve">incidentes multijurisdiccionales, quejas y medidas correctivas atrasadas.</w:t>
      </w:r>
    </w:p>
    <w:bookmarkEnd w:id="1357"/>
    <w:bookmarkStart w:id="1358" w:name="lista-de-verificación-de-gestión-14"/>
    <w:p>
      <w:pPr>
        <w:pStyle w:val="Heading2"/>
      </w:pPr>
      <w:r>
        <w:rPr>
          <w:rStyle w:val="SectionNumber"/>
        </w:rPr>
        <w:t xml:space="preserve">1.1312</w:t>
      </w:r>
      <w:r>
        <w:tab/>
      </w:r>
      <w:r>
        <w:t xml:space="preserve">Lista de verificación de gestión</w:t>
      </w:r>
    </w:p>
    <w:p>
      <w:pPr>
        <w:numPr>
          <w:ilvl w:val="0"/>
          <w:numId w:val="1453"/>
        </w:numPr>
        <w:pStyle w:val="Compact"/>
      </w:pPr>
      <w:r>
        <w:t xml:space="preserve">¿Sabemos dónde opera cada sistema de IA y qué entidad es responsable?</w:t>
      </w:r>
    </w:p>
    <w:p>
      <w:pPr>
        <w:numPr>
          <w:ilvl w:val="0"/>
          <w:numId w:val="1453"/>
        </w:numPr>
        <w:pStyle w:val="Compact"/>
      </w:pPr>
      <w:r>
        <w:t xml:space="preserve">¿Está documentada la aplicabilidad territorial y extraterritorial?</w:t>
      </w:r>
    </w:p>
    <w:p>
      <w:pPr>
        <w:numPr>
          <w:ilvl w:val="0"/>
          <w:numId w:val="1453"/>
        </w:numPr>
        <w:pStyle w:val="Compact"/>
      </w:pPr>
      <w:r>
        <w:t xml:space="preserve">¿Es la base de referencia mundial suficientemente fuerte y se aprueban superposiciones locales?</w:t>
      </w:r>
    </w:p>
    <w:p>
      <w:pPr>
        <w:numPr>
          <w:ilvl w:val="0"/>
          <w:numId w:val="1453"/>
        </w:numPr>
        <w:pStyle w:val="Compact"/>
      </w:pPr>
      <w:r>
        <w:t xml:space="preserve">¿Se han probado localmente el lenguaje, la accesibilidad, el sesgo, la supervisión y el apoyo?</w:t>
      </w:r>
    </w:p>
    <w:p>
      <w:pPr>
        <w:numPr>
          <w:ilvl w:val="0"/>
          <w:numId w:val="1453"/>
        </w:numPr>
        <w:pStyle w:val="Compact"/>
      </w:pPr>
      <w:r>
        <w:t xml:space="preserve">¿Son legales y controlados los datos transfronterizos, las pruebas y los flujos de proveedores?</w:t>
      </w:r>
    </w:p>
    <w:p>
      <w:pPr>
        <w:numPr>
          <w:ilvl w:val="0"/>
          <w:numId w:val="1453"/>
        </w:numPr>
        <w:pStyle w:val="Compact"/>
      </w:pPr>
      <w:r>
        <w:t xml:space="preserve">¿Puede bloquearse, restringirse o suspenderse el despliegue por jurisdicción?</w:t>
      </w:r>
    </w:p>
    <w:p>
      <w:pPr>
        <w:numPr>
          <w:ilvl w:val="0"/>
          <w:numId w:val="1453"/>
        </w:numPr>
        <w:pStyle w:val="Compact"/>
      </w:pPr>
      <w:r>
        <w:t xml:space="preserve">¿Se intensifican adecuadamente los conflictos jurídicos y las interpretaciones inciertas?</w:t>
      </w:r>
    </w:p>
    <w:bookmarkEnd w:id="1358"/>
    <w:bookmarkStart w:id="1359" w:name="X8ba18040e6aa9afb1b15e58dc23d26658a8b99a"/>
    <w:p>
      <w:pPr>
        <w:pStyle w:val="Heading2"/>
      </w:pPr>
      <w:r>
        <w:rPr>
          <w:rStyle w:val="SectionNumber"/>
        </w:rPr>
        <w:t xml:space="preserve">1.1313</w:t>
      </w:r>
      <w:r>
        <w:tab/>
      </w:r>
      <w:r>
        <w:t xml:space="preserve">Especificación de la figura — Mapa de control de implementación de IA global</w:t>
      </w:r>
    </w:p>
    <w:p>
      <w:pPr>
        <w:pStyle w:val="FirstParagraph"/>
      </w:pPr>
      <w:r>
        <w:t xml:space="preserve">Crear una base de referencia central de control global rodeada de superposiciones de jurisdicción para roles legales, alcance territorial, privacidad, empleo, reglas sectoriales, lenguaje, accesibilidad, ubicación de datos, proveedores, reguladores, monitoreo local y respuesta a incidentes. Mostrar puertas de lanzamiento del país, restricciones técnicas y desencadenantes de reevaluación.</w:t>
      </w:r>
    </w:p>
    <w:p>
      <w:pPr>
        <w:pStyle w:val="BodyText"/>
      </w:pPr>
      <w:r>
        <w:rPr>
          <w:bCs/>
          <w:b/>
        </w:rPr>
        <w:t xml:space="preserve">Texto Alt:</w:t>
      </w:r>
      <w:r>
        <w:t xml:space="preserve"> </w:t>
      </w:r>
      <w:r>
        <w:t xml:space="preserve">Mapa de control del despliegue de IA global con una base de referencia común de gobernanza, superposiciones legales y operacionales específicas de la jurisdicción, puertas de lanzamiento del país, restricciones técnicas y desencadenantes de reevaluación para cambios legales, técnicos, de proveedores, de población y geográficos.</w:t>
      </w:r>
    </w:p>
    <w:bookmarkEnd w:id="1359"/>
    <w:bookmarkStart w:id="1360" w:name="referencias-jurídicas-primarias-104"/>
    <w:p>
      <w:pPr>
        <w:pStyle w:val="Heading2"/>
      </w:pPr>
      <w:r>
        <w:rPr>
          <w:rStyle w:val="SectionNumber"/>
        </w:rPr>
        <w:t xml:space="preserve">1.1314</w:t>
      </w:r>
      <w:r>
        <w:tab/>
      </w:r>
      <w:r>
        <w:t xml:space="preserve">Referencias jurídicas primarias</w:t>
      </w:r>
    </w:p>
    <w:p>
      <w:pPr>
        <w:numPr>
          <w:ilvl w:val="0"/>
          <w:numId w:val="1454"/>
        </w:numPr>
        <w:pStyle w:val="Compact"/>
      </w:pPr>
      <w:r>
        <w:t xml:space="preserve">Reglamento (UE) 2024/1689, en su versión modificada: artículo 2, ámbito territorial y actores aplicables, prácticas prohibidas, alto riesgo, transparencia, GPAI, supervisión, incidentes y disposiciones de aplicación.</w:t>
      </w:r>
    </w:p>
    <w:p>
      <w:pPr>
        <w:numPr>
          <w:ilvl w:val="0"/>
          <w:numId w:val="1454"/>
        </w:numPr>
        <w:pStyle w:val="Compact"/>
      </w:pPr>
      <w:r>
        <w:t xml:space="preserve">Reglamento (UE) 2016/679 y otras leyes aplicables a nivel nacional, regional, laboral, de igualdad, de protección de los consumidores, de accesibilidad, de seguridad cibernética, de seguridad de los productos y sectoriales.</w:t>
      </w:r>
    </w:p>
    <w:p>
      <w:pPr>
        <w:numPr>
          <w:ilvl w:val="0"/>
          <w:numId w:val="1454"/>
        </w:numPr>
        <w:pStyle w:val="Compact"/>
      </w:pPr>
      <w:r>
        <w:t xml:space="preserve">Reglamento (UE) 2026/1744, en su caso.</w:t>
      </w:r>
    </w:p>
    <w:p>
      <w:pPr>
        <w:numPr>
          <w:ilvl w:val="0"/>
          <w:numId w:val="1454"/>
        </w:numPr>
        <w:pStyle w:val="Compact"/>
      </w:pPr>
      <w:r>
        <w:t xml:space="preserve">Textos oficiales consolidados actuales y control de la legislación local aplicable sobre resúmenes generalizados.</w:t>
      </w:r>
    </w:p>
    <w:bookmarkEnd w:id="1360"/>
    <w:bookmarkStart w:id="1361" w:name="X29cacb5a264d6cf9e06e200187866f0ad54e973"/>
    <w:p>
      <w:pPr>
        <w:pStyle w:val="Heading2"/>
      </w:pPr>
      <w:r>
        <w:rPr>
          <w:rStyle w:val="SectionNumber"/>
        </w:rPr>
        <w:t xml:space="preserve">1.1315</w:t>
      </w:r>
      <w:r>
        <w:tab/>
      </w:r>
      <w:r>
        <w:t xml:space="preserve">Capítulo 137 — Modelo de vencimiento de la gobernanza de la IA</w:t>
      </w:r>
    </w:p>
    <w:p>
      <w:pPr>
        <w:pStyle w:val="BlockText"/>
      </w:pPr>
      <w:r>
        <w:rPr>
          <w:bCs/>
          <w:b/>
        </w:rPr>
        <w:t xml:space="preserve">Estatus legal:</w:t>
      </w:r>
      <w:r>
        <w:t xml:space="preserve"> </w:t>
      </w:r>
      <w:r>
        <w:t xml:space="preserve">Corregido Maestro Inglés para la consolidación. Este archivo controla el lenguaje de borrador del Capítulo 137 anterior en conflicto.</w:t>
      </w:r>
    </w:p>
    <w:bookmarkEnd w:id="1361"/>
    <w:bookmarkStart w:id="1362" w:name="finalidad-15"/>
    <w:p>
      <w:pPr>
        <w:pStyle w:val="Heading2"/>
      </w:pPr>
      <w:r>
        <w:rPr>
          <w:rStyle w:val="SectionNumber"/>
        </w:rPr>
        <w:t xml:space="preserve">1.1316</w:t>
      </w:r>
      <w:r>
        <w:tab/>
      </w:r>
      <w:r>
        <w:t xml:space="preserve">Finalidad</w:t>
      </w:r>
    </w:p>
    <w:p>
      <w:pPr>
        <w:pStyle w:val="FirstParagraph"/>
      </w:pPr>
      <w:r>
        <w:t xml:space="preserve">Este capítulo proporciona un modelo práctico de madurez para evaluar la coherencia, eficacia y sostenibilidad de una organización que rige los sistemas de IA y cumple las obligaciones legales, contractuales, técnicas, operacionales y de garantía aplicables.</w:t>
      </w:r>
    </w:p>
    <w:p>
      <w:pPr>
        <w:pStyle w:val="BodyText"/>
      </w:pPr>
      <w:r>
        <w:t xml:space="preserve">AI puede apoyar la toma de decisiones humanas, pero no debe eliminar la responsabilidad humana, el juicio o la rendición de cuentas.</w:t>
      </w:r>
    </w:p>
    <w:bookmarkEnd w:id="1362"/>
    <w:bookmarkStart w:id="1363" w:name="requisito-135"/>
    <w:p>
      <w:pPr>
        <w:pStyle w:val="Heading2"/>
      </w:pPr>
      <w:r>
        <w:rPr>
          <w:rStyle w:val="SectionNumber"/>
        </w:rPr>
        <w:t xml:space="preserve">1.1317</w:t>
      </w:r>
      <w:r>
        <w:tab/>
      </w:r>
      <w:r>
        <w:t xml:space="preserve">Requisito</w:t>
      </w:r>
    </w:p>
    <w:p>
      <w:pPr>
        <w:pStyle w:val="FirstParagraph"/>
      </w:pPr>
      <w:r>
        <w:t xml:space="preserve">Un modelo de madurez de la gobernanza de la IA es un instrumento de gestión voluntario, no un sustituto del cumplimiento legal. Las organizaciones deben utilizarlo para evaluar si la gobernanza, el riesgo, el cumplimiento, las capacidades técnicas, operacionales, de pruebas y de garantía se diseñan, implementan, miden, cuestionan y mejoran de manera consistente.</w:t>
      </w:r>
    </w:p>
    <w:bookmarkEnd w:id="1363"/>
    <w:bookmarkStart w:id="1364" w:name="explicación-en-lenguaje-sencillo-132"/>
    <w:p>
      <w:pPr>
        <w:pStyle w:val="Heading2"/>
      </w:pPr>
      <w:r>
        <w:rPr>
          <w:rStyle w:val="SectionNumber"/>
        </w:rPr>
        <w:t xml:space="preserve">1.1318</w:t>
      </w:r>
      <w:r>
        <w:tab/>
      </w:r>
      <w:r>
        <w:t xml:space="preserve">Explicación en lenguaje sencillo</w:t>
      </w:r>
    </w:p>
    <w:p>
      <w:pPr>
        <w:pStyle w:val="FirstParagraph"/>
      </w:pPr>
      <w:r>
        <w:t xml:space="preserve">Los deberes legales se aplican independientemente de la puntuación de madurez de una organización. Un modelo de madurez ayuda a la administración a identificar capacidades débiles o inconsistentes, priorizar la inversión y hacer un seguimiento de la mejora, pero no se debe utilizar para justificar el incumplimiento, posponer los controles obligatorios, o promedio de fracasos críticos.</w:t>
      </w:r>
    </w:p>
    <w:bookmarkEnd w:id="1364"/>
    <w:bookmarkStart w:id="1370" w:name="niveles-de-vencimiento"/>
    <w:p>
      <w:pPr>
        <w:pStyle w:val="Heading2"/>
      </w:pPr>
      <w:r>
        <w:rPr>
          <w:rStyle w:val="SectionNumber"/>
        </w:rPr>
        <w:t xml:space="preserve">1.1319</w:t>
      </w:r>
      <w:r>
        <w:tab/>
      </w:r>
      <w:r>
        <w:t xml:space="preserve">Niveles de vencimiento</w:t>
      </w:r>
    </w:p>
    <w:bookmarkStart w:id="1365" w:name="nivel-1-inicial"/>
    <w:p>
      <w:pPr>
        <w:pStyle w:val="Heading3"/>
      </w:pPr>
      <w:r>
        <w:rPr>
          <w:rStyle w:val="SectionNumber"/>
        </w:rPr>
        <w:t xml:space="preserve">1.1319.1</w:t>
      </w:r>
      <w:r>
        <w:tab/>
      </w:r>
      <w:r>
        <w:t xml:space="preserve">Nivel 1 — Inicial</w:t>
      </w:r>
    </w:p>
    <w:p>
      <w:pPr>
        <w:pStyle w:val="FirstParagraph"/>
      </w:pPr>
      <w:r>
        <w:t xml:space="preserve">Características:</w:t>
      </w:r>
    </w:p>
    <w:p>
      <w:pPr>
        <w:numPr>
          <w:ilvl w:val="0"/>
          <w:numId w:val="1455"/>
        </w:numPr>
        <w:pStyle w:val="Compact"/>
      </w:pPr>
      <w:r>
        <w:t xml:space="preserve">El uso de la IA se descentraliza o no se comprende bien;</w:t>
      </w:r>
    </w:p>
    <w:p>
      <w:pPr>
        <w:numPr>
          <w:ilvl w:val="0"/>
          <w:numId w:val="1455"/>
        </w:numPr>
        <w:pStyle w:val="Compact"/>
      </w:pPr>
      <w:r>
        <w:t xml:space="preserve">los inventarios y la propiedad son incompletos;</w:t>
      </w:r>
    </w:p>
    <w:p>
      <w:pPr>
        <w:numPr>
          <w:ilvl w:val="0"/>
          <w:numId w:val="1455"/>
        </w:numPr>
        <w:pStyle w:val="Compact"/>
      </w:pPr>
      <w:r>
        <w:t xml:space="preserve">las decisiones y controles sean reactivos y dependientes de la persona;</w:t>
      </w:r>
    </w:p>
    <w:p>
      <w:pPr>
        <w:numPr>
          <w:ilvl w:val="0"/>
          <w:numId w:val="1455"/>
        </w:numPr>
        <w:pStyle w:val="Compact"/>
      </w:pPr>
      <w:r>
        <w:t xml:space="preserve">la documentación y las pruebas son inconsistentes;</w:t>
      </w:r>
    </w:p>
    <w:p>
      <w:pPr>
        <w:numPr>
          <w:ilvl w:val="0"/>
          <w:numId w:val="1455"/>
        </w:numPr>
        <w:pStyle w:val="Compact"/>
      </w:pPr>
      <w:r>
        <w:t xml:space="preserve">la clasificación jurídica se produce a menudo sólo después de que surgen problemas;</w:t>
      </w:r>
    </w:p>
    <w:p>
      <w:pPr>
        <w:numPr>
          <w:ilvl w:val="0"/>
          <w:numId w:val="1455"/>
        </w:numPr>
        <w:pStyle w:val="Compact"/>
      </w:pPr>
      <w:r>
        <w:t xml:space="preserve">los incidentes, las quejas y los cambios se tratan de manera informal.</w:t>
      </w:r>
    </w:p>
    <w:bookmarkEnd w:id="1365"/>
    <w:bookmarkStart w:id="1366" w:name="nivel-2-desarrollo"/>
    <w:p>
      <w:pPr>
        <w:pStyle w:val="Heading3"/>
      </w:pPr>
      <w:r>
        <w:rPr>
          <w:rStyle w:val="SectionNumber"/>
        </w:rPr>
        <w:t xml:space="preserve">1.1319.2</w:t>
      </w:r>
      <w:r>
        <w:tab/>
      </w:r>
      <w:r>
        <w:t xml:space="preserve">Nivel 2 — Desarrollo</w:t>
      </w:r>
    </w:p>
    <w:p>
      <w:pPr>
        <w:pStyle w:val="FirstParagraph"/>
      </w:pPr>
      <w:r>
        <w:t xml:space="preserve">Características:</w:t>
      </w:r>
    </w:p>
    <w:p>
      <w:pPr>
        <w:numPr>
          <w:ilvl w:val="0"/>
          <w:numId w:val="1456"/>
        </w:numPr>
        <w:pStyle w:val="Compact"/>
      </w:pPr>
      <w:r>
        <w:t xml:space="preserve">están surgiendo funciones de gobernanza y políticas básicas;</w:t>
      </w:r>
    </w:p>
    <w:p>
      <w:pPr>
        <w:numPr>
          <w:ilvl w:val="0"/>
          <w:numId w:val="1456"/>
        </w:numPr>
        <w:pStyle w:val="Compact"/>
      </w:pPr>
      <w:r>
        <w:t xml:space="preserve">se inventarian los sistemas prioritarios;</w:t>
      </w:r>
    </w:p>
    <w:p>
      <w:pPr>
        <w:numPr>
          <w:ilvl w:val="0"/>
          <w:numId w:val="1456"/>
        </w:numPr>
        <w:pStyle w:val="Compact"/>
      </w:pPr>
    </w:p>
    <w:p>
      <w:pPr>
        <w:numPr>
          <w:ilvl w:val="1"/>
          <w:numId w:val="1457"/>
        </w:numPr>
        <w:pStyle w:val="Compact"/>
      </w:pPr>
      <w:r>
        <w:t xml:space="preserve">Se han iniciado los exámenes de admisión, las prácticas prohibidas y los exámenes de alto riesgo;</w:t>
      </w:r>
    </w:p>
    <w:p>
      <w:pPr>
        <w:numPr>
          <w:ilvl w:val="0"/>
          <w:numId w:val="1456"/>
        </w:numPr>
        <w:pStyle w:val="Compact"/>
      </w:pPr>
      <w:r>
        <w:t xml:space="preserve">existen controles para determinados sistemas, pero su funcionamiento es inconsistente;</w:t>
      </w:r>
    </w:p>
    <w:p>
      <w:pPr>
        <w:numPr>
          <w:ilvl w:val="0"/>
          <w:numId w:val="1456"/>
        </w:numPr>
        <w:pStyle w:val="Compact"/>
      </w:pPr>
      <w:r>
        <w:t xml:space="preserve">la formación está disponible, pero no se basa plenamente en las funciones;</w:t>
      </w:r>
    </w:p>
    <w:p>
      <w:pPr>
        <w:numPr>
          <w:ilvl w:val="0"/>
          <w:numId w:val="1456"/>
        </w:numPr>
        <w:pStyle w:val="Compact"/>
      </w:pPr>
      <w:r>
        <w:t xml:space="preserve">La rehabilitación y la garantía siguen siendo incompletas.</w:t>
      </w:r>
    </w:p>
    <w:bookmarkEnd w:id="1366"/>
    <w:bookmarkStart w:id="1367" w:name="nivel-3-definido"/>
    <w:p>
      <w:pPr>
        <w:pStyle w:val="Heading3"/>
      </w:pPr>
      <w:r>
        <w:rPr>
          <w:rStyle w:val="SectionNumber"/>
        </w:rPr>
        <w:t xml:space="preserve">1.1319.3</w:t>
      </w:r>
      <w:r>
        <w:tab/>
      </w:r>
      <w:r>
        <w:t xml:space="preserve">Nivel 3 — Definido</w:t>
      </w:r>
    </w:p>
    <w:p>
      <w:pPr>
        <w:pStyle w:val="FirstParagraph"/>
      </w:pPr>
      <w:r>
        <w:t xml:space="preserve">Características:</w:t>
      </w:r>
    </w:p>
    <w:p>
      <w:pPr>
        <w:numPr>
          <w:ilvl w:val="0"/>
          <w:numId w:val="1458"/>
        </w:numPr>
        <w:pStyle w:val="Compact"/>
      </w:pPr>
      <w:r>
        <w:t xml:space="preserve">se aprueban la política empresarial, las funciones y los derechos de decisión;</w:t>
      </w:r>
    </w:p>
    <w:p>
      <w:pPr>
        <w:numPr>
          <w:ilvl w:val="0"/>
          <w:numId w:val="1458"/>
        </w:numPr>
        <w:pStyle w:val="Compact"/>
      </w:pPr>
      <w:r>
        <w:t xml:space="preserve">los sistemas de materiales son inventariados y clasificados;</w:t>
      </w:r>
    </w:p>
    <w:p>
      <w:pPr>
        <w:numPr>
          <w:ilvl w:val="0"/>
          <w:numId w:val="1458"/>
        </w:numPr>
        <w:pStyle w:val="Compact"/>
      </w:pPr>
      <w:r>
        <w:t xml:space="preserve">se estandaricen las puertas del ciclo de vida y las normas sobre pruebas;</w:t>
      </w:r>
    </w:p>
    <w:p>
      <w:pPr>
        <w:numPr>
          <w:ilvl w:val="0"/>
          <w:numId w:val="1458"/>
        </w:numPr>
        <w:pStyle w:val="Compact"/>
      </w:pPr>
      <w:r>
        <w:t xml:space="preserve">se definan la propiedad del control y la frecuencia;</w:t>
      </w:r>
    </w:p>
    <w:p>
      <w:pPr>
        <w:numPr>
          <w:ilvl w:val="0"/>
          <w:numId w:val="1458"/>
        </w:numPr>
        <w:pStyle w:val="Compact"/>
      </w:pPr>
      <w:r>
        <w:t xml:space="preserve">la privacidad, la seguridad, los datos, el proveedor, la transparencia y los controles de supervisión humana están integrados;</w:t>
      </w:r>
    </w:p>
    <w:p>
      <w:pPr>
        <w:numPr>
          <w:ilvl w:val="0"/>
          <w:numId w:val="1458"/>
        </w:numPr>
        <w:pStyle w:val="Compact"/>
      </w:pPr>
      <w:r>
        <w:t xml:space="preserve">los resultados, las excepciones y el riesgo residual están regulados;</w:t>
      </w:r>
    </w:p>
    <w:p>
      <w:pPr>
        <w:numPr>
          <w:ilvl w:val="0"/>
          <w:numId w:val="1458"/>
        </w:numPr>
        <w:pStyle w:val="Compact"/>
      </w:pPr>
      <w:r>
        <w:t xml:space="preserve">se establecen informes de gestión y planificación de las garantías.</w:t>
      </w:r>
    </w:p>
    <w:bookmarkEnd w:id="1367"/>
    <w:bookmarkStart w:id="1368" w:name="nivel-4-gestionado"/>
    <w:p>
      <w:pPr>
        <w:pStyle w:val="Heading3"/>
      </w:pPr>
      <w:r>
        <w:rPr>
          <w:rStyle w:val="SectionNumber"/>
        </w:rPr>
        <w:t xml:space="preserve">1.1319.4</w:t>
      </w:r>
      <w:r>
        <w:tab/>
      </w:r>
      <w:r>
        <w:t xml:space="preserve">Nivel 4 — Gestionado</w:t>
      </w:r>
    </w:p>
    <w:p>
      <w:pPr>
        <w:pStyle w:val="FirstParagraph"/>
      </w:pPr>
      <w:r>
        <w:t xml:space="preserve">Características:</w:t>
      </w:r>
    </w:p>
    <w:p>
      <w:pPr>
        <w:numPr>
          <w:ilvl w:val="0"/>
          <w:numId w:val="1459"/>
        </w:numPr>
        <w:pStyle w:val="Compact"/>
      </w:pPr>
      <w:r>
        <w:t xml:space="preserve">los controles funcionan de manera coherente en todas las unidades y jurisdicciones empresariales importantes;</w:t>
      </w:r>
    </w:p>
    <w:p>
      <w:pPr>
        <w:numPr>
          <w:ilvl w:val="0"/>
          <w:numId w:val="1459"/>
        </w:numPr>
        <w:pStyle w:val="Compact"/>
      </w:pPr>
      <w:r>
        <w:t xml:space="preserve">se utilicen el seguimiento, los umbrales, las métricas y la escalada;</w:t>
      </w:r>
    </w:p>
    <w:p>
      <w:pPr>
        <w:numPr>
          <w:ilvl w:val="0"/>
          <w:numId w:val="1459"/>
        </w:numPr>
        <w:pStyle w:val="Compact"/>
      </w:pPr>
      <w:r>
        <w:t xml:space="preserve">el modelo, los datos, el proveedor, la finalidad y los cambios legales desencadenan la reevaluación;</w:t>
      </w:r>
    </w:p>
    <w:p>
      <w:pPr>
        <w:numPr>
          <w:ilvl w:val="0"/>
          <w:numId w:val="1459"/>
        </w:numPr>
        <w:pStyle w:val="Compact"/>
      </w:pPr>
      <w:r>
        <w:t xml:space="preserve">la validación técnica y los ensayos de eficacia operativa son rutinarios;</w:t>
      </w:r>
    </w:p>
    <w:p>
      <w:pPr>
        <w:numPr>
          <w:ilvl w:val="0"/>
          <w:numId w:val="1459"/>
        </w:numPr>
        <w:pStyle w:val="Compact"/>
      </w:pPr>
      <w:r>
        <w:t xml:space="preserve">las pruebas están vinculadas a versiones, son fiables y son recuperables;</w:t>
      </w:r>
    </w:p>
    <w:p>
      <w:pPr>
        <w:numPr>
          <w:ilvl w:val="0"/>
          <w:numId w:val="1459"/>
        </w:numPr>
        <w:pStyle w:val="Compact"/>
      </w:pPr>
      <w:r>
        <w:t xml:space="preserve">los ejecutivos y el consejo de administración reciben informes de riesgo justificables;</w:t>
      </w:r>
    </w:p>
    <w:p>
      <w:pPr>
        <w:numPr>
          <w:ilvl w:val="0"/>
          <w:numId w:val="1459"/>
        </w:numPr>
        <w:pStyle w:val="Compact"/>
      </w:pPr>
      <w:r>
        <w:t xml:space="preserve">se ejerza la preparación para la salida de los proveedores, la regulación, la continuidad y el incidente;</w:t>
      </w:r>
    </w:p>
    <w:p>
      <w:pPr>
        <w:numPr>
          <w:ilvl w:val="0"/>
          <w:numId w:val="1459"/>
        </w:numPr>
        <w:pStyle w:val="Compact"/>
      </w:pPr>
      <w:r>
        <w:t xml:space="preserve">los resultados repetidos se reducen activamente.</w:t>
      </w:r>
    </w:p>
    <w:bookmarkEnd w:id="1368"/>
    <w:bookmarkStart w:id="1369" w:name="nivel-5-optimización"/>
    <w:p>
      <w:pPr>
        <w:pStyle w:val="Heading3"/>
      </w:pPr>
      <w:r>
        <w:rPr>
          <w:rStyle w:val="SectionNumber"/>
        </w:rPr>
        <w:t xml:space="preserve">1.1319.5</w:t>
      </w:r>
      <w:r>
        <w:tab/>
      </w:r>
      <w:r>
        <w:t xml:space="preserve">Nivel 5 — Optimización</w:t>
      </w:r>
    </w:p>
    <w:p>
      <w:pPr>
        <w:pStyle w:val="FirstParagraph"/>
      </w:pPr>
      <w:r>
        <w:t xml:space="preserve">Características:</w:t>
      </w:r>
    </w:p>
    <w:p>
      <w:pPr>
        <w:numPr>
          <w:ilvl w:val="0"/>
          <w:numId w:val="1460"/>
        </w:numPr>
        <w:pStyle w:val="Compact"/>
      </w:pPr>
      <w:r>
        <w:t xml:space="preserve">la gobernanza está integrada en la estrategia, la adquisición, el diseño, el desarrollo, la liberación y las operaciones;</w:t>
      </w:r>
    </w:p>
    <w:p>
      <w:pPr>
        <w:numPr>
          <w:ilvl w:val="0"/>
          <w:numId w:val="1460"/>
        </w:numPr>
        <w:pStyle w:val="Compact"/>
      </w:pPr>
      <w:r>
        <w:t xml:space="preserve">la automatización fiable apoya el inventario, las pruebas, el seguimiento y las pruebas de control;</w:t>
      </w:r>
    </w:p>
    <w:p>
      <w:pPr>
        <w:numPr>
          <w:ilvl w:val="0"/>
          <w:numId w:val="1460"/>
        </w:numPr>
        <w:pStyle w:val="Compact"/>
      </w:pPr>
      <w:r>
        <w:t xml:space="preserve">los incidentes, las quejas, las auditorías, la respuesta de las personas afectadas y la evolución de la reglamentación impulsan el cambio;</w:t>
      </w:r>
    </w:p>
    <w:p>
      <w:pPr>
        <w:numPr>
          <w:ilvl w:val="0"/>
          <w:numId w:val="1460"/>
        </w:numPr>
        <w:pStyle w:val="Compact"/>
      </w:pPr>
      <w:r>
        <w:t xml:space="preserve">se analizan los riesgos intersistema, sistémicos, de concentración y de dependencia;</w:t>
      </w:r>
    </w:p>
    <w:p>
      <w:pPr>
        <w:numPr>
          <w:ilvl w:val="0"/>
          <w:numId w:val="1460"/>
        </w:numPr>
        <w:pStyle w:val="Compact"/>
      </w:pPr>
      <w:r>
        <w:t xml:space="preserve">los controles se refuercen, simplifiquen o retiren sobre la base de pruebas;</w:t>
      </w:r>
    </w:p>
    <w:p>
      <w:pPr>
        <w:numPr>
          <w:ilvl w:val="0"/>
          <w:numId w:val="1460"/>
        </w:numPr>
        <w:pStyle w:val="Compact"/>
      </w:pPr>
      <w:r>
        <w:t xml:space="preserve">la garantía es continua y responde a los riesgos;</w:t>
      </w:r>
    </w:p>
    <w:p>
      <w:pPr>
        <w:numPr>
          <w:ilvl w:val="0"/>
          <w:numId w:val="1460"/>
        </w:numPr>
        <w:pStyle w:val="Compact"/>
      </w:pPr>
      <w:r>
        <w:t xml:space="preserve">la organización se adapta rápidamente sin perder la responsabilidad, la trazabilidad legal o la integridad de las pruebas.</w:t>
      </w:r>
    </w:p>
    <w:bookmarkEnd w:id="1369"/>
    <w:bookmarkEnd w:id="1370"/>
    <w:bookmarkStart w:id="1371" w:name="ámbitos-de-evaluación"/>
    <w:p>
      <w:pPr>
        <w:pStyle w:val="Heading2"/>
      </w:pPr>
      <w:r>
        <w:rPr>
          <w:rStyle w:val="SectionNumber"/>
        </w:rPr>
        <w:t xml:space="preserve">1.1320</w:t>
      </w:r>
      <w:r>
        <w:tab/>
      </w:r>
      <w:r>
        <w:t xml:space="preserve">Ámbitos de evaluación</w:t>
      </w:r>
    </w:p>
    <w:p>
      <w:pPr>
        <w:pStyle w:val="FirstParagraph"/>
      </w:pPr>
      <w:r>
        <w:t xml:space="preserve">Evaluar el vencimiento al menos en:</w:t>
      </w:r>
    </w:p>
    <w:p>
      <w:pPr>
        <w:numPr>
          <w:ilvl w:val="0"/>
          <w:numId w:val="1461"/>
        </w:numPr>
        <w:pStyle w:val="Compact"/>
      </w:pPr>
      <w:r>
        <w:t xml:space="preserve">gobernanza, rendición de cuentas y supervisión del consejo de administración;</w:t>
      </w:r>
    </w:p>
    <w:p>
      <w:pPr>
        <w:numPr>
          <w:ilvl w:val="0"/>
          <w:numId w:val="1461"/>
        </w:numPr>
        <w:pStyle w:val="Compact"/>
      </w:pPr>
      <w:r>
        <w:t xml:space="preserve">Inventario de IA, propiedad e ingesta del ciclo de vida;</w:t>
      </w:r>
    </w:p>
    <w:p>
      <w:pPr>
        <w:numPr>
          <w:ilvl w:val="0"/>
          <w:numId w:val="1461"/>
        </w:numPr>
        <w:pStyle w:val="Compact"/>
      </w:pPr>
      <w:r>
        <w:t xml:space="preserve">aplicabilidad jurídica, función de actor, prácticas prohibidas y clasificación de alto riesgo;</w:t>
      </w:r>
    </w:p>
    <w:p>
      <w:pPr>
        <w:numPr>
          <w:ilvl w:val="0"/>
          <w:numId w:val="1461"/>
        </w:numPr>
        <w:pStyle w:val="Compact"/>
      </w:pPr>
      <w:r>
        <w:t xml:space="preserve">el riesgo, la seguridad y la gestión de los derechos fundamentales;</w:t>
      </w:r>
    </w:p>
    <w:p>
      <w:pPr>
        <w:numPr>
          <w:ilvl w:val="0"/>
          <w:numId w:val="1461"/>
        </w:numPr>
        <w:pStyle w:val="Compact"/>
      </w:pPr>
      <w:r>
        <w:t xml:space="preserve">gobernanza, privacidad y linaje de los datos;</w:t>
      </w:r>
    </w:p>
    <w:p>
      <w:pPr>
        <w:numPr>
          <w:ilvl w:val="0"/>
          <w:numId w:val="1461"/>
        </w:numPr>
        <w:pStyle w:val="Compact"/>
      </w:pPr>
      <w:r>
        <w:t xml:space="preserve">desarrollo seguro, documentación técnica, validación y control de cambios;</w:t>
      </w:r>
    </w:p>
    <w:p>
      <w:pPr>
        <w:numPr>
          <w:ilvl w:val="0"/>
          <w:numId w:val="1461"/>
        </w:numPr>
        <w:pStyle w:val="Compact"/>
      </w:pPr>
      <w:r>
        <w:t xml:space="preserve">supervisión humana, transparencia, accesibilidad y comunicación entre las personas afectadas;</w:t>
      </w:r>
    </w:p>
    <w:p>
      <w:pPr>
        <w:numPr>
          <w:ilvl w:val="0"/>
          <w:numId w:val="1461"/>
        </w:numPr>
        <w:pStyle w:val="Compact"/>
      </w:pPr>
      <w:r>
        <w:t xml:space="preserve">seguridad cibernética, resiliencia, continuidad y respuesta a incidentes;</w:t>
      </w:r>
    </w:p>
    <w:p>
      <w:pPr>
        <w:numPr>
          <w:ilvl w:val="0"/>
          <w:numId w:val="1461"/>
        </w:numPr>
        <w:pStyle w:val="Compact"/>
      </w:pPr>
      <w:r>
        <w:t xml:space="preserve">gobernanza de proveedores, componentes, concentración y dependencia;</w:t>
      </w:r>
    </w:p>
    <w:p>
      <w:pPr>
        <w:numPr>
          <w:ilvl w:val="0"/>
          <w:numId w:val="1461"/>
        </w:numPr>
        <w:pStyle w:val="Compact"/>
      </w:pPr>
      <w:r>
        <w:t xml:space="preserve">seguimiento, quejas, medidas correctoras y procesos posteriores a la comercialización;</w:t>
      </w:r>
    </w:p>
    <w:p>
      <w:pPr>
        <w:numPr>
          <w:ilvl w:val="0"/>
          <w:numId w:val="1461"/>
        </w:numPr>
        <w:pStyle w:val="Compact"/>
      </w:pPr>
      <w:r>
        <w:t xml:space="preserve">diseño de control, pruebas, mantenimiento de registros, pruebas y garantía interna;</w:t>
      </w:r>
    </w:p>
    <w:p>
      <w:pPr>
        <w:numPr>
          <w:ilvl w:val="0"/>
          <w:numId w:val="1461"/>
        </w:numPr>
        <w:pStyle w:val="Compact"/>
      </w:pPr>
      <w:r>
        <w:t xml:space="preserve">conformidad y preparación normativa;</w:t>
      </w:r>
    </w:p>
    <w:p>
      <w:pPr>
        <w:numPr>
          <w:ilvl w:val="0"/>
          <w:numId w:val="1461"/>
        </w:numPr>
        <w:pStyle w:val="Compact"/>
      </w:pPr>
    </w:p>
    <w:p>
      <w:pPr>
        <w:numPr>
          <w:ilvl w:val="1"/>
          <w:numId w:val="1462"/>
        </w:numPr>
        <w:pStyle w:val="Compact"/>
      </w:pPr>
      <w:r>
        <w:t xml:space="preserve">Alfabetización y competencia de la IA;</w:t>
      </w:r>
    </w:p>
    <w:p>
      <w:pPr>
        <w:numPr>
          <w:ilvl w:val="0"/>
          <w:numId w:val="1461"/>
        </w:numPr>
        <w:pStyle w:val="Compact"/>
      </w:pPr>
      <w:r>
        <w:t xml:space="preserve">despliegue multijurisdiccional;</w:t>
      </w:r>
    </w:p>
    <w:p>
      <w:pPr>
        <w:numPr>
          <w:ilvl w:val="0"/>
          <w:numId w:val="1461"/>
        </w:numPr>
        <w:pStyle w:val="Compact"/>
      </w:pPr>
      <w:r>
        <w:t xml:space="preserve">mejora continua y exploración del horizonte.</w:t>
      </w:r>
    </w:p>
    <w:bookmarkEnd w:id="1371"/>
    <w:bookmarkStart w:id="1372" w:name="principios-de-calificación"/>
    <w:p>
      <w:pPr>
        <w:pStyle w:val="Heading2"/>
      </w:pPr>
      <w:r>
        <w:rPr>
          <w:rStyle w:val="SectionNumber"/>
        </w:rPr>
        <w:t xml:space="preserve">1.1321</w:t>
      </w:r>
      <w:r>
        <w:tab/>
      </w:r>
      <w:r>
        <w:t xml:space="preserve">Principios de calificación</w:t>
      </w:r>
    </w:p>
    <w:p>
      <w:pPr>
        <w:pStyle w:val="FirstParagraph"/>
      </w:pPr>
      <w:r>
        <w:t xml:space="preserve">Utilice la puntuación conservadora:</w:t>
      </w:r>
    </w:p>
    <w:p>
      <w:pPr>
        <w:numPr>
          <w:ilvl w:val="0"/>
          <w:numId w:val="1463"/>
        </w:numPr>
        <w:pStyle w:val="Compact"/>
      </w:pPr>
      <w:r>
        <w:t xml:space="preserve">anotar cada dominio por separado;</w:t>
      </w:r>
    </w:p>
    <w:p>
      <w:pPr>
        <w:numPr>
          <w:ilvl w:val="0"/>
          <w:numId w:val="1463"/>
        </w:numPr>
        <w:pStyle w:val="Compact"/>
      </w:pPr>
      <w:r>
        <w:t xml:space="preserve">exigir pruebas objetivas y actuales;</w:t>
      </w:r>
    </w:p>
    <w:p>
      <w:pPr>
        <w:numPr>
          <w:ilvl w:val="0"/>
          <w:numId w:val="1463"/>
        </w:numPr>
        <w:pStyle w:val="Compact"/>
      </w:pPr>
      <w:r>
        <w:t xml:space="preserve">distinguir el vencimiento del diseño del vencimiento de explotación;</w:t>
      </w:r>
    </w:p>
    <w:p>
      <w:pPr>
        <w:numPr>
          <w:ilvl w:val="0"/>
          <w:numId w:val="1463"/>
        </w:numPr>
        <w:pStyle w:val="Compact"/>
      </w:pPr>
      <w:r>
        <w:t xml:space="preserve">utilizar el nivel más bajo fiablemente demostrado cuando las prácticas varían significativamente;</w:t>
      </w:r>
    </w:p>
    <w:p>
      <w:pPr>
        <w:numPr>
          <w:ilvl w:val="0"/>
          <w:numId w:val="1463"/>
        </w:numPr>
        <w:pStyle w:val="Compact"/>
      </w:pPr>
      <w:r>
        <w:t xml:space="preserve">el ámbito de aplicación, los supuestos, las excepciones, las limitaciones y la confianza;</w:t>
      </w:r>
    </w:p>
    <w:p>
      <w:pPr>
        <w:numPr>
          <w:ilvl w:val="0"/>
          <w:numId w:val="1463"/>
        </w:numPr>
        <w:pStyle w:val="Compact"/>
      </w:pPr>
      <w:r>
        <w:t xml:space="preserve">no presentan deficiencias jurídicas o de seguridad críticas en promedio;</w:t>
      </w:r>
    </w:p>
    <w:p>
      <w:pPr>
        <w:numPr>
          <w:ilvl w:val="0"/>
          <w:numId w:val="1463"/>
        </w:numPr>
        <w:pStyle w:val="Compact"/>
      </w:pPr>
      <w:r>
        <w:t xml:space="preserve">no permitan que una documentación sólida compense la ineficacia de la operación;</w:t>
      </w:r>
    </w:p>
    <w:p>
      <w:pPr>
        <w:numPr>
          <w:ilvl w:val="0"/>
          <w:numId w:val="1463"/>
        </w:numPr>
        <w:pStyle w:val="Compact"/>
      </w:pPr>
      <w:r>
        <w:t xml:space="preserve">evaluar los sistemas críticos y las jurisdicciones por separado cuando sea necesario;</w:t>
      </w:r>
    </w:p>
    <w:p>
      <w:pPr>
        <w:numPr>
          <w:ilvl w:val="0"/>
          <w:numId w:val="1463"/>
        </w:numPr>
        <w:pStyle w:val="Compact"/>
      </w:pPr>
      <w:r>
        <w:t xml:space="preserve">informar de las lagunas legales obligatorias independientemente de las calificaciones de vencimiento;</w:t>
      </w:r>
    </w:p>
    <w:p>
      <w:pPr>
        <w:numPr>
          <w:ilvl w:val="0"/>
          <w:numId w:val="1463"/>
        </w:numPr>
        <w:pStyle w:val="Compact"/>
      </w:pPr>
      <w:r>
        <w:t xml:space="preserve">no traten los puntajes de madurez como conclusiones legales o certificación de cumplimiento.</w:t>
      </w:r>
    </w:p>
    <w:bookmarkEnd w:id="1372"/>
    <w:bookmarkStart w:id="1373" w:name="evidencias-esperadas"/>
    <w:p>
      <w:pPr>
        <w:pStyle w:val="Heading2"/>
      </w:pPr>
      <w:r>
        <w:rPr>
          <w:rStyle w:val="SectionNumber"/>
        </w:rPr>
        <w:t xml:space="preserve">1.1322</w:t>
      </w:r>
      <w:r>
        <w:tab/>
      </w:r>
      <w:r>
        <w:t xml:space="preserve">Evidencias esperadas</w:t>
      </w:r>
    </w:p>
    <w:p>
      <w:pPr>
        <w:pStyle w:val="FirstParagraph"/>
      </w:pPr>
      <w:r>
        <w:t xml:space="preserve">Las pruebas pueden incluir:</w:t>
      </w:r>
    </w:p>
    <w:p>
      <w:pPr>
        <w:numPr>
          <w:ilvl w:val="0"/>
          <w:numId w:val="1464"/>
        </w:numPr>
        <w:pStyle w:val="Compact"/>
      </w:pPr>
      <w:r>
        <w:t xml:space="preserve">políticas, cartas y matrices de autoridad aprobadas;</w:t>
      </w:r>
    </w:p>
    <w:p>
      <w:pPr>
        <w:numPr>
          <w:ilvl w:val="0"/>
          <w:numId w:val="1464"/>
        </w:numPr>
        <w:pStyle w:val="Compact"/>
      </w:pPr>
      <w:r>
        <w:t xml:space="preserve">inventarios, evaluaciones de funciones y registros de clasificación;</w:t>
      </w:r>
    </w:p>
    <w:p>
      <w:pPr>
        <w:numPr>
          <w:ilvl w:val="0"/>
          <w:numId w:val="1464"/>
        </w:numPr>
        <w:pStyle w:val="Compact"/>
      </w:pPr>
      <w:r>
        <w:t xml:space="preserve">los registros de control y las cesiones de propiedad;</w:t>
      </w:r>
    </w:p>
    <w:p>
      <w:pPr>
        <w:numPr>
          <w:ilvl w:val="0"/>
          <w:numId w:val="1464"/>
        </w:numPr>
        <w:pStyle w:val="Compact"/>
      </w:pPr>
      <w:r>
        <w:t xml:space="preserve">los riesgos, el impacto, la privacidad, la seguridad y las evaluaciones jurídicas;</w:t>
      </w:r>
    </w:p>
    <w:p>
      <w:pPr>
        <w:numPr>
          <w:ilvl w:val="0"/>
          <w:numId w:val="1464"/>
        </w:numPr>
        <w:pStyle w:val="Compact"/>
      </w:pPr>
      <w:r>
        <w:t xml:space="preserve">los registros de formación y competencia;</w:t>
      </w:r>
    </w:p>
    <w:p>
      <w:pPr>
        <w:numPr>
          <w:ilvl w:val="0"/>
          <w:numId w:val="1464"/>
        </w:numPr>
        <w:pStyle w:val="Compact"/>
      </w:pPr>
      <w:r>
        <w:t xml:space="preserve">pruebas, seguimiento, incidentes, quejas y datos de rendimiento;</w:t>
      </w:r>
    </w:p>
    <w:p>
      <w:pPr>
        <w:numPr>
          <w:ilvl w:val="0"/>
          <w:numId w:val="1464"/>
        </w:numPr>
        <w:pStyle w:val="Compact"/>
      </w:pPr>
      <w:r>
        <w:t xml:space="preserve">los registros de proveedores, contratos, derechos de auditoría y continuidad;</w:t>
      </w:r>
    </w:p>
    <w:p>
      <w:pPr>
        <w:numPr>
          <w:ilvl w:val="0"/>
          <w:numId w:val="1464"/>
        </w:numPr>
        <w:pStyle w:val="Compact"/>
      </w:pPr>
      <w:r>
        <w:t xml:space="preserve">informes de auditoría y garantía;</w:t>
      </w:r>
    </w:p>
    <w:p>
      <w:pPr>
        <w:numPr>
          <w:ilvl w:val="0"/>
          <w:numId w:val="1464"/>
        </w:numPr>
        <w:pStyle w:val="Compact"/>
      </w:pPr>
      <w:r>
        <w:t xml:space="preserve">las conclusiones, excepciones, medidas correctivas y pruebas de cierre;</w:t>
      </w:r>
    </w:p>
    <w:p>
      <w:pPr>
        <w:numPr>
          <w:ilvl w:val="0"/>
          <w:numId w:val="1464"/>
        </w:numPr>
        <w:pStyle w:val="Compact"/>
      </w:pPr>
      <w:r>
        <w:t xml:space="preserve">materiales de dirección y de administración;</w:t>
      </w:r>
    </w:p>
    <w:p>
      <w:pPr>
        <w:numPr>
          <w:ilvl w:val="0"/>
          <w:numId w:val="1464"/>
        </w:numPr>
        <w:pStyle w:val="Compact"/>
      </w:pPr>
      <w:r>
        <w:t xml:space="preserve">correspondencia regulatoria y resultados de ejercicio.</w:t>
      </w:r>
    </w:p>
    <w:bookmarkEnd w:id="1373"/>
    <w:bookmarkStart w:id="1374" w:name="análisis-de-brechas-y-estado-objetivo"/>
    <w:p>
      <w:pPr>
        <w:pStyle w:val="Heading2"/>
      </w:pPr>
      <w:r>
        <w:rPr>
          <w:rStyle w:val="SectionNumber"/>
        </w:rPr>
        <w:t xml:space="preserve">1.1323</w:t>
      </w:r>
      <w:r>
        <w:tab/>
      </w:r>
      <w:r>
        <w:t xml:space="preserve">Análisis de brechas y estado objetivo</w:t>
      </w:r>
    </w:p>
    <w:p>
      <w:pPr>
        <w:pStyle w:val="FirstParagraph"/>
      </w:pPr>
      <w:r>
        <w:t xml:space="preserve">Para cada dominio:</w:t>
      </w:r>
    </w:p>
    <w:p>
      <w:pPr>
        <w:numPr>
          <w:ilvl w:val="0"/>
          <w:numId w:val="1465"/>
        </w:numPr>
        <w:pStyle w:val="Compact"/>
      </w:pPr>
      <w:r>
        <w:t xml:space="preserve">documentar el nivel actual;</w:t>
      </w:r>
    </w:p>
    <w:p>
      <w:pPr>
        <w:numPr>
          <w:ilvl w:val="0"/>
          <w:numId w:val="1465"/>
        </w:numPr>
        <w:pStyle w:val="Compact"/>
      </w:pPr>
      <w:r>
        <w:t xml:space="preserve">identificar las pruebas de apoyo y la confianza;</w:t>
      </w:r>
    </w:p>
    <w:p>
      <w:pPr>
        <w:numPr>
          <w:ilvl w:val="0"/>
          <w:numId w:val="1465"/>
        </w:numPr>
        <w:pStyle w:val="Compact"/>
      </w:pPr>
      <w:r>
        <w:t xml:space="preserve">registrar las lagunas legales o de control obligatorias por separado;</w:t>
      </w:r>
    </w:p>
    <w:p>
      <w:pPr>
        <w:numPr>
          <w:ilvl w:val="0"/>
          <w:numId w:val="1465"/>
        </w:numPr>
        <w:pStyle w:val="Compact"/>
      </w:pPr>
      <w:r>
        <w:t xml:space="preserve">definir el nivel objetivo en función del riesgo, las obligaciones, la escala y la complejidad;</w:t>
      </w:r>
    </w:p>
    <w:p>
      <w:pPr>
        <w:numPr>
          <w:ilvl w:val="0"/>
          <w:numId w:val="1465"/>
        </w:numPr>
        <w:pStyle w:val="Compact"/>
      </w:pPr>
      <w:r>
        <w:t xml:space="preserve">identificar la brecha y la causa raíz;</w:t>
      </w:r>
    </w:p>
    <w:p>
      <w:pPr>
        <w:numPr>
          <w:ilvl w:val="0"/>
          <w:numId w:val="1465"/>
        </w:numPr>
        <w:pStyle w:val="Compact"/>
      </w:pPr>
      <w:r>
        <w:t xml:space="preserve">asignar acciones responsables, recursos, dependencias y plazos;</w:t>
      </w:r>
    </w:p>
    <w:p>
      <w:pPr>
        <w:numPr>
          <w:ilvl w:val="0"/>
          <w:numId w:val="1465"/>
        </w:numPr>
        <w:pStyle w:val="Compact"/>
      </w:pPr>
      <w:r>
        <w:t xml:space="preserve">definir criterios mensurables de terminación y validación;</w:t>
      </w:r>
    </w:p>
    <w:p>
      <w:pPr>
        <w:numPr>
          <w:ilvl w:val="0"/>
          <w:numId w:val="1465"/>
        </w:numPr>
        <w:pStyle w:val="Compact"/>
      </w:pPr>
      <w:r>
        <w:t xml:space="preserve">reevaluar después de la implementación o el cambio material.</w:t>
      </w:r>
    </w:p>
    <w:p>
      <w:pPr>
        <w:pStyle w:val="FirstParagraph"/>
      </w:pPr>
      <w:r>
        <w:t xml:space="preserve">No todos los dominios necesitan Nivel 5. El objetivo debe ser proporcional a los deberes legales, el riesgo del sistema, las personas afectadas, la escala, la complejidad y el contexto organizacional.</w:t>
      </w:r>
    </w:p>
    <w:bookmarkEnd w:id="1374"/>
    <w:bookmarkStart w:id="1375" w:name="X99929af04d28f4534d79c33613dac6b0c5b1d7b"/>
    <w:p>
      <w:pPr>
        <w:pStyle w:val="Heading2"/>
      </w:pPr>
      <w:r>
        <w:rPr>
          <w:rStyle w:val="SectionNumber"/>
        </w:rPr>
        <w:t xml:space="preserve">1.1324</w:t>
      </w:r>
      <w:r>
        <w:tab/>
      </w:r>
      <w:r>
        <w:t xml:space="preserve">Ejemplo de servicios de viajes de GlobalWay</w:t>
      </w:r>
    </w:p>
    <w:p>
      <w:pPr>
        <w:pStyle w:val="FirstParagraph"/>
      </w:pPr>
      <w:r>
        <w:t xml:space="preserve">GlobalWay evalúa su programa como de nivel 3 en general. Se definen las aprobaciones de gobernanza, inventario y ciclo de vida, pero el seguimiento y la garantía varían de una región a otra. La validación técnica es de nivel 4 para los sistemas de contratación y fraude, mientras que la evidencia de los proveedores y la transparencia localizada siguen siendo de nivel 2 en varios países.</w:t>
      </w:r>
    </w:p>
    <w:p>
      <w:pPr>
        <w:pStyle w:val="BodyText"/>
      </w:pPr>
      <w:r>
        <w:t xml:space="preserve">GlobalWay no permite que el promedio general oculte una debilidad crítica en la supervisión del sistema de contratación. La junta recibe calificaciones a nivel de dominio, lagunas legales, confianza en la evidencia, propietarios de reparaciones, fechas límite y resultados de mejora validados de forma independiente.</w:t>
      </w:r>
    </w:p>
    <w:bookmarkEnd w:id="1375"/>
    <w:bookmarkStart w:id="1376" w:name="actividades-de-control-12"/>
    <w:p>
      <w:pPr>
        <w:pStyle w:val="Heading2"/>
      </w:pPr>
      <w:r>
        <w:rPr>
          <w:rStyle w:val="SectionNumber"/>
        </w:rPr>
        <w:t xml:space="preserve">1.1325</w:t>
      </w:r>
      <w:r>
        <w:tab/>
      </w:r>
      <w:r>
        <w:t xml:space="preserve">Actividades de control</w:t>
      </w:r>
    </w:p>
    <w:p>
      <w:pPr>
        <w:numPr>
          <w:ilvl w:val="0"/>
          <w:numId w:val="1466"/>
        </w:numPr>
        <w:pStyle w:val="Compact"/>
      </w:pPr>
      <w:r>
        <w:t xml:space="preserve">Aprobar un marco de madurez, definiciones de dominio y criterios de puntuación.</w:t>
      </w:r>
    </w:p>
    <w:p>
      <w:pPr>
        <w:numPr>
          <w:ilvl w:val="0"/>
          <w:numId w:val="1466"/>
        </w:numPr>
        <w:pStyle w:val="Compact"/>
      </w:pPr>
      <w:r>
        <w:t xml:space="preserve">Evaluar cada dominio utilizando pruebas objetivas y actuales.</w:t>
      </w:r>
    </w:p>
    <w:p>
      <w:pPr>
        <w:numPr>
          <w:ilvl w:val="0"/>
          <w:numId w:val="1466"/>
        </w:numPr>
        <w:pStyle w:val="Compact"/>
      </w:pPr>
      <w:r>
        <w:t xml:space="preserve">Diseño, implementación y madurez operativa separados.</w:t>
      </w:r>
    </w:p>
    <w:p>
      <w:pPr>
        <w:numPr>
          <w:ilvl w:val="0"/>
          <w:numId w:val="1466"/>
        </w:numPr>
        <w:pStyle w:val="Compact"/>
      </w:pPr>
      <w:r>
        <w:t xml:space="preserve">Aplicar puntuaciones conservadoras y calificaciones de confianza.</w:t>
      </w:r>
    </w:p>
    <w:p>
      <w:pPr>
        <w:numPr>
          <w:ilvl w:val="0"/>
          <w:numId w:val="1466"/>
        </w:numPr>
        <w:pStyle w:val="Compact"/>
      </w:pPr>
      <w:r>
        <w:t xml:space="preserve">Informar de las lagunas legales obligatorias por separado y aumentarlas por gravedad.</w:t>
      </w:r>
    </w:p>
    <w:p>
      <w:pPr>
        <w:numPr>
          <w:ilvl w:val="0"/>
          <w:numId w:val="1466"/>
        </w:numPr>
        <w:pStyle w:val="Compact"/>
      </w:pPr>
      <w:r>
        <w:t xml:space="preserve">Definir los niveles objetivo basados en el riesgo.</w:t>
      </w:r>
    </w:p>
    <w:p>
      <w:pPr>
        <w:numPr>
          <w:ilvl w:val="0"/>
          <w:numId w:val="1466"/>
        </w:numPr>
        <w:pStyle w:val="Compact"/>
      </w:pPr>
      <w:r>
        <w:t xml:space="preserve">Vincular las lagunas con los planes de rehabilitación financiados y responsables.</w:t>
      </w:r>
    </w:p>
    <w:p>
      <w:pPr>
        <w:numPr>
          <w:ilvl w:val="0"/>
          <w:numId w:val="1466"/>
        </w:numPr>
        <w:pStyle w:val="Compact"/>
      </w:pPr>
      <w:r>
        <w:t xml:space="preserve">Informar de deficiencias críticas por separado de los promedios.</w:t>
      </w:r>
    </w:p>
    <w:p>
      <w:pPr>
        <w:numPr>
          <w:ilvl w:val="0"/>
          <w:numId w:val="1466"/>
        </w:numPr>
        <w:pStyle w:val="Compact"/>
      </w:pPr>
      <w:r>
        <w:t xml:space="preserve">Utilizar revisores cualificados y desafíos de gestión documentados.</w:t>
      </w:r>
    </w:p>
    <w:p>
      <w:pPr>
        <w:numPr>
          <w:ilvl w:val="0"/>
          <w:numId w:val="1466"/>
        </w:numPr>
        <w:pStyle w:val="Compact"/>
      </w:pPr>
      <w:r>
        <w:t xml:space="preserve">Reevaluar periódicamente y después del cambio material.</w:t>
      </w:r>
    </w:p>
    <w:bookmarkEnd w:id="1376"/>
    <w:bookmarkStart w:id="1377" w:name="pruebas-136"/>
    <w:p>
      <w:pPr>
        <w:pStyle w:val="Heading2"/>
      </w:pPr>
      <w:r>
        <w:rPr>
          <w:rStyle w:val="SectionNumber"/>
        </w:rPr>
        <w:t xml:space="preserve">1.1326</w:t>
      </w:r>
      <w:r>
        <w:tab/>
      </w:r>
      <w:r>
        <w:t xml:space="preserve">Pruebas</w:t>
      </w:r>
    </w:p>
    <w:p>
      <w:pPr>
        <w:numPr>
          <w:ilvl w:val="0"/>
          <w:numId w:val="1467"/>
        </w:numPr>
        <w:pStyle w:val="Compact"/>
      </w:pPr>
      <w:r>
        <w:t xml:space="preserve">metodología de vencimiento aprobada y criterios de dominio;</w:t>
      </w:r>
    </w:p>
    <w:p>
      <w:pPr>
        <w:numPr>
          <w:ilvl w:val="0"/>
          <w:numId w:val="1467"/>
        </w:numPr>
        <w:pStyle w:val="Compact"/>
      </w:pPr>
      <w:r>
        <w:t xml:space="preserve">los registros de competencia e independencia de los evaluadores;</w:t>
      </w:r>
    </w:p>
    <w:p>
      <w:pPr>
        <w:numPr>
          <w:ilvl w:val="0"/>
          <w:numId w:val="1467"/>
        </w:numPr>
        <w:pStyle w:val="Compact"/>
      </w:pPr>
      <w:r>
        <w:t xml:space="preserve">el índice de pruebas y las hojas de trabajo de puntuación;</w:t>
      </w:r>
    </w:p>
    <w:p>
      <w:pPr>
        <w:numPr>
          <w:ilvl w:val="0"/>
          <w:numId w:val="1467"/>
        </w:numPr>
        <w:pStyle w:val="Compact"/>
      </w:pPr>
      <w:r>
        <w:t xml:space="preserve">anotar la razón de ser, la confianza y los registros de limitación;</w:t>
      </w:r>
    </w:p>
    <w:p>
      <w:pPr>
        <w:numPr>
          <w:ilvl w:val="0"/>
          <w:numId w:val="1467"/>
        </w:numPr>
        <w:pStyle w:val="Compact"/>
      </w:pPr>
      <w:r>
        <w:t xml:space="preserve">el registro de las diferencias jurídicas;</w:t>
      </w:r>
    </w:p>
    <w:p>
      <w:pPr>
        <w:numPr>
          <w:ilvl w:val="0"/>
          <w:numId w:val="1467"/>
        </w:numPr>
        <w:pStyle w:val="Compact"/>
      </w:pPr>
      <w:r>
        <w:t xml:space="preserve">impugnación y aprobación de la gestión;</w:t>
      </w:r>
    </w:p>
    <w:p>
      <w:pPr>
        <w:numPr>
          <w:ilvl w:val="0"/>
          <w:numId w:val="1467"/>
        </w:numPr>
        <w:pStyle w:val="Compact"/>
      </w:pPr>
      <w:r>
        <w:t xml:space="preserve">análisis de las deficiencias y aprobaciones de los Estados beneficiarios;</w:t>
      </w:r>
    </w:p>
    <w:p>
      <w:pPr>
        <w:numPr>
          <w:ilvl w:val="0"/>
          <w:numId w:val="1467"/>
        </w:numPr>
        <w:pStyle w:val="Compact"/>
      </w:pPr>
      <w:r>
        <w:t xml:space="preserve">hoja de ruta de mejora financiada;</w:t>
      </w:r>
    </w:p>
    <w:p>
      <w:pPr>
        <w:numPr>
          <w:ilvl w:val="0"/>
          <w:numId w:val="1467"/>
        </w:numPr>
        <w:pStyle w:val="Compact"/>
      </w:pPr>
      <w:r>
        <w:t xml:space="preserve">informes ejecutivos y de los consejos de administración;</w:t>
      </w:r>
    </w:p>
    <w:p>
      <w:pPr>
        <w:numPr>
          <w:ilvl w:val="0"/>
          <w:numId w:val="1467"/>
        </w:numPr>
        <w:pStyle w:val="Compact"/>
      </w:pPr>
      <w:r>
        <w:t xml:space="preserve">reevaluación y resultados de las tendencias.</w:t>
      </w:r>
    </w:p>
    <w:bookmarkEnd w:id="1377"/>
    <w:bookmarkStart w:id="1378" w:name="pruebas-de-auditoría-12"/>
    <w:p>
      <w:pPr>
        <w:pStyle w:val="Heading2"/>
      </w:pPr>
      <w:r>
        <w:rPr>
          <w:rStyle w:val="SectionNumber"/>
        </w:rPr>
        <w:t xml:space="preserve">1.1327</w:t>
      </w:r>
      <w:r>
        <w:tab/>
      </w:r>
      <w:r>
        <w:t xml:space="preserve">Pruebas de auditoría</w:t>
      </w:r>
    </w:p>
    <w:p>
      <w:pPr>
        <w:numPr>
          <w:ilvl w:val="0"/>
          <w:numId w:val="1468"/>
        </w:numPr>
        <w:pStyle w:val="Compact"/>
      </w:pPr>
      <w:r>
        <w:t xml:space="preserve">Comprobar que los criterios de vencimiento se definen y aplican de manera coherente.</w:t>
      </w:r>
    </w:p>
    <w:p>
      <w:pPr>
        <w:numPr>
          <w:ilvl w:val="0"/>
          <w:numId w:val="1468"/>
        </w:numPr>
        <w:pStyle w:val="Compact"/>
      </w:pPr>
      <w:r>
        <w:t xml:space="preserve">Rastrear las calificaciones seleccionadas a pruebas objetivas y actuales.</w:t>
      </w:r>
    </w:p>
    <w:p>
      <w:pPr>
        <w:numPr>
          <w:ilvl w:val="0"/>
          <w:numId w:val="1468"/>
        </w:numPr>
        <w:pStyle w:val="Compact"/>
      </w:pPr>
      <w:r>
        <w:t xml:space="preserve">Se distinguen el diseño, la implementación y la madurez operativa.</w:t>
      </w:r>
    </w:p>
    <w:p>
      <w:pPr>
        <w:numPr>
          <w:ilvl w:val="0"/>
          <w:numId w:val="1468"/>
        </w:numPr>
        <w:pStyle w:val="Compact"/>
      </w:pPr>
      <w:r>
        <w:t xml:space="preserve">El examen de las deficiencias jurídicas, de seguridad, de derechos o de seguridad críticas se ocultó con el promedio.</w:t>
      </w:r>
    </w:p>
    <w:p>
      <w:pPr>
        <w:numPr>
          <w:ilvl w:val="0"/>
          <w:numId w:val="1468"/>
        </w:numPr>
        <w:pStyle w:val="Compact"/>
      </w:pPr>
      <w:r>
        <w:t xml:space="preserve">Evaluar si los niveles objetivo son proporcionales al riesgo y a las obligaciones.</w:t>
      </w:r>
    </w:p>
    <w:p>
      <w:pPr>
        <w:numPr>
          <w:ilvl w:val="0"/>
          <w:numId w:val="1468"/>
        </w:numPr>
        <w:pStyle w:val="Compact"/>
      </w:pPr>
      <w:r>
        <w:t xml:space="preserve">Trazar las brechas de madurez a acciones responsables, financiadas y medibles.</w:t>
      </w:r>
    </w:p>
    <w:p>
      <w:pPr>
        <w:numPr>
          <w:ilvl w:val="0"/>
          <w:numId w:val="1468"/>
        </w:numPr>
        <w:pStyle w:val="Compact"/>
      </w:pPr>
      <w:r>
        <w:t xml:space="preserve">Confirme que la mejora reportada fue independientemente soportable.</w:t>
      </w:r>
    </w:p>
    <w:p>
      <w:pPr>
        <w:numPr>
          <w:ilvl w:val="0"/>
          <w:numId w:val="1468"/>
        </w:numPr>
        <w:pStyle w:val="Compact"/>
      </w:pPr>
      <w:r>
        <w:t xml:space="preserve">Verificar que las calificaciones de vencimiento no estuvieran representadas como cumplimiento legal o certificación.</w:t>
      </w:r>
    </w:p>
    <w:bookmarkEnd w:id="1378"/>
    <w:bookmarkStart w:id="1379" w:name="métricas-13"/>
    <w:p>
      <w:pPr>
        <w:pStyle w:val="Heading2"/>
      </w:pPr>
      <w:r>
        <w:rPr>
          <w:rStyle w:val="SectionNumber"/>
        </w:rPr>
        <w:t xml:space="preserve">1.1328</w:t>
      </w:r>
      <w:r>
        <w:tab/>
      </w:r>
      <w:r>
        <w:t xml:space="preserve">Métricas</w:t>
      </w:r>
    </w:p>
    <w:p>
      <w:pPr>
        <w:numPr>
          <w:ilvl w:val="0"/>
          <w:numId w:val="1469"/>
        </w:numPr>
        <w:pStyle w:val="Compact"/>
      </w:pPr>
      <w:r>
        <w:t xml:space="preserve">nivel de madurez por dominio;</w:t>
      </w:r>
    </w:p>
    <w:p>
      <w:pPr>
        <w:numPr>
          <w:ilvl w:val="0"/>
          <w:numId w:val="1469"/>
        </w:numPr>
        <w:pStyle w:val="Compact"/>
      </w:pPr>
      <w:r>
        <w:t xml:space="preserve">dominios por debajo del objetivo;</w:t>
      </w:r>
    </w:p>
    <w:p>
      <w:pPr>
        <w:numPr>
          <w:ilvl w:val="0"/>
          <w:numId w:val="1469"/>
        </w:numPr>
        <w:pStyle w:val="Compact"/>
      </w:pPr>
      <w:r>
        <w:t xml:space="preserve">lagunas legales obligatorias por gravedad;</w:t>
      </w:r>
    </w:p>
    <w:p>
      <w:pPr>
        <w:numPr>
          <w:ilvl w:val="0"/>
          <w:numId w:val="1469"/>
        </w:numPr>
        <w:pStyle w:val="Compact"/>
      </w:pPr>
      <w:r>
        <w:t xml:space="preserve">dominios de alto riesgo en o por encima del objetivo aprobado;</w:t>
      </w:r>
    </w:p>
    <w:p>
      <w:pPr>
        <w:numPr>
          <w:ilvl w:val="0"/>
          <w:numId w:val="1469"/>
        </w:numPr>
        <w:pStyle w:val="Compact"/>
      </w:pPr>
      <w:r>
        <w:t xml:space="preserve">acciones de vencimiento vencidas;</w:t>
      </w:r>
    </w:p>
    <w:p>
      <w:pPr>
        <w:numPr>
          <w:ilvl w:val="0"/>
          <w:numId w:val="1469"/>
        </w:numPr>
        <w:pStyle w:val="Compact"/>
      </w:pPr>
      <w:r>
        <w:t xml:space="preserve">calificaciones con poca confianza en las pruebas;</w:t>
      </w:r>
    </w:p>
    <w:p>
      <w:pPr>
        <w:numPr>
          <w:ilvl w:val="0"/>
          <w:numId w:val="1469"/>
        </w:numPr>
        <w:pStyle w:val="Compact"/>
      </w:pPr>
      <w:r>
        <w:t xml:space="preserve">repetir las debilidades;</w:t>
      </w:r>
    </w:p>
    <w:p>
      <w:pPr>
        <w:numPr>
          <w:ilvl w:val="0"/>
          <w:numId w:val="1469"/>
        </w:numPr>
        <w:pStyle w:val="Compact"/>
      </w:pPr>
      <w:r>
        <w:t xml:space="preserve">modificación de la unidad de negocio y de la jurisdicción;</w:t>
      </w:r>
    </w:p>
    <w:p>
      <w:pPr>
        <w:numPr>
          <w:ilvl w:val="0"/>
          <w:numId w:val="1469"/>
        </w:numPr>
        <w:pStyle w:val="Compact"/>
      </w:pPr>
      <w:r>
        <w:t xml:space="preserve">tiempo necesario para avanzar en los dominios prioritarios;</w:t>
      </w:r>
    </w:p>
    <w:p>
      <w:pPr>
        <w:numPr>
          <w:ilvl w:val="0"/>
          <w:numId w:val="1469"/>
        </w:numPr>
        <w:pStyle w:val="Compact"/>
      </w:pPr>
      <w:r>
        <w:t xml:space="preserve">mejoras validadas de forma independiente.</w:t>
      </w:r>
    </w:p>
    <w:bookmarkEnd w:id="1379"/>
    <w:bookmarkStart w:id="1380" w:name="lista-de-verificación-de-gestión-15"/>
    <w:p>
      <w:pPr>
        <w:pStyle w:val="Heading2"/>
      </w:pPr>
      <w:r>
        <w:rPr>
          <w:rStyle w:val="SectionNumber"/>
        </w:rPr>
        <w:t xml:space="preserve">1.1329</w:t>
      </w:r>
      <w:r>
        <w:tab/>
      </w:r>
      <w:r>
        <w:t xml:space="preserve">Lista de verificación de gestión</w:t>
      </w:r>
    </w:p>
    <w:p>
      <w:pPr>
        <w:numPr>
          <w:ilvl w:val="0"/>
          <w:numId w:val="1470"/>
        </w:numPr>
        <w:pStyle w:val="Compact"/>
      </w:pPr>
      <w:r>
        <w:t xml:space="preserve">¿Las calificaciones de vencimiento están respaldadas por pruebas reales?</w:t>
      </w:r>
    </w:p>
    <w:p>
      <w:pPr>
        <w:numPr>
          <w:ilvl w:val="0"/>
          <w:numId w:val="1470"/>
        </w:numPr>
        <w:pStyle w:val="Compact"/>
      </w:pPr>
      <w:r>
        <w:t xml:space="preserve">¿Se informa de las lagunas jurídicas por separado de las mejoras voluntarias de los plazos de vencimiento?</w:t>
      </w:r>
    </w:p>
    <w:p>
      <w:pPr>
        <w:numPr>
          <w:ilvl w:val="0"/>
          <w:numId w:val="1470"/>
        </w:numPr>
        <w:pStyle w:val="Compact"/>
      </w:pPr>
      <w:r>
        <w:t xml:space="preserve">¿Se evalúan por separado el diseño y la eficacia operativa?</w:t>
      </w:r>
    </w:p>
    <w:p>
      <w:pPr>
        <w:numPr>
          <w:ilvl w:val="0"/>
          <w:numId w:val="1470"/>
        </w:numPr>
        <w:pStyle w:val="Compact"/>
      </w:pPr>
      <w:r>
        <w:t xml:space="preserve">¿Son visibles las debilidades críticas a pesar de las puntuaciones generales?</w:t>
      </w:r>
    </w:p>
    <w:p>
      <w:pPr>
        <w:numPr>
          <w:ilvl w:val="0"/>
          <w:numId w:val="1470"/>
        </w:numPr>
        <w:pStyle w:val="Compact"/>
      </w:pPr>
      <w:r>
        <w:t xml:space="preserve">¿Los niveles objetivo están vinculados al riesgo y a las obligaciones legales?</w:t>
      </w:r>
    </w:p>
    <w:p>
      <w:pPr>
        <w:numPr>
          <w:ilvl w:val="0"/>
          <w:numId w:val="1470"/>
        </w:numPr>
        <w:pStyle w:val="Compact"/>
      </w:pPr>
      <w:r>
        <w:t xml:space="preserve">¿Las acciones de mejora son financiadas, asignadas y medibles?</w:t>
      </w:r>
    </w:p>
    <w:p>
      <w:pPr>
        <w:numPr>
          <w:ilvl w:val="0"/>
          <w:numId w:val="1470"/>
        </w:numPr>
        <w:pStyle w:val="Compact"/>
      </w:pPr>
      <w:r>
        <w:t xml:space="preserve">¿La reevaluación verifica que la madurez realmente mejoró?</w:t>
      </w:r>
    </w:p>
    <w:bookmarkEnd w:id="1380"/>
    <w:bookmarkStart w:id="1381" w:name="X2cd29b7ef3a8d8f922005adcef970c99dfa3093"/>
    <w:p>
      <w:pPr>
        <w:pStyle w:val="Heading2"/>
      </w:pPr>
      <w:r>
        <w:rPr>
          <w:rStyle w:val="SectionNumber"/>
        </w:rPr>
        <w:t xml:space="preserve">1.1330</w:t>
      </w:r>
      <w:r>
        <w:tab/>
      </w:r>
      <w:r>
        <w:t xml:space="preserve">Escaleras de vencimiento de la gobernanza de la IA</w:t>
      </w:r>
    </w:p>
    <w:p>
      <w:pPr>
        <w:pStyle w:val="FirstParagraph"/>
      </w:pPr>
      <w:r>
        <w:t xml:space="preserve">Crear una escalera de cinco niveles desde el desarrollo inicial, definido, administrado y optimizado. Mostrar dominios de gobernanza que progresan hacia arriba, con cumplimiento legal, evidencia, efectividad operativa, desafío independiente y mejora continua como bases obligatorias.</w:t>
      </w:r>
    </w:p>
    <w:p>
      <w:pPr>
        <w:pStyle w:val="BodyText"/>
      </w:pPr>
      <w:r>
        <w:rPr>
          <w:bCs/>
          <w:b/>
        </w:rPr>
        <w:t xml:space="preserve">Texto Alt:</w:t>
      </w:r>
      <w:r>
        <w:t xml:space="preserve"> </w:t>
      </w:r>
      <w:r>
        <w:t xml:space="preserve">Escalera de madurez de cinco niveles de gobernanza de IA desde prácticas iniciales y reactivas a través de una gobernanza definida, administrada y continuamente mejorada, respaldada por cumplimiento legal, evidencia, efectividad operativa y garantía independiente.</w:t>
      </w:r>
    </w:p>
    <w:bookmarkEnd w:id="1381"/>
    <w:bookmarkStart w:id="1382" w:name="referencias-jurídicas-primarias-105"/>
    <w:p>
      <w:pPr>
        <w:pStyle w:val="Heading2"/>
      </w:pPr>
      <w:r>
        <w:rPr>
          <w:rStyle w:val="SectionNumber"/>
        </w:rPr>
        <w:t xml:space="preserve">1.1331</w:t>
      </w:r>
      <w:r>
        <w:tab/>
      </w:r>
      <w:r>
        <w:t xml:space="preserve">Referencias jurídicas primarias</w:t>
      </w:r>
    </w:p>
    <w:p>
      <w:pPr>
        <w:numPr>
          <w:ilvl w:val="0"/>
          <w:numId w:val="1471"/>
        </w:numPr>
        <w:pStyle w:val="Compact"/>
      </w:pPr>
      <w:r>
        <w:t xml:space="preserve">Reglamento (UE) 2024/1689, modificado: funciones de gobernanza, gestión de la calidad, gestión del riesgo, documentación, seguimiento, competencia, medidas correctoras y de garantía aplicables.</w:t>
      </w:r>
    </w:p>
    <w:p>
      <w:pPr>
        <w:numPr>
          <w:ilvl w:val="0"/>
          <w:numId w:val="1471"/>
        </w:numPr>
        <w:pStyle w:val="Compact"/>
      </w:pPr>
      <w:r>
        <w:t xml:space="preserve">Reglamento (UE) 2026/1744, en su caso.</w:t>
      </w:r>
    </w:p>
    <w:p>
      <w:pPr>
        <w:numPr>
          <w:ilvl w:val="0"/>
          <w:numId w:val="1471"/>
        </w:numPr>
        <w:pStyle w:val="Compact"/>
      </w:pPr>
      <w:r>
        <w:t xml:space="preserve">Los niveles de madurez y la metodología de puntuación en este capítulo son prácticas de gestión recomendadas y no están prescritas por la Ley de IA de la UE.</w:t>
      </w:r>
    </w:p>
    <w:p>
      <w:pPr>
        <w:numPr>
          <w:ilvl w:val="0"/>
          <w:numId w:val="1471"/>
        </w:numPr>
        <w:pStyle w:val="Compact"/>
      </w:pPr>
      <w:r>
        <w:t xml:space="preserve">Los textos oficiales consolidados actuales controlan los resúmenes antiguos.</w:t>
      </w:r>
    </w:p>
    <w:bookmarkEnd w:id="1382"/>
    <w:bookmarkStart w:id="1383" w:name="capítulo-138-mejora-continua"/>
    <w:p>
      <w:pPr>
        <w:pStyle w:val="Heading2"/>
      </w:pPr>
      <w:r>
        <w:rPr>
          <w:rStyle w:val="SectionNumber"/>
        </w:rPr>
        <w:t xml:space="preserve">1.1332</w:t>
      </w:r>
      <w:r>
        <w:tab/>
      </w:r>
      <w:r>
        <w:t xml:space="preserve">Capítulo 138 — Mejora continua</w:t>
      </w:r>
    </w:p>
    <w:p>
      <w:pPr>
        <w:pStyle w:val="BlockText"/>
      </w:pPr>
      <w:r>
        <w:rPr>
          <w:bCs/>
          <w:b/>
        </w:rPr>
        <w:t xml:space="preserve">Estatus legal:</w:t>
      </w:r>
      <w:r>
        <w:t xml:space="preserve"> </w:t>
      </w:r>
      <w:r>
        <w:t xml:space="preserve">Corregido Maestro Inglés para la consolidación. Este archivo controla el lenguaje de borrador anterior del Capítulo 138 en conflicto.</w:t>
      </w:r>
    </w:p>
    <w:bookmarkEnd w:id="1383"/>
    <w:bookmarkStart w:id="1384" w:name="finalidad-16"/>
    <w:p>
      <w:pPr>
        <w:pStyle w:val="Heading2"/>
      </w:pPr>
      <w:r>
        <w:rPr>
          <w:rStyle w:val="SectionNumber"/>
        </w:rPr>
        <w:t xml:space="preserve">1.1333</w:t>
      </w:r>
      <w:r>
        <w:tab/>
      </w:r>
      <w:r>
        <w:t xml:space="preserve">Finalidad</w:t>
      </w:r>
    </w:p>
    <w:p>
      <w:pPr>
        <w:pStyle w:val="FirstParagraph"/>
      </w:pPr>
      <w:r>
        <w:t xml:space="preserve">En este capítulo se explica cómo las organizaciones deben mejorar continuamente la gobernanza, los controles, las salvaguardias técnicas, las garantías, las pruebas y la preparación normativa de la IA una vez que se haya aplicado el programa inicial de cumplimiento.</w:t>
      </w:r>
    </w:p>
    <w:p>
      <w:pPr>
        <w:pStyle w:val="BodyText"/>
      </w:pPr>
      <w:r>
        <w:t xml:space="preserve">AI puede apoyar la toma de decisiones humanas, pero no debe eliminar la responsabilidad humana, el juicio o la rendición de cuentas.</w:t>
      </w:r>
    </w:p>
    <w:bookmarkEnd w:id="1384"/>
    <w:bookmarkStart w:id="1385" w:name="requisito-136"/>
    <w:p>
      <w:pPr>
        <w:pStyle w:val="Heading2"/>
      </w:pPr>
      <w:r>
        <w:rPr>
          <w:rStyle w:val="SectionNumber"/>
        </w:rPr>
        <w:t xml:space="preserve">1.1334</w:t>
      </w:r>
      <w:r>
        <w:tab/>
      </w:r>
      <w:r>
        <w:t xml:space="preserve">Requisito</w:t>
      </w:r>
    </w:p>
    <w:p>
      <w:pPr>
        <w:pStyle w:val="FirstParagraph"/>
      </w:pPr>
      <w:r>
        <w:t xml:space="preserve">Las organizaciones deben llevar a cabo un proceso documentado de mejora continua que utilice la supervisión, los incidentes, las quejas, las conclusiones de las auditorías, los avances en materia de reglamentación, los cambios técnicos, la retroalimentación de los usuarios, los datos sobre el rendimiento y las lecciones aprendidas para fortalecer la gobernanza y el cumplimiento de la IA. Cuando la Ley de IA de la UE u otra ley requiera medidas correctivas, seguimiento posterior a la comercialización, actualizaciones de la gestión de riesgos, actualizaciones de la gestión de la calidad, cambios en la documentación o cooperación con las autoridades, esas obligaciones son vinculantes.</w:t>
      </w:r>
    </w:p>
    <w:bookmarkEnd w:id="1385"/>
    <w:bookmarkStart w:id="1386" w:name="explicación-en-lenguaje-sencillo-133"/>
    <w:p>
      <w:pPr>
        <w:pStyle w:val="Heading2"/>
      </w:pPr>
      <w:r>
        <w:rPr>
          <w:rStyle w:val="SectionNumber"/>
        </w:rPr>
        <w:t xml:space="preserve">1.1335</w:t>
      </w:r>
      <w:r>
        <w:tab/>
      </w:r>
      <w:r>
        <w:t xml:space="preserve">Explicación en lenguaje sencillo</w:t>
      </w:r>
    </w:p>
    <w:p>
      <w:pPr>
        <w:pStyle w:val="FirstParagraph"/>
      </w:pPr>
      <w:r>
        <w:t xml:space="preserve">Los modelos, los datos, los proveedores, los métodos de ataque, los usos empresariales, los requisitos legales y los cambios en las poblaciones afectadas deben ser sistemáticos, tener como base la evidencia, tener prioridad en el riesgo y estar vinculados a decisiones responsables en lugar de lecciones informales o actualizaciones periódicas de políticas.</w:t>
      </w:r>
    </w:p>
    <w:p>
      <w:pPr>
        <w:pStyle w:val="BodyText"/>
      </w:pPr>
      <w:r>
        <w:t xml:space="preserve">Un programa no mejora sólo porque se revisó una política, sino que la organización debe demostrar que el cambio se aplicó, se puso a prueba, se vinculó con el sistema y la versión correctos y se hizo efectivo en la práctica.</w:t>
      </w:r>
    </w:p>
    <w:bookmarkEnd w:id="1386"/>
    <w:bookmarkStart w:id="1387" w:name="mejora-de-los-insumos"/>
    <w:p>
      <w:pPr>
        <w:pStyle w:val="Heading2"/>
      </w:pPr>
      <w:r>
        <w:rPr>
          <w:rStyle w:val="SectionNumber"/>
        </w:rPr>
        <w:t xml:space="preserve">1.1336</w:t>
      </w:r>
      <w:r>
        <w:tab/>
      </w:r>
      <w:r>
        <w:t xml:space="preserve">Mejora de los insumos</w:t>
      </w:r>
    </w:p>
    <w:p>
      <w:pPr>
        <w:pStyle w:val="FirstParagraph"/>
      </w:pPr>
      <w:r>
        <w:t xml:space="preserve">Utilizar las entradas de:</w:t>
      </w:r>
    </w:p>
    <w:p>
      <w:pPr>
        <w:numPr>
          <w:ilvl w:val="0"/>
          <w:numId w:val="1472"/>
        </w:numPr>
        <w:pStyle w:val="Compact"/>
      </w:pPr>
      <w:r>
        <w:t xml:space="preserve">la evolución jurídica y reglamentaria;</w:t>
      </w:r>
    </w:p>
    <w:p>
      <w:pPr>
        <w:numPr>
          <w:ilvl w:val="0"/>
          <w:numId w:val="1472"/>
        </w:numPr>
        <w:pStyle w:val="Compact"/>
      </w:pPr>
      <w:r>
        <w:t xml:space="preserve">la orientación oficial, los actos de ejecución, las normas y los códigos, identificados por el estatuto jurídico;</w:t>
      </w:r>
    </w:p>
    <w:p>
      <w:pPr>
        <w:numPr>
          <w:ilvl w:val="0"/>
          <w:numId w:val="1472"/>
        </w:numPr>
        <w:pStyle w:val="Compact"/>
      </w:pPr>
      <w:r>
        <w:t xml:space="preserve">cambios en el sistema, el modelo, los datos, la rapidez, la herramienta, la interfaz y la infraestructura;</w:t>
      </w:r>
    </w:p>
    <w:p>
      <w:pPr>
        <w:numPr>
          <w:ilvl w:val="0"/>
          <w:numId w:val="1472"/>
        </w:numPr>
        <w:pStyle w:val="Compact"/>
      </w:pPr>
      <w:r>
        <w:t xml:space="preserve">nuevos casos de uso, jurisdicciones, sectores y poblaciones afectadas;</w:t>
      </w:r>
    </w:p>
    <w:p>
      <w:pPr>
        <w:numPr>
          <w:ilvl w:val="0"/>
          <w:numId w:val="1472"/>
        </w:numPr>
        <w:pStyle w:val="Compact"/>
      </w:pPr>
      <w:r>
        <w:t xml:space="preserve">seguimiento, deriva, error, abstención, anulación y datos de rendimiento;</w:t>
      </w:r>
    </w:p>
    <w:p>
      <w:pPr>
        <w:numPr>
          <w:ilvl w:val="0"/>
          <w:numId w:val="1472"/>
        </w:numPr>
        <w:pStyle w:val="Compact"/>
      </w:pPr>
      <w:r>
        <w:t xml:space="preserve">incidentes, casi fallos, quejas, apelaciones y resultados adversos;</w:t>
      </w:r>
    </w:p>
    <w:p>
      <w:pPr>
        <w:numPr>
          <w:ilvl w:val="0"/>
          <w:numId w:val="1472"/>
        </w:numPr>
        <w:pStyle w:val="Compact"/>
      </w:pPr>
      <w:r>
        <w:t xml:space="preserve">los resultados de auditoría, validación, conformidad y pruebas de control;</w:t>
      </w:r>
    </w:p>
    <w:p>
      <w:pPr>
        <w:numPr>
          <w:ilvl w:val="0"/>
          <w:numId w:val="1472"/>
        </w:numPr>
        <w:pStyle w:val="Compact"/>
      </w:pPr>
      <w:r>
        <w:t xml:space="preserve">cambios en el proveedor, riesgo de concentración, interrupciones del servicio y acontecimientos relacionados con la cadena de suministro;</w:t>
      </w:r>
    </w:p>
    <w:p>
      <w:pPr>
        <w:numPr>
          <w:ilvl w:val="0"/>
          <w:numId w:val="1472"/>
        </w:numPr>
        <w:pStyle w:val="Compact"/>
      </w:pPr>
      <w:r>
        <w:t xml:space="preserve">ciberseguridad, privacidad, seguridad e inteligencia sobre derechos fundamentales;</w:t>
      </w:r>
    </w:p>
    <w:p>
      <w:pPr>
        <w:numPr>
          <w:ilvl w:val="0"/>
          <w:numId w:val="1472"/>
        </w:numPr>
        <w:pStyle w:val="Compact"/>
      </w:pPr>
      <w:r>
        <w:t xml:space="preserve">empleados, usuarios, personas afectadas y comentarios sobre la accesibilidad;</w:t>
      </w:r>
    </w:p>
    <w:p>
      <w:pPr>
        <w:numPr>
          <w:ilvl w:val="0"/>
          <w:numId w:val="1472"/>
        </w:numPr>
        <w:pStyle w:val="Compact"/>
      </w:pPr>
      <w:r>
        <w:t xml:space="preserve">el ejecutivo, la junta directiva, el regulador, el auditor y el reto de la revisión independiente;</w:t>
      </w:r>
    </w:p>
    <w:p>
      <w:pPr>
        <w:numPr>
          <w:ilvl w:val="0"/>
          <w:numId w:val="1472"/>
        </w:numPr>
        <w:pStyle w:val="Compact"/>
      </w:pPr>
      <w:r>
        <w:t xml:space="preserve">evaluación de la madurez, evaluación comparativa y tendencias de la garantía.</w:t>
      </w:r>
    </w:p>
    <w:bookmarkEnd w:id="1387"/>
    <w:bookmarkStart w:id="1388" w:name="ciclo-de-mejora"/>
    <w:p>
      <w:pPr>
        <w:pStyle w:val="Heading2"/>
      </w:pPr>
      <w:r>
        <w:rPr>
          <w:rStyle w:val="SectionNumber"/>
        </w:rPr>
        <w:t xml:space="preserve">1.1337</w:t>
      </w:r>
      <w:r>
        <w:tab/>
      </w:r>
      <w:r>
        <w:t xml:space="preserve">Ciclo de mejora</w:t>
      </w:r>
    </w:p>
    <w:p>
      <w:pPr>
        <w:pStyle w:val="FirstParagraph"/>
      </w:pPr>
      <w:r>
        <w:t xml:space="preserve">El programa debería:</w:t>
      </w:r>
    </w:p>
    <w:p>
      <w:pPr>
        <w:numPr>
          <w:ilvl w:val="0"/>
          <w:numId w:val="1473"/>
        </w:numPr>
        <w:pStyle w:val="Compact"/>
      </w:pPr>
      <w:r>
        <w:t xml:space="preserve">identificar el problema, la oportunidad, la señal o el cambio;</w:t>
      </w:r>
    </w:p>
    <w:p>
      <w:pPr>
        <w:numPr>
          <w:ilvl w:val="0"/>
          <w:numId w:val="1473"/>
        </w:numPr>
        <w:pStyle w:val="Compact"/>
      </w:pPr>
      <w:r>
        <w:t xml:space="preserve">determinar si indica falta de conformidad, riesgo emergente, modificación sustancial, modificación de la finalidad prevista o debilidad del control;</w:t>
      </w:r>
    </w:p>
    <w:p>
      <w:pPr>
        <w:numPr>
          <w:ilvl w:val="0"/>
          <w:numId w:val="1473"/>
        </w:numPr>
        <w:pStyle w:val="Compact"/>
      </w:pPr>
      <w:r>
        <w:t xml:space="preserve">evaluar el impacto jurídico, de seguridad, de derechos fundamentales, de privacidad, de seguridad cibernética, operativo y empresarial;</w:t>
      </w:r>
    </w:p>
    <w:p>
      <w:pPr>
        <w:numPr>
          <w:ilvl w:val="0"/>
          <w:numId w:val="1473"/>
        </w:numPr>
        <w:pStyle w:val="Compact"/>
      </w:pPr>
      <w:r>
        <w:t xml:space="preserve">contener el riesgo inmediato e iniciar la notificación o las medidas correctoras exigidas por la ley;</w:t>
      </w:r>
    </w:p>
    <w:p>
      <w:pPr>
        <w:numPr>
          <w:ilvl w:val="0"/>
          <w:numId w:val="1473"/>
        </w:numPr>
        <w:pStyle w:val="Compact"/>
      </w:pPr>
      <w:r>
        <w:t xml:space="preserve">preservar las pruebas y definir los sistemas, versiones, proveedores, jurisdicciones y personas afectados;</w:t>
      </w:r>
    </w:p>
    <w:p>
      <w:pPr>
        <w:numPr>
          <w:ilvl w:val="0"/>
          <w:numId w:val="1473"/>
        </w:numPr>
        <w:pStyle w:val="Compact"/>
      </w:pPr>
      <w:r>
        <w:t xml:space="preserve">realizar análisis de la causa raíz y del alcance afectado;</w:t>
      </w:r>
    </w:p>
    <w:p>
      <w:pPr>
        <w:numPr>
          <w:ilvl w:val="0"/>
          <w:numId w:val="1473"/>
        </w:numPr>
        <w:pStyle w:val="Compact"/>
      </w:pPr>
      <w:r>
        <w:t xml:space="preserve">establecer prioridades en función de la gravedad, la urgencia, el plazo legal y los posibles daños;</w:t>
      </w:r>
    </w:p>
    <w:p>
      <w:pPr>
        <w:numPr>
          <w:ilvl w:val="0"/>
          <w:numId w:val="1473"/>
        </w:numPr>
        <w:pStyle w:val="Compact"/>
      </w:pPr>
      <w:r>
        <w:t xml:space="preserve">asignar la titularidad responsable, la autoridad de decisión, los recursos y los plazos;</w:t>
      </w:r>
    </w:p>
    <w:p>
      <w:pPr>
        <w:numPr>
          <w:ilvl w:val="0"/>
          <w:numId w:val="1473"/>
        </w:numPr>
        <w:pStyle w:val="Compact"/>
      </w:pPr>
      <w:r>
        <w:t xml:space="preserve">diseñar medidas correctivas, preventivas o sistémicas;</w:t>
      </w:r>
    </w:p>
    <w:p>
      <w:pPr>
        <w:numPr>
          <w:ilvl w:val="0"/>
          <w:numId w:val="1473"/>
        </w:numPr>
        <w:pStyle w:val="Compact"/>
      </w:pPr>
      <w:r>
        <w:t xml:space="preserve">comprobar el cambio propuesto y evaluar las consecuencias no deseadas;</w:t>
      </w:r>
    </w:p>
    <w:p>
      <w:pPr>
        <w:numPr>
          <w:ilvl w:val="0"/>
          <w:numId w:val="1473"/>
        </w:numPr>
        <w:pStyle w:val="Compact"/>
      </w:pPr>
      <w:r>
        <w:t xml:space="preserve">aprobarlo y aplicarlo mediante una gestión controlada del cambio;</w:t>
      </w:r>
    </w:p>
    <w:p>
      <w:pPr>
        <w:numPr>
          <w:ilvl w:val="0"/>
          <w:numId w:val="1473"/>
        </w:numPr>
        <w:pStyle w:val="Compact"/>
      </w:pPr>
      <w:r>
        <w:t xml:space="preserve">actualizar las evaluaciones de riesgos, la documentación técnica, los controles, las instrucciones, los avisos, la formación, los contratos y el seguimiento cuando sea necesario;</w:t>
      </w:r>
    </w:p>
    <w:p>
      <w:pPr>
        <w:numPr>
          <w:ilvl w:val="0"/>
          <w:numId w:val="1473"/>
        </w:numPr>
        <w:pStyle w:val="Compact"/>
      </w:pPr>
      <w:r>
        <w:t xml:space="preserve">validar la eficacia de funcionamiento de forma independiente, cuando proceda;</w:t>
      </w:r>
    </w:p>
    <w:p>
      <w:pPr>
        <w:numPr>
          <w:ilvl w:val="0"/>
          <w:numId w:val="1473"/>
        </w:numPr>
        <w:pStyle w:val="Compact"/>
      </w:pPr>
      <w:r>
        <w:t xml:space="preserve">compartir la experiencia adquirida entre los sistemas pertinentes, las unidades de negocio, los proveedores y las jurisdicciones;</w:t>
      </w:r>
    </w:p>
    <w:p>
      <w:pPr>
        <w:numPr>
          <w:ilvl w:val="0"/>
          <w:numId w:val="1473"/>
        </w:numPr>
        <w:pStyle w:val="Compact"/>
      </w:pPr>
      <w:r>
        <w:t xml:space="preserve">medir si han mejorado los resultados y la eficacia del control;</w:t>
      </w:r>
    </w:p>
    <w:p>
      <w:pPr>
        <w:numPr>
          <w:ilvl w:val="0"/>
          <w:numId w:val="1473"/>
        </w:numPr>
        <w:pStyle w:val="Compact"/>
      </w:pPr>
      <w:r>
        <w:t xml:space="preserve">conservar las pruebas vinculadas a las versiones y la aprobación de la gestión.</w:t>
      </w:r>
    </w:p>
    <w:bookmarkEnd w:id="1388"/>
    <w:bookmarkStart w:id="1389" w:name="priorización"/>
    <w:p>
      <w:pPr>
        <w:pStyle w:val="Heading2"/>
      </w:pPr>
      <w:r>
        <w:rPr>
          <w:rStyle w:val="SectionNumber"/>
        </w:rPr>
        <w:t xml:space="preserve">1.1338</w:t>
      </w:r>
      <w:r>
        <w:tab/>
      </w:r>
      <w:r>
        <w:t xml:space="preserve">Priorización</w:t>
      </w:r>
    </w:p>
    <w:p>
      <w:pPr>
        <w:pStyle w:val="FirstParagraph"/>
      </w:pPr>
      <w:r>
        <w:t xml:space="preserve">Dar prioridad a las mejoras basadas en:</w:t>
      </w:r>
    </w:p>
    <w:p>
      <w:pPr>
        <w:numPr>
          <w:ilvl w:val="0"/>
          <w:numId w:val="1474"/>
        </w:numPr>
        <w:pStyle w:val="Compact"/>
      </w:pPr>
      <w:r>
        <w:t xml:space="preserve">daños reales o potenciales;</w:t>
      </w:r>
    </w:p>
    <w:p>
      <w:pPr>
        <w:numPr>
          <w:ilvl w:val="0"/>
          <w:numId w:val="1474"/>
        </w:numPr>
        <w:pStyle w:val="Compact"/>
      </w:pPr>
      <w:r>
        <w:t xml:space="preserve">exposición a prácticas prohibidas;</w:t>
      </w:r>
    </w:p>
    <w:p>
      <w:pPr>
        <w:numPr>
          <w:ilvl w:val="0"/>
          <w:numId w:val="1474"/>
        </w:numPr>
        <w:pStyle w:val="Compact"/>
      </w:pPr>
      <w:r>
        <w:t xml:space="preserve">obligaciones de alto riesgo o GPAI;</w:t>
      </w:r>
    </w:p>
    <w:p>
      <w:pPr>
        <w:numPr>
          <w:ilvl w:val="0"/>
          <w:numId w:val="1474"/>
        </w:numPr>
        <w:pStyle w:val="Compact"/>
      </w:pPr>
      <w:r>
        <w:t xml:space="preserve">plazo legal, solicitud de autoridad o compromiso reglamentario;</w:t>
      </w:r>
    </w:p>
    <w:p>
      <w:pPr>
        <w:numPr>
          <w:ilvl w:val="0"/>
          <w:numId w:val="1474"/>
        </w:numPr>
        <w:pStyle w:val="Compact"/>
      </w:pPr>
      <w:r>
        <w:t xml:space="preserve">control de la gravedad y duración de las fallas;</w:t>
      </w:r>
    </w:p>
    <w:p>
      <w:pPr>
        <w:numPr>
          <w:ilvl w:val="0"/>
          <w:numId w:val="1474"/>
        </w:numPr>
        <w:pStyle w:val="Compact"/>
      </w:pPr>
      <w:r>
        <w:t xml:space="preserve">población afectada, vulnerabilidad y escala;</w:t>
      </w:r>
    </w:p>
    <w:p>
      <w:pPr>
        <w:numPr>
          <w:ilvl w:val="0"/>
          <w:numId w:val="1474"/>
        </w:numPr>
        <w:pStyle w:val="Compact"/>
      </w:pPr>
      <w:r>
        <w:t xml:space="preserve">repetir incidentes, quejas, conclusiones o excepciones;</w:t>
      </w:r>
    </w:p>
    <w:p>
      <w:pPr>
        <w:numPr>
          <w:ilvl w:val="0"/>
          <w:numId w:val="1474"/>
        </w:numPr>
        <w:pStyle w:val="Compact"/>
      </w:pPr>
      <w:r>
        <w:t xml:space="preserve">la concentración, dependencia o limitaciones de pruebas de los proveedores;</w:t>
      </w:r>
    </w:p>
    <w:p>
      <w:pPr>
        <w:numPr>
          <w:ilvl w:val="0"/>
          <w:numId w:val="1474"/>
        </w:numPr>
        <w:pStyle w:val="Compact"/>
      </w:pPr>
      <w:r>
        <w:t xml:space="preserve">la seguridad cibernética, la seguridad, la resiliencia y la continuidad;</w:t>
      </w:r>
    </w:p>
    <w:p>
      <w:pPr>
        <w:numPr>
          <w:ilvl w:val="0"/>
          <w:numId w:val="1474"/>
        </w:numPr>
        <w:pStyle w:val="Compact"/>
      </w:pPr>
      <w:r>
        <w:t xml:space="preserve">deficiencias en la documentación, los registros, las pruebas o la trazabilidad;</w:t>
      </w:r>
    </w:p>
    <w:p>
      <w:pPr>
        <w:numPr>
          <w:ilvl w:val="0"/>
          <w:numId w:val="1474"/>
        </w:numPr>
        <w:pStyle w:val="Compact"/>
      </w:pPr>
      <w:r>
        <w:t xml:space="preserve">complejidad y dependencia de la aplicación;</w:t>
      </w:r>
    </w:p>
    <w:p>
      <w:pPr>
        <w:numPr>
          <w:ilvl w:val="0"/>
          <w:numId w:val="1474"/>
        </w:numPr>
        <w:pStyle w:val="Compact"/>
      </w:pPr>
      <w:r>
        <w:t xml:space="preserve">oportunidad de evitar la recurrencia en múltiples sistemas.</w:t>
      </w:r>
    </w:p>
    <w:bookmarkEnd w:id="1389"/>
    <w:bookmarkStart w:id="1390" w:name="medidas-correctivas-y-preventivas"/>
    <w:p>
      <w:pPr>
        <w:pStyle w:val="Heading2"/>
      </w:pPr>
      <w:r>
        <w:rPr>
          <w:rStyle w:val="SectionNumber"/>
        </w:rPr>
        <w:t xml:space="preserve">1.1339</w:t>
      </w:r>
      <w:r>
        <w:tab/>
      </w:r>
      <w:r>
        <w:t xml:space="preserve">Medidas correctivas y preventivas</w:t>
      </w:r>
    </w:p>
    <w:p>
      <w:pPr>
        <w:pStyle w:val="FirstParagraph"/>
      </w:pPr>
      <w:r>
        <w:t xml:space="preserve">Distinguir:</w:t>
      </w:r>
    </w:p>
    <w:p>
      <w:pPr>
        <w:numPr>
          <w:ilvl w:val="0"/>
          <w:numId w:val="1475"/>
        </w:numPr>
        <w:pStyle w:val="Compact"/>
      </w:pPr>
      <w:r>
        <w:t xml:space="preserve">** Corrección:** acción inmediata para abordar un problema específico observado;</w:t>
      </w:r>
    </w:p>
    <w:p>
      <w:pPr>
        <w:numPr>
          <w:ilvl w:val="0"/>
          <w:numId w:val="1475"/>
        </w:numPr>
        <w:pStyle w:val="Compact"/>
      </w:pPr>
      <w:r>
        <w:t xml:space="preserve">** acción correctiva:** acción que elimina o controla la causa de una deficiencia real;</w:t>
      </w:r>
    </w:p>
    <w:p>
      <w:pPr>
        <w:numPr>
          <w:ilvl w:val="0"/>
          <w:numId w:val="1475"/>
        </w:numPr>
        <w:pStyle w:val="Compact"/>
      </w:pPr>
      <w:r>
        <w:t xml:space="preserve">** acción preventiva:** acción que reduce la probabilidad o el impacto de una deficiencia previsible;</w:t>
      </w:r>
    </w:p>
    <w:p>
      <w:pPr>
        <w:numPr>
          <w:ilvl w:val="0"/>
          <w:numId w:val="1475"/>
        </w:numPr>
        <w:pStyle w:val="Compact"/>
      </w:pPr>
      <w:r>
        <w:t xml:space="preserve">** Mejora sistémica:** acciones que abordan causas comunes entre sistemas, proveedores, entidades, jurisdicciones o dominios de control.</w:t>
      </w:r>
    </w:p>
    <w:p>
      <w:pPr>
        <w:pStyle w:val="FirstParagraph"/>
      </w:pPr>
      <w:r>
        <w:t xml:space="preserve">No cierre un artículo simplemente porque se actualizó un documento, se celebró una reunión o se prometió una rehabilitación para un proveedor. Confirme que la acción funciona eficazmente y que el riesgo residual se rige explícitamente.</w:t>
      </w:r>
    </w:p>
    <w:bookmarkEnd w:id="1390"/>
    <w:bookmarkStart w:id="1391" w:name="gestión-del-cambio-normativo-y-jurídico"/>
    <w:p>
      <w:pPr>
        <w:pStyle w:val="Heading2"/>
      </w:pPr>
      <w:r>
        <w:rPr>
          <w:rStyle w:val="SectionNumber"/>
        </w:rPr>
        <w:t xml:space="preserve">1.1340</w:t>
      </w:r>
      <w:r>
        <w:tab/>
      </w:r>
      <w:r>
        <w:t xml:space="preserve">Gestión del cambio normativo y jurídico</w:t>
      </w:r>
    </w:p>
    <w:p>
      <w:pPr>
        <w:pStyle w:val="FirstParagraph"/>
      </w:pPr>
      <w:r>
        <w:t xml:space="preserve">Mantener un proceso para:</w:t>
      </w:r>
    </w:p>
    <w:p>
      <w:pPr>
        <w:numPr>
          <w:ilvl w:val="0"/>
          <w:numId w:val="1476"/>
        </w:numPr>
        <w:pStyle w:val="Compact"/>
      </w:pPr>
      <w:r>
        <w:t xml:space="preserve">identificar las novedades jurídicas y reglamentarias pertinentes;</w:t>
      </w:r>
    </w:p>
    <w:p>
      <w:pPr>
        <w:numPr>
          <w:ilvl w:val="0"/>
          <w:numId w:val="1476"/>
        </w:numPr>
        <w:pStyle w:val="Compact"/>
      </w:pPr>
      <w:r>
        <w:t xml:space="preserve">distinguir el derecho vinculante de los proyectos, orientaciones, normas y códigos voluntarios;</w:t>
      </w:r>
    </w:p>
    <w:p>
      <w:pPr>
        <w:numPr>
          <w:ilvl w:val="0"/>
          <w:numId w:val="1476"/>
        </w:numPr>
        <w:pStyle w:val="Compact"/>
      </w:pPr>
      <w:r>
        <w:t xml:space="preserve">evaluar la aplicabilidad, el papel de actor, la clasificación del sistema y las fechas efectivas;</w:t>
      </w:r>
    </w:p>
    <w:p>
      <w:pPr>
        <w:numPr>
          <w:ilvl w:val="0"/>
          <w:numId w:val="1476"/>
        </w:numPr>
        <w:pStyle w:val="Compact"/>
      </w:pPr>
      <w:r>
        <w:t xml:space="preserve">identificar los sistemas, modelos, entidades, proveedores, jurisdicciones y controles afectados;</w:t>
      </w:r>
    </w:p>
    <w:p>
      <w:pPr>
        <w:numPr>
          <w:ilvl w:val="0"/>
          <w:numId w:val="1476"/>
        </w:numPr>
        <w:pStyle w:val="Compact"/>
      </w:pPr>
      <w:r>
        <w:t xml:space="preserve">actualizar los mapas de las obligaciones y de los artículos a controlar;</w:t>
      </w:r>
    </w:p>
    <w:p>
      <w:pPr>
        <w:numPr>
          <w:ilvl w:val="0"/>
          <w:numId w:val="1476"/>
        </w:numPr>
        <w:pStyle w:val="Compact"/>
      </w:pPr>
      <w:r>
        <w:t xml:space="preserve">revisar las políticas, los contratos, los avisos, las evaluaciones, la formación y los requisitos de prueba;</w:t>
      </w:r>
    </w:p>
    <w:p>
      <w:pPr>
        <w:numPr>
          <w:ilvl w:val="0"/>
          <w:numId w:val="1476"/>
        </w:numPr>
        <w:pStyle w:val="Compact"/>
      </w:pPr>
      <w:r>
        <w:t xml:space="preserve">comunicar los cambios al personal responsable;</w:t>
      </w:r>
    </w:p>
    <w:p>
      <w:pPr>
        <w:numPr>
          <w:ilvl w:val="0"/>
          <w:numId w:val="1476"/>
        </w:numPr>
        <w:pStyle w:val="Compact"/>
      </w:pPr>
      <w:r>
        <w:t xml:space="preserve">ensayo de la aplicación antes del plazo aplicable;</w:t>
      </w:r>
    </w:p>
    <w:p>
      <w:pPr>
        <w:numPr>
          <w:ilvl w:val="0"/>
          <w:numId w:val="1476"/>
        </w:numPr>
        <w:pStyle w:val="Compact"/>
      </w:pPr>
      <w:r>
        <w:t xml:space="preserve">conservar el análisis jurídico, las aprobaciones y las pruebas de aplicación.</w:t>
      </w:r>
    </w:p>
    <w:bookmarkEnd w:id="1391"/>
    <w:bookmarkStart w:id="1392" w:name="Xb50d910c251078b2d8035495e0e098005f1ddda"/>
    <w:p>
      <w:pPr>
        <w:pStyle w:val="Heading2"/>
      </w:pPr>
      <w:r>
        <w:rPr>
          <w:rStyle w:val="SectionNumber"/>
        </w:rPr>
        <w:t xml:space="preserve">1.1341</w:t>
      </w:r>
      <w:r>
        <w:tab/>
      </w:r>
      <w:r>
        <w:t xml:space="preserve">Gestión del cambio técnico y de los proveedores</w:t>
      </w:r>
    </w:p>
    <w:p>
      <w:pPr>
        <w:pStyle w:val="FirstParagraph"/>
      </w:pPr>
      <w:r>
        <w:t xml:space="preserve">La mejora continua debe responder a:</w:t>
      </w:r>
    </w:p>
    <w:p>
      <w:pPr>
        <w:numPr>
          <w:ilvl w:val="0"/>
          <w:numId w:val="1477"/>
        </w:numPr>
        <w:pStyle w:val="Compact"/>
      </w:pPr>
      <w:r>
        <w:t xml:space="preserve">las liberaciones de modelos, las depreciaciones y las capacidades modificadas;</w:t>
      </w:r>
    </w:p>
    <w:p>
      <w:pPr>
        <w:numPr>
          <w:ilvl w:val="0"/>
          <w:numId w:val="1477"/>
        </w:numPr>
        <w:pStyle w:val="Compact"/>
      </w:pPr>
      <w:r>
        <w:t xml:space="preserve">cambios de indicaciones, instrucciones del sistema, herramientas, agentes o autonomía;</w:t>
      </w:r>
    </w:p>
    <w:p>
      <w:pPr>
        <w:numPr>
          <w:ilvl w:val="0"/>
          <w:numId w:val="1477"/>
        </w:numPr>
        <w:pStyle w:val="Compact"/>
      </w:pPr>
      <w:r>
        <w:t xml:space="preserve">nuevos datos de formación, ajuste, validación o recuperación;</w:t>
      </w:r>
    </w:p>
    <w:p>
      <w:pPr>
        <w:numPr>
          <w:ilvl w:val="0"/>
          <w:numId w:val="1477"/>
        </w:numPr>
        <w:pStyle w:val="Compact"/>
      </w:pPr>
      <w:r>
        <w:t xml:space="preserve">resultados, subgrupos, lenguaje, accesibilidad o resultados de deriva;</w:t>
      </w:r>
    </w:p>
    <w:p>
      <w:pPr>
        <w:numPr>
          <w:ilvl w:val="0"/>
          <w:numId w:val="1477"/>
        </w:numPr>
        <w:pStyle w:val="Compact"/>
      </w:pPr>
      <w:r>
        <w:t xml:space="preserve">nuevas vulnerabilidades, métodos de ataque o patrones de uso indebido;</w:t>
      </w:r>
    </w:p>
    <w:p>
      <w:pPr>
        <w:numPr>
          <w:ilvl w:val="0"/>
          <w:numId w:val="1477"/>
        </w:numPr>
        <w:pStyle w:val="Compact"/>
      </w:pPr>
      <w:r>
        <w:t xml:space="preserve">condiciones, ubicaciones, subprocesadores, niveles de servicio y documentación del proveedor;</w:t>
      </w:r>
    </w:p>
    <w:p>
      <w:pPr>
        <w:numPr>
          <w:ilvl w:val="0"/>
          <w:numId w:val="1477"/>
        </w:numPr>
        <w:pStyle w:val="Compact"/>
      </w:pPr>
      <w:r>
        <w:t xml:space="preserve">la tala, la reproducibilidad, la retención y las limitaciones de pruebas;</w:t>
      </w:r>
    </w:p>
    <w:p>
      <w:pPr>
        <w:numPr>
          <w:ilvl w:val="0"/>
          <w:numId w:val="1477"/>
        </w:numPr>
        <w:pStyle w:val="Compact"/>
      </w:pPr>
      <w:r>
        <w:t xml:space="preserve">la infraestructura, la arquitectura, la región de la nube y los cambios en la interfaz;</w:t>
      </w:r>
    </w:p>
    <w:p>
      <w:pPr>
        <w:numPr>
          <w:ilvl w:val="0"/>
          <w:numId w:val="1477"/>
        </w:numPr>
        <w:pStyle w:val="Compact"/>
      </w:pPr>
      <w:r>
        <w:t xml:space="preserve">componentes de código abierto y cambios en la licencia;</w:t>
      </w:r>
    </w:p>
    <w:p>
      <w:pPr>
        <w:numPr>
          <w:ilvl w:val="0"/>
          <w:numId w:val="1477"/>
        </w:numPr>
        <w:pStyle w:val="Compact"/>
      </w:pPr>
      <w:r>
        <w:t xml:space="preserve">cambios que afecten a la finalidad prevista, el papel jurídico, la clasificación o el estado de conformidad.</w:t>
      </w:r>
    </w:p>
    <w:bookmarkEnd w:id="1392"/>
    <w:bookmarkStart w:id="1393" w:name="aprendiendo-de-incidentes-y-quejas"/>
    <w:p>
      <w:pPr>
        <w:pStyle w:val="Heading2"/>
      </w:pPr>
      <w:r>
        <w:rPr>
          <w:rStyle w:val="SectionNumber"/>
        </w:rPr>
        <w:t xml:space="preserve">1.1342</w:t>
      </w:r>
      <w:r>
        <w:tab/>
      </w:r>
      <w:r>
        <w:t xml:space="preserve">Aprendiendo de incidentes y quejas</w:t>
      </w:r>
    </w:p>
    <w:p>
      <w:pPr>
        <w:pStyle w:val="FirstParagraph"/>
      </w:pPr>
      <w:r>
        <w:t xml:space="preserve">Para eventos materiales:</w:t>
      </w:r>
    </w:p>
    <w:p>
      <w:pPr>
        <w:numPr>
          <w:ilvl w:val="0"/>
          <w:numId w:val="1478"/>
        </w:numPr>
        <w:pStyle w:val="Compact"/>
      </w:pPr>
      <w:r>
        <w:t xml:space="preserve">reconstruir el calendario y preservar las pruebas;</w:t>
      </w:r>
    </w:p>
    <w:p>
      <w:pPr>
        <w:numPr>
          <w:ilvl w:val="0"/>
          <w:numId w:val="1478"/>
        </w:numPr>
        <w:pStyle w:val="Compact"/>
      </w:pPr>
      <w:r>
        <w:t xml:space="preserve">identificar las causas técnicas, de procesos, de gobernanza, de proveedores y humanas;</w:t>
      </w:r>
    </w:p>
    <w:p>
      <w:pPr>
        <w:numPr>
          <w:ilvl w:val="0"/>
          <w:numId w:val="1478"/>
        </w:numPr>
        <w:pStyle w:val="Compact"/>
      </w:pPr>
      <w:r>
        <w:t xml:space="preserve">evaluar si sistemas similares comparten la debilidad;</w:t>
      </w:r>
    </w:p>
    <w:p>
      <w:pPr>
        <w:numPr>
          <w:ilvl w:val="0"/>
          <w:numId w:val="1478"/>
        </w:numPr>
        <w:pStyle w:val="Compact"/>
      </w:pPr>
      <w:r>
        <w:t xml:space="preserve">poner en práctica la contención inmediata;</w:t>
      </w:r>
    </w:p>
    <w:p>
      <w:pPr>
        <w:numPr>
          <w:ilvl w:val="0"/>
          <w:numId w:val="1478"/>
        </w:numPr>
        <w:pStyle w:val="Compact"/>
      </w:pPr>
      <w:r>
        <w:t xml:space="preserve">determinar las consecuencias de la notificación, las medidas correctivas, la retirada, la retirada o la suspensión;</w:t>
      </w:r>
    </w:p>
    <w:p>
      <w:pPr>
        <w:numPr>
          <w:ilvl w:val="0"/>
          <w:numId w:val="1478"/>
        </w:numPr>
        <w:pStyle w:val="Compact"/>
      </w:pPr>
      <w:r>
        <w:t xml:space="preserve">asignar acciones correctivas, preventivas y sistémicas;</w:t>
      </w:r>
    </w:p>
    <w:p>
      <w:pPr>
        <w:numPr>
          <w:ilvl w:val="0"/>
          <w:numId w:val="1478"/>
        </w:numPr>
        <w:pStyle w:val="Compact"/>
      </w:pPr>
      <w:r>
        <w:t xml:space="preserve">validar el cierre de forma independiente cuando lo justifique el riesgo;</w:t>
      </w:r>
    </w:p>
    <w:p>
      <w:pPr>
        <w:numPr>
          <w:ilvl w:val="0"/>
          <w:numId w:val="1478"/>
        </w:numPr>
        <w:pStyle w:val="Compact"/>
      </w:pPr>
      <w:r>
        <w:t xml:space="preserve">actualizar los escenarios, la formación, los controles, la documentación, los contratos y el seguimiento;</w:t>
      </w:r>
    </w:p>
    <w:p>
      <w:pPr>
        <w:numPr>
          <w:ilvl w:val="0"/>
          <w:numId w:val="1478"/>
        </w:numPr>
        <w:pStyle w:val="Compact"/>
      </w:pPr>
      <w:r>
        <w:t xml:space="preserve">reportar lecciones materiales y riesgos residuales a los ejecutivos y a la junta directiva.</w:t>
      </w:r>
    </w:p>
    <w:bookmarkEnd w:id="1393"/>
    <w:bookmarkStart w:id="1394" w:name="optimización-del-control"/>
    <w:p>
      <w:pPr>
        <w:pStyle w:val="Heading2"/>
      </w:pPr>
      <w:r>
        <w:rPr>
          <w:rStyle w:val="SectionNumber"/>
        </w:rPr>
        <w:t xml:space="preserve">1.1343</w:t>
      </w:r>
      <w:r>
        <w:tab/>
      </w:r>
      <w:r>
        <w:t xml:space="preserve">Optimización del control</w:t>
      </w:r>
    </w:p>
    <w:p>
      <w:pPr>
        <w:pStyle w:val="FirstParagraph"/>
      </w:pPr>
      <w:r>
        <w:t xml:space="preserve">Examinar periódicamente si los controles son:</w:t>
      </w:r>
    </w:p>
    <w:p>
      <w:pPr>
        <w:numPr>
          <w:ilvl w:val="0"/>
          <w:numId w:val="1479"/>
        </w:numPr>
        <w:pStyle w:val="Compact"/>
      </w:pPr>
      <w:r>
        <w:t xml:space="preserve">alineados legalmente y actuales;</w:t>
      </w:r>
    </w:p>
    <w:p>
      <w:pPr>
        <w:numPr>
          <w:ilvl w:val="0"/>
          <w:numId w:val="1479"/>
        </w:numPr>
        <w:pStyle w:val="Compact"/>
      </w:pPr>
      <w:r>
        <w:t xml:space="preserve">claramente propiedad y realizada de manera competente;</w:t>
      </w:r>
    </w:p>
    <w:p>
      <w:pPr>
        <w:numPr>
          <w:ilvl w:val="0"/>
          <w:numId w:val="1479"/>
        </w:numPr>
        <w:pStyle w:val="Compact"/>
      </w:pPr>
      <w:r>
        <w:t xml:space="preserve">proporcional al riesgo y al contexto del sistema;</w:t>
      </w:r>
    </w:p>
    <w:p>
      <w:pPr>
        <w:numPr>
          <w:ilvl w:val="0"/>
          <w:numId w:val="1479"/>
        </w:numPr>
        <w:pStyle w:val="Compact"/>
      </w:pPr>
      <w:r>
        <w:t xml:space="preserve">se apliquen sistemáticamente en todas las entidades y jurisdicciones pertinentes;</w:t>
      </w:r>
    </w:p>
    <w:p>
      <w:pPr>
        <w:numPr>
          <w:ilvl w:val="0"/>
          <w:numId w:val="1479"/>
        </w:numPr>
        <w:pStyle w:val="Compact"/>
      </w:pPr>
      <w:r>
        <w:t xml:space="preserve">avalado por pruebas fiables vinculadas a la versión;</w:t>
      </w:r>
    </w:p>
    <w:p>
      <w:pPr>
        <w:numPr>
          <w:ilvl w:val="0"/>
          <w:numId w:val="1479"/>
        </w:numPr>
        <w:pStyle w:val="Compact"/>
      </w:pPr>
      <w:r>
        <w:t xml:space="preserve">capaz de detectar fallos significativos;</w:t>
      </w:r>
    </w:p>
    <w:p>
      <w:pPr>
        <w:numPr>
          <w:ilvl w:val="0"/>
          <w:numId w:val="1479"/>
        </w:numPr>
        <w:pStyle w:val="Compact"/>
      </w:pPr>
      <w:r>
        <w:t xml:space="preserve">duplicativo, fragmentado o innecesariamente gravoso;</w:t>
      </w:r>
    </w:p>
    <w:p>
      <w:pPr>
        <w:numPr>
          <w:ilvl w:val="0"/>
          <w:numId w:val="1479"/>
        </w:numPr>
        <w:pStyle w:val="Compact"/>
      </w:pPr>
      <w:r>
        <w:t xml:space="preserve">integrados en los flujos de trabajo empresariales y tecnológicos;</w:t>
      </w:r>
    </w:p>
    <w:p>
      <w:pPr>
        <w:numPr>
          <w:ilvl w:val="0"/>
          <w:numId w:val="1479"/>
        </w:numPr>
        <w:pStyle w:val="Compact"/>
      </w:pPr>
      <w:r>
        <w:t xml:space="preserve">resistente al sistema, al proveedor y a los cambios legales;</w:t>
      </w:r>
    </w:p>
    <w:p>
      <w:pPr>
        <w:numPr>
          <w:ilvl w:val="0"/>
          <w:numId w:val="1479"/>
        </w:numPr>
        <w:pStyle w:val="Compact"/>
      </w:pPr>
      <w:r>
        <w:t xml:space="preserve">adecuado para la automatización sin reducir la responsabilidad, el juicio humano o la trazabilidad.</w:t>
      </w:r>
    </w:p>
    <w:p>
      <w:pPr>
        <w:pStyle w:val="FirstParagraph"/>
      </w:pPr>
      <w:r>
        <w:t xml:space="preserve">La simplificación del control sólo es apropiada cuando preserva o mejora el cumplimiento legal, la protección, la calidad de las pruebas y la eficacia operativa.</w:t>
      </w:r>
    </w:p>
    <w:bookmarkEnd w:id="1394"/>
    <w:bookmarkStart w:id="1395" w:name="X288d145adec60e024274719ea7a3229cb56b115"/>
    <w:p>
      <w:pPr>
        <w:pStyle w:val="Heading2"/>
      </w:pPr>
      <w:r>
        <w:rPr>
          <w:rStyle w:val="SectionNumber"/>
        </w:rPr>
        <w:t xml:space="preserve">1.1344</w:t>
      </w:r>
      <w:r>
        <w:tab/>
      </w:r>
      <w:r>
        <w:t xml:space="preserve">Ejemplo de servicios de viajes de GlobalWay</w:t>
      </w:r>
    </w:p>
    <w:p>
      <w:pPr>
        <w:pStyle w:val="FirstParagraph"/>
      </w:pPr>
      <w:r>
        <w:t xml:space="preserve">GlobalWay identifica fallos repetidos en la escalada de los viajeros después de las actualizaciones del modelo de proveedor. La compañía determina que el problema es sistémico: los cambios en los proveedores no desencadenan automáticamente jurisdicción, transparencia, supervisión humana, pruebas de regresión y revisiones de personal.</w:t>
      </w:r>
    </w:p>
    <w:p>
      <w:pPr>
        <w:pStyle w:val="BodyText"/>
      </w:pPr>
      <w:r>
        <w:t xml:space="preserve">GlobalWay refuerza la notificación de cambios, añade la jurisdicción obligatoria y los controles de impacto para las personas afectadas, amplía las pruebas de regresión multilingüe, mejora la dotación de personal y la escalada de la supervisión humana, actualiza las cláusulas de proveedores y bloquea la publicación cuando la evidencia requerida es incompleta.</w:t>
      </w:r>
    </w:p>
    <w:bookmarkEnd w:id="1395"/>
    <w:bookmarkStart w:id="1396" w:name="actividades-de-control-13"/>
    <w:p>
      <w:pPr>
        <w:pStyle w:val="Heading2"/>
      </w:pPr>
      <w:r>
        <w:rPr>
          <w:rStyle w:val="SectionNumber"/>
        </w:rPr>
        <w:t xml:space="preserve">1.1345</w:t>
      </w:r>
      <w:r>
        <w:tab/>
      </w:r>
      <w:r>
        <w:t xml:space="preserve">Actividades de control</w:t>
      </w:r>
    </w:p>
    <w:p>
      <w:pPr>
        <w:numPr>
          <w:ilvl w:val="0"/>
          <w:numId w:val="1480"/>
        </w:numPr>
        <w:pStyle w:val="Compact"/>
      </w:pPr>
      <w:r>
        <w:t xml:space="preserve">Mantener un proceso aprobado de mejora continua y registro de señales.</w:t>
      </w:r>
    </w:p>
    <w:p>
      <w:pPr>
        <w:numPr>
          <w:ilvl w:val="0"/>
          <w:numId w:val="1480"/>
        </w:numPr>
        <w:pStyle w:val="Compact"/>
      </w:pPr>
      <w:r>
        <w:t xml:space="preserve">Recopilar insumos de fuentes legales, técnicas, operativas, proveedoras, usuarias y de garantía.</w:t>
      </w:r>
    </w:p>
    <w:p>
      <w:pPr>
        <w:numPr>
          <w:ilvl w:val="0"/>
          <w:numId w:val="1480"/>
        </w:numPr>
        <w:pStyle w:val="Compact"/>
      </w:pPr>
      <w:r>
        <w:t xml:space="preserve">Priorizar en base a deberes legales, daño potencial, severidad, recurrencia y plazos.</w:t>
      </w:r>
    </w:p>
    <w:p>
      <w:pPr>
        <w:numPr>
          <w:ilvl w:val="0"/>
          <w:numId w:val="1480"/>
        </w:numPr>
        <w:pStyle w:val="Compact"/>
      </w:pPr>
      <w:r>
        <w:t xml:space="preserve">Distinguir la corrección, la acción correctiva, la acción preventiva y la mejora sistémica.</w:t>
      </w:r>
    </w:p>
    <w:p>
      <w:pPr>
        <w:numPr>
          <w:ilvl w:val="0"/>
          <w:numId w:val="1480"/>
        </w:numPr>
        <w:pStyle w:val="Compact"/>
      </w:pPr>
      <w:r>
        <w:t xml:space="preserve">Preservar la evidencia y definir el alcance afectado antes de realizar cambios materiales.</w:t>
      </w:r>
    </w:p>
    <w:p>
      <w:pPr>
        <w:numPr>
          <w:ilvl w:val="0"/>
          <w:numId w:val="1480"/>
        </w:numPr>
        <w:pStyle w:val="Compact"/>
      </w:pPr>
      <w:r>
        <w:t xml:space="preserve">Aplicar pruebas controladas, revisión legal cuando sea necesario, y aprobación antes de la implementación.</w:t>
      </w:r>
    </w:p>
    <w:p>
      <w:pPr>
        <w:numPr>
          <w:ilvl w:val="0"/>
          <w:numId w:val="1480"/>
        </w:numPr>
        <w:pStyle w:val="Compact"/>
      </w:pPr>
      <w:r>
        <w:t xml:space="preserve">Validar la eficacia operativa antes del cierre.</w:t>
      </w:r>
    </w:p>
    <w:p>
      <w:pPr>
        <w:numPr>
          <w:ilvl w:val="0"/>
          <w:numId w:val="1480"/>
        </w:numPr>
        <w:pStyle w:val="Compact"/>
      </w:pPr>
      <w:r>
        <w:t xml:space="preserve">Actualizar políticas, controles, archivos de riesgo, documentación técnica, avisos, contratos, capacitación y pruebas.</w:t>
      </w:r>
    </w:p>
    <w:p>
      <w:pPr>
        <w:numPr>
          <w:ilvl w:val="0"/>
          <w:numId w:val="1480"/>
        </w:numPr>
        <w:pStyle w:val="Compact"/>
      </w:pPr>
      <w:r>
        <w:t xml:space="preserve">Hacer un seguimiento de las cuestiones que se repiten, las medidas que debían adoptarse y las medidas correctivas ineficaces.</w:t>
      </w:r>
    </w:p>
    <w:p>
      <w:pPr>
        <w:numPr>
          <w:ilvl w:val="0"/>
          <w:numId w:val="1480"/>
        </w:numPr>
        <w:pStyle w:val="Compact"/>
      </w:pPr>
      <w:r>
        <w:t xml:space="preserve">Informe sobre las tendencias materiales, las debilidades sistémicas y el riesgo residual para los ejecutivos y la junta.</w:t>
      </w:r>
    </w:p>
    <w:bookmarkEnd w:id="1396"/>
    <w:bookmarkStart w:id="1397" w:name="pruebas-137"/>
    <w:p>
      <w:pPr>
        <w:pStyle w:val="Heading2"/>
      </w:pPr>
      <w:r>
        <w:rPr>
          <w:rStyle w:val="SectionNumber"/>
        </w:rPr>
        <w:t xml:space="preserve">1.1346</w:t>
      </w:r>
      <w:r>
        <w:tab/>
      </w:r>
      <w:r>
        <w:t xml:space="preserve">Pruebas</w:t>
      </w:r>
    </w:p>
    <w:p>
      <w:pPr>
        <w:numPr>
          <w:ilvl w:val="0"/>
          <w:numId w:val="1481"/>
        </w:numPr>
        <w:pStyle w:val="Compact"/>
      </w:pPr>
      <w:r>
        <w:t xml:space="preserve">registro de cambios legales y reglamentarios;</w:t>
      </w:r>
    </w:p>
    <w:p>
      <w:pPr>
        <w:numPr>
          <w:ilvl w:val="0"/>
          <w:numId w:val="1481"/>
        </w:numPr>
        <w:pStyle w:val="Compact"/>
      </w:pPr>
      <w:r>
        <w:t xml:space="preserve">el registro de señales de seguimiento y mejora;</w:t>
      </w:r>
    </w:p>
    <w:p>
      <w:pPr>
        <w:numPr>
          <w:ilvl w:val="0"/>
          <w:numId w:val="1481"/>
        </w:numPr>
        <w:pStyle w:val="Compact"/>
      </w:pPr>
      <w:r>
        <w:t xml:space="preserve">incidentes, quejas, apelaciones, auditorías y registros de proveedores;</w:t>
      </w:r>
    </w:p>
    <w:p>
      <w:pPr>
        <w:numPr>
          <w:ilvl w:val="0"/>
          <w:numId w:val="1481"/>
        </w:numPr>
        <w:pStyle w:val="Compact"/>
      </w:pPr>
      <w:r>
        <w:t xml:space="preserve">el riesgo, la gravedad, la prioridad y las evaluaciones del alcance afectado;</w:t>
      </w:r>
    </w:p>
    <w:p>
      <w:pPr>
        <w:numPr>
          <w:ilvl w:val="0"/>
          <w:numId w:val="1481"/>
        </w:numPr>
        <w:pStyle w:val="Compact"/>
      </w:pPr>
      <w:r>
        <w:t xml:space="preserve">análisis de la causa raíz;</w:t>
      </w:r>
    </w:p>
    <w:p>
      <w:pPr>
        <w:numPr>
          <w:ilvl w:val="0"/>
          <w:numId w:val="1481"/>
        </w:numPr>
        <w:pStyle w:val="Compact"/>
      </w:pPr>
      <w:r>
        <w:t xml:space="preserve">planes de acción correctivos, preventivos y sistémicos;</w:t>
      </w:r>
    </w:p>
    <w:p>
      <w:pPr>
        <w:numPr>
          <w:ilvl w:val="0"/>
          <w:numId w:val="1481"/>
        </w:numPr>
        <w:pStyle w:val="Compact"/>
      </w:pPr>
      <w:r>
        <w:t xml:space="preserve">homologaciones de contención y cambio;</w:t>
      </w:r>
    </w:p>
    <w:p>
      <w:pPr>
        <w:numPr>
          <w:ilvl w:val="0"/>
          <w:numId w:val="1481"/>
        </w:numPr>
        <w:pStyle w:val="Compact"/>
      </w:pPr>
      <w:r>
        <w:t xml:space="preserve">pruebas, validación, regresión y resultados de revisión independiente;</w:t>
      </w:r>
    </w:p>
    <w:p>
      <w:pPr>
        <w:numPr>
          <w:ilvl w:val="0"/>
          <w:numId w:val="1481"/>
        </w:numPr>
        <w:pStyle w:val="Compact"/>
      </w:pPr>
      <w:r>
        <w:t xml:space="preserve">la actualización de los registros de riesgos, control, técnicos, contractuales, de formación y de notificaciones;</w:t>
      </w:r>
    </w:p>
    <w:p>
      <w:pPr>
        <w:numPr>
          <w:ilvl w:val="0"/>
          <w:numId w:val="1481"/>
        </w:numPr>
        <w:pStyle w:val="Compact"/>
      </w:pPr>
      <w:r>
        <w:t xml:space="preserve">la experiencia adquirida y los registros de exámenes entre sistemas;</w:t>
      </w:r>
    </w:p>
    <w:p>
      <w:pPr>
        <w:numPr>
          <w:ilvl w:val="0"/>
          <w:numId w:val="1481"/>
        </w:numPr>
        <w:pStyle w:val="Compact"/>
      </w:pPr>
      <w:r>
        <w:t xml:space="preserve">la revisión de la gestión, el riesgo residual y las aprobaciones de cierre;</w:t>
      </w:r>
    </w:p>
    <w:p>
      <w:pPr>
        <w:numPr>
          <w:ilvl w:val="0"/>
          <w:numId w:val="1481"/>
        </w:numPr>
        <w:pStyle w:val="Compact"/>
      </w:pPr>
      <w:r>
        <w:t xml:space="preserve">métricas de tendencias y eficacia;</w:t>
      </w:r>
    </w:p>
    <w:p>
      <w:pPr>
        <w:numPr>
          <w:ilvl w:val="0"/>
          <w:numId w:val="1481"/>
        </w:numPr>
        <w:pStyle w:val="Compact"/>
      </w:pPr>
      <w:r>
        <w:t xml:space="preserve">Informe ejecutivo y de la junta.</w:t>
      </w:r>
    </w:p>
    <w:bookmarkEnd w:id="1397"/>
    <w:bookmarkStart w:id="1398" w:name="pruebas-de-auditoría-13"/>
    <w:p>
      <w:pPr>
        <w:pStyle w:val="Heading2"/>
      </w:pPr>
      <w:r>
        <w:rPr>
          <w:rStyle w:val="SectionNumber"/>
        </w:rPr>
        <w:t xml:space="preserve">1.1347</w:t>
      </w:r>
      <w:r>
        <w:tab/>
      </w:r>
      <w:r>
        <w:t xml:space="preserve">Pruebas de auditoría</w:t>
      </w:r>
    </w:p>
    <w:p>
      <w:pPr>
        <w:numPr>
          <w:ilvl w:val="0"/>
          <w:numId w:val="1482"/>
        </w:numPr>
        <w:pStyle w:val="Compact"/>
      </w:pPr>
      <w:r>
        <w:t xml:space="preserve">Revise si los insumos legales, técnicos, proveedores, monitoreo, incidentes, quejas y garantías relevantes entran en el proceso de mejora.</w:t>
      </w:r>
    </w:p>
    <w:p>
      <w:pPr>
        <w:numPr>
          <w:ilvl w:val="0"/>
          <w:numId w:val="1482"/>
        </w:numPr>
        <w:pStyle w:val="Compact"/>
      </w:pPr>
      <w:r>
        <w:t xml:space="preserve">Rastrear las mejoras seleccionadas desde la identificación a través de la preservación, priorización, implementación, validación y cierre.</w:t>
      </w:r>
    </w:p>
    <w:p>
      <w:pPr>
        <w:numPr>
          <w:ilvl w:val="0"/>
          <w:numId w:val="1482"/>
        </w:numPr>
        <w:pStyle w:val="Compact"/>
      </w:pPr>
      <w:r>
        <w:t xml:space="preserve">Confirme que los análisis de causa raíz y de alcance afectado abordaron las causas sistémicas cuando fue apropiado.</w:t>
      </w:r>
    </w:p>
    <w:p>
      <w:pPr>
        <w:numPr>
          <w:ilvl w:val="0"/>
          <w:numId w:val="1482"/>
        </w:numPr>
        <w:pStyle w:val="Compact"/>
      </w:pPr>
      <w:r>
        <w:t xml:space="preserve">Se evaluaron con prontitud las tareas de contención, notificación y medidas correctivas inmediatas.</w:t>
      </w:r>
    </w:p>
    <w:p>
      <w:pPr>
        <w:numPr>
          <w:ilvl w:val="0"/>
          <w:numId w:val="1482"/>
        </w:numPr>
        <w:pStyle w:val="Compact"/>
      </w:pPr>
      <w:r>
        <w:t xml:space="preserve">Las acciones de confirmación no se cerraron únicamente con pruebas documentales, discusión o garantía del proveedor.</w:t>
      </w:r>
    </w:p>
    <w:p>
      <w:pPr>
        <w:numPr>
          <w:ilvl w:val="0"/>
          <w:numId w:val="1482"/>
        </w:numPr>
        <w:pStyle w:val="Compact"/>
      </w:pPr>
      <w:r>
        <w:t xml:space="preserve">Evaluar si los cambios desencadenaron actualizaciones en archivos de riesgo, controles, documentación técnica, avisos, capacitación, contratos y monitoreo.</w:t>
      </w:r>
    </w:p>
    <w:p>
      <w:pPr>
        <w:numPr>
          <w:ilvl w:val="0"/>
          <w:numId w:val="1482"/>
        </w:numPr>
        <w:pStyle w:val="Compact"/>
      </w:pPr>
      <w:r>
        <w:t xml:space="preserve">Revise los resultados e incidentes repetidos para corregirlos de manera ineficaz o aumentarlos de forma débil.</w:t>
      </w:r>
    </w:p>
    <w:p>
      <w:pPr>
        <w:numPr>
          <w:ilvl w:val="0"/>
          <w:numId w:val="1482"/>
        </w:numPr>
        <w:pStyle w:val="Compact"/>
      </w:pPr>
      <w:r>
        <w:t xml:space="preserve">Se comunicaron las enseñanzas materiales y los riesgos residuales a la administración responsable y a la junta.</w:t>
      </w:r>
    </w:p>
    <w:p>
      <w:pPr>
        <w:numPr>
          <w:ilvl w:val="0"/>
          <w:numId w:val="1482"/>
        </w:numPr>
        <w:pStyle w:val="Compact"/>
      </w:pPr>
      <w:r>
        <w:t xml:space="preserve">Verificar que la simplificación o automatización del control no redujera la rendición de cuentas, la evidencia o la protección legal.</w:t>
      </w:r>
    </w:p>
    <w:bookmarkEnd w:id="1398"/>
    <w:bookmarkStart w:id="1399" w:name="métricas-14"/>
    <w:p>
      <w:pPr>
        <w:pStyle w:val="Heading2"/>
      </w:pPr>
      <w:r>
        <w:rPr>
          <w:rStyle w:val="SectionNumber"/>
        </w:rPr>
        <w:t xml:space="preserve">1.1348</w:t>
      </w:r>
      <w:r>
        <w:tab/>
      </w:r>
      <w:r>
        <w:t xml:space="preserve">Métricas</w:t>
      </w:r>
    </w:p>
    <w:p>
      <w:pPr>
        <w:numPr>
          <w:ilvl w:val="0"/>
          <w:numId w:val="1483"/>
        </w:numPr>
        <w:pStyle w:val="Compact"/>
      </w:pPr>
      <w:r>
        <w:t xml:space="preserve">acciones de mejora abiertas, vencidas, validadas y cerradas;</w:t>
      </w:r>
    </w:p>
    <w:p>
      <w:pPr>
        <w:numPr>
          <w:ilvl w:val="0"/>
          <w:numId w:val="1483"/>
        </w:numPr>
        <w:pStyle w:val="Compact"/>
      </w:pPr>
      <w:r>
        <w:t xml:space="preserve">repetir los resultados, incidentes, quejas y excepciones;</w:t>
      </w:r>
    </w:p>
    <w:p>
      <w:pPr>
        <w:numPr>
          <w:ilvl w:val="0"/>
          <w:numId w:val="1483"/>
        </w:numPr>
        <w:pStyle w:val="Compact"/>
      </w:pPr>
      <w:r>
        <w:t xml:space="preserve">el tiempo transcurrido desde la detección de señales hasta la contención y la decisión responsable;</w:t>
      </w:r>
    </w:p>
    <w:p>
      <w:pPr>
        <w:numPr>
          <w:ilvl w:val="0"/>
          <w:numId w:val="1483"/>
        </w:numPr>
        <w:pStyle w:val="Compact"/>
      </w:pPr>
      <w:r>
        <w:t xml:space="preserve">el tiempo transcurrido desde la rehabilitación hasta el cierre validado;</w:t>
      </w:r>
    </w:p>
    <w:p>
      <w:pPr>
        <w:numPr>
          <w:ilvl w:val="0"/>
          <w:numId w:val="1483"/>
        </w:numPr>
        <w:pStyle w:val="Compact"/>
      </w:pPr>
      <w:r>
        <w:t xml:space="preserve">cambios jurídicos introducidos antes del plazo aplicable;</w:t>
      </w:r>
    </w:p>
    <w:p>
      <w:pPr>
        <w:numPr>
          <w:ilvl w:val="0"/>
          <w:numId w:val="1483"/>
        </w:numPr>
        <w:pStyle w:val="Compact"/>
      </w:pPr>
      <w:r>
        <w:t xml:space="preserve">los problemas sistémicos detectados entre múltiples sistemas o proveedores;</w:t>
      </w:r>
    </w:p>
    <w:p>
      <w:pPr>
        <w:numPr>
          <w:ilvl w:val="0"/>
          <w:numId w:val="1483"/>
        </w:numPr>
        <w:pStyle w:val="Compact"/>
      </w:pPr>
      <w:r>
        <w:t xml:space="preserve">controles simplificados o automatizados con eficacia validada;</w:t>
      </w:r>
    </w:p>
    <w:p>
      <w:pPr>
        <w:numPr>
          <w:ilvl w:val="0"/>
          <w:numId w:val="1483"/>
        </w:numPr>
        <w:pStyle w:val="Compact"/>
      </w:pPr>
      <w:r>
        <w:t xml:space="preserve">mejoras que produzcan una reducción del riesgo mensurable;</w:t>
      </w:r>
    </w:p>
    <w:p>
      <w:pPr>
        <w:numPr>
          <w:ilvl w:val="0"/>
          <w:numId w:val="1483"/>
        </w:numPr>
        <w:pStyle w:val="Compact"/>
      </w:pPr>
      <w:r>
        <w:t xml:space="preserve">riesgos residuales aceptados tras una rehabilitación incompleta o infructuosa;</w:t>
      </w:r>
    </w:p>
    <w:p>
      <w:pPr>
        <w:numPr>
          <w:ilvl w:val="0"/>
          <w:numId w:val="1483"/>
        </w:numPr>
        <w:pStyle w:val="Compact"/>
      </w:pPr>
      <w:r>
        <w:t xml:space="preserve">las acciones cerradas sin validación independiente cuando sea necesario;</w:t>
      </w:r>
    </w:p>
    <w:p>
      <w:pPr>
        <w:numPr>
          <w:ilvl w:val="0"/>
          <w:numId w:val="1483"/>
        </w:numPr>
        <w:pStyle w:val="Compact"/>
      </w:pPr>
      <w:r>
        <w:t xml:space="preserve">cambios en el proveedor recibidos y evaluados a tiempo.</w:t>
      </w:r>
    </w:p>
    <w:bookmarkEnd w:id="1399"/>
    <w:bookmarkStart w:id="1400" w:name="lista-de-verificación-de-gestión-16"/>
    <w:p>
      <w:pPr>
        <w:pStyle w:val="Heading2"/>
      </w:pPr>
      <w:r>
        <w:rPr>
          <w:rStyle w:val="SectionNumber"/>
        </w:rPr>
        <w:t xml:space="preserve">1.1349</w:t>
      </w:r>
      <w:r>
        <w:tab/>
      </w:r>
      <w:r>
        <w:t xml:space="preserve">Lista de verificación de gestión</w:t>
      </w:r>
    </w:p>
    <w:p>
      <w:pPr>
        <w:numPr>
          <w:ilvl w:val="0"/>
          <w:numId w:val="1484"/>
        </w:numPr>
        <w:pStyle w:val="Compact"/>
      </w:pPr>
      <w:r>
        <w:t xml:space="preserve">¿Estamos aprendiendo de incidentes, quejas, monitoreo, auditorías, usuarios y proveedores?</w:t>
      </w:r>
    </w:p>
    <w:p>
      <w:pPr>
        <w:numPr>
          <w:ilvl w:val="0"/>
          <w:numId w:val="1484"/>
        </w:numPr>
        <w:pStyle w:val="Compact"/>
      </w:pPr>
      <w:r>
        <w:t xml:space="preserve">¿Se distinguen los cambios jurídicos vinculantes de los materiales no vinculantes y se aplican a tiempo?</w:t>
      </w:r>
    </w:p>
    <w:p>
      <w:pPr>
        <w:numPr>
          <w:ilvl w:val="0"/>
          <w:numId w:val="1484"/>
        </w:numPr>
        <w:pStyle w:val="Compact"/>
      </w:pPr>
      <w:r>
        <w:t xml:space="preserve">¿Se abordan las causas profundas y el alcance afectado en lugar de solo los síntomas?</w:t>
      </w:r>
    </w:p>
    <w:p>
      <w:pPr>
        <w:numPr>
          <w:ilvl w:val="0"/>
          <w:numId w:val="1484"/>
        </w:numPr>
        <w:pStyle w:val="Compact"/>
      </w:pPr>
      <w:r>
        <w:t xml:space="preserve">¿Está contenido el riesgo inmediato mientras se procede a la rehabilitación a más largo plazo?</w:t>
      </w:r>
    </w:p>
    <w:p>
      <w:pPr>
        <w:numPr>
          <w:ilvl w:val="0"/>
          <w:numId w:val="1484"/>
        </w:numPr>
        <w:pStyle w:val="Compact"/>
      </w:pPr>
      <w:r>
        <w:t xml:space="preserve">¿Se actualizan los artefactos, avisos, controles y entrenamiento necesarios después del cambio?</w:t>
      </w:r>
    </w:p>
    <w:p>
      <w:pPr>
        <w:numPr>
          <w:ilvl w:val="0"/>
          <w:numId w:val="1484"/>
        </w:numPr>
        <w:pStyle w:val="Compact"/>
      </w:pPr>
      <w:r>
        <w:t xml:space="preserve">¿Se ha probado la eficacia antes del cierre?</w:t>
      </w:r>
    </w:p>
    <w:p>
      <w:pPr>
        <w:numPr>
          <w:ilvl w:val="0"/>
          <w:numId w:val="1484"/>
        </w:numPr>
        <w:pStyle w:val="Compact"/>
      </w:pPr>
      <w:r>
        <w:t xml:space="preserve">¿Son visibles y se intensifican los problemas de repetición?</w:t>
      </w:r>
    </w:p>
    <w:p>
      <w:pPr>
        <w:numPr>
          <w:ilvl w:val="0"/>
          <w:numId w:val="1484"/>
        </w:numPr>
        <w:pStyle w:val="Compact"/>
      </w:pPr>
      <w:r>
        <w:t xml:space="preserve">¿La mejora continua produce una reducción del riesgo mensurable sin debilitar la rendición de cuentas?</w:t>
      </w:r>
    </w:p>
    <w:bookmarkEnd w:id="1400"/>
    <w:bookmarkStart w:id="1401" w:name="Xc056f6c92de03adc8b2f36df8b59bad6d26c6d5"/>
    <w:p>
      <w:pPr>
        <w:pStyle w:val="Heading2"/>
      </w:pPr>
      <w:r>
        <w:rPr>
          <w:rStyle w:val="SectionNumber"/>
        </w:rPr>
        <w:t xml:space="preserve">1.1350</w:t>
      </w:r>
      <w:r>
        <w:tab/>
      </w:r>
      <w:r>
        <w:t xml:space="preserve">Especificación de la figura — Loop de mejora continua de la gobernanza de IA</w:t>
      </w:r>
    </w:p>
    <w:p>
      <w:pPr>
        <w:pStyle w:val="FirstParagraph"/>
      </w:pPr>
      <w:r>
        <w:t xml:space="preserve">Crear un bucle cerrado conectando cambios regulatorios, monitoreo, incidentes, quejas, auditorías, cambios de proveedores, retroalimentación de los usuarios, evaluaciones de madurez, priorización, contención, acciones correctivas y preventivas, pruebas, implementación, validación, evidencia actualizada y monitoreo renovado.</w:t>
      </w:r>
    </w:p>
    <w:p>
      <w:pPr>
        <w:pStyle w:val="BodyText"/>
      </w:pPr>
      <w:r>
        <w:t xml:space="preserve">** Texto Alt:** bucle de mejora continua para la gobernanza de la IA utilizando cambios legales, monitoreo, incidentes, quejas, auditorías, cambios en los proveedores, retroalimentación de los usuarios y evaluaciones de madurez para impulsar la contención, acciones priorizadas, pruebas, implementación, validación, evidencia actualizada y supervisión ejecutiva y directiva renovada.</w:t>
      </w:r>
    </w:p>
    <w:bookmarkEnd w:id="1401"/>
    <w:bookmarkStart w:id="1402" w:name="referencias-jurídicas-primarias-106"/>
    <w:p>
      <w:pPr>
        <w:pStyle w:val="Heading2"/>
      </w:pPr>
      <w:r>
        <w:rPr>
          <w:rStyle w:val="SectionNumber"/>
        </w:rPr>
        <w:t xml:space="preserve">1.1351</w:t>
      </w:r>
      <w:r>
        <w:tab/>
      </w:r>
      <w:r>
        <w:t xml:space="preserve">Referencias jurídicas primarias</w:t>
      </w:r>
    </w:p>
    <w:p>
      <w:pPr>
        <w:numPr>
          <w:ilvl w:val="0"/>
          <w:numId w:val="1485"/>
        </w:numPr>
        <w:pStyle w:val="Compact"/>
      </w:pPr>
      <w:r>
        <w:t xml:space="preserve">Reglamento (UE) 2024/1689, modificado: artículos 9, 17, 20, 72, 73, y otras disposiciones aplicables en materia de gestión de riesgos, gestión de la calidad, seguimiento, incidentes, medidas correctoras, documentación y cooperación de la autoridad.</w:t>
      </w:r>
    </w:p>
    <w:p>
      <w:pPr>
        <w:numPr>
          <w:ilvl w:val="0"/>
          <w:numId w:val="1485"/>
        </w:numPr>
        <w:pStyle w:val="Compact"/>
      </w:pPr>
      <w:r>
        <w:t xml:space="preserve">Reglamento (UE) 2026/1744, en su caso.</w:t>
      </w:r>
    </w:p>
    <w:p>
      <w:pPr>
        <w:numPr>
          <w:ilvl w:val="0"/>
          <w:numId w:val="1485"/>
        </w:numPr>
        <w:pStyle w:val="Compact"/>
      </w:pPr>
      <w:r>
        <w:t xml:space="preserve">Privacidad aplicable, ciberseguridad, seguridad de los productos, empleo, protección del consumidor, accesibilidad, igualdad y legislación sectorial.</w:t>
      </w:r>
    </w:p>
    <w:p>
      <w:pPr>
        <w:numPr>
          <w:ilvl w:val="0"/>
          <w:numId w:val="1485"/>
        </w:numPr>
        <w:pStyle w:val="Compact"/>
      </w:pPr>
      <w:r>
        <w:t xml:space="preserve">El ciclo más amplio de mejora continua de este capítulo es una práctica de gestión recomendada, salvo cuando una obligación jurídica aplicable impone una medida particular.</w:t>
      </w:r>
    </w:p>
    <w:p>
      <w:pPr>
        <w:numPr>
          <w:ilvl w:val="0"/>
          <w:numId w:val="1485"/>
        </w:numPr>
        <w:pStyle w:val="Compact"/>
      </w:pPr>
      <w:r>
        <w:t xml:space="preserve">Los textos oficiales consolidados actuales controlan los resúmenes antiguos.</w:t>
      </w:r>
    </w:p>
    <w:bookmarkEnd w:id="1402"/>
    <w:bookmarkEnd w:id="1403"/>
    <w:bookmarkStart w:id="1810" w:name="apéndices"/>
    <w:p>
      <w:pPr>
        <w:pStyle w:val="Heading1"/>
      </w:pPr>
      <w:r>
        <w:rPr>
          <w:rStyle w:val="SectionNumber"/>
        </w:rPr>
        <w:t xml:space="preserve">2</w:t>
      </w:r>
      <w:r>
        <w:tab/>
      </w:r>
      <w:r>
        <w:t xml:space="preserve">Apéndices</w:t>
      </w:r>
    </w:p>
    <w:bookmarkStart w:id="1404" w:name="apéndice-a-plantilla-de-inventario-de-ia"/>
    <w:p>
      <w:pPr>
        <w:pStyle w:val="Heading2"/>
      </w:pPr>
      <w:r>
        <w:rPr>
          <w:rStyle w:val="SectionNumber"/>
        </w:rPr>
        <w:t xml:space="preserve">2.1</w:t>
      </w:r>
      <w:r>
        <w:tab/>
      </w:r>
      <w:r>
        <w:t xml:space="preserve">Apéndice A — Plantilla de inventario de IA</w:t>
      </w:r>
    </w:p>
    <w:p>
      <w:pPr>
        <w:pStyle w:val="BlockText"/>
      </w:pPr>
      <w:r>
        <w:rPr>
          <w:bCs/>
          <w:b/>
        </w:rPr>
        <w:t xml:space="preserve">Estatus legal:</w:t>
      </w:r>
      <w:r>
        <w:t xml:space="preserve"> </w:t>
      </w:r>
      <w:r>
        <w:t xml:space="preserve">master inglés corregido. Este es un registro de gobernanza organizacional. Campos específicos se vuelven legalmente obligatorios sólo cuando una disposición vinculante se aplica al actor, sistema, modelo, componente o uso relevante.</w:t>
      </w:r>
    </w:p>
    <w:bookmarkEnd w:id="1404"/>
    <w:bookmarkStart w:id="1405" w:name="finalidad-17"/>
    <w:p>
      <w:pPr>
        <w:pStyle w:val="Heading2"/>
      </w:pPr>
      <w:r>
        <w:rPr>
          <w:rStyle w:val="SectionNumber"/>
        </w:rPr>
        <w:t xml:space="preserve">2.2</w:t>
      </w:r>
      <w:r>
        <w:tab/>
      </w:r>
      <w:r>
        <w:t xml:space="preserve">Finalidad</w:t>
      </w:r>
    </w:p>
    <w:p>
      <w:pPr>
        <w:pStyle w:val="FirstParagraph"/>
      </w:pPr>
      <w:r>
        <w:t xml:space="preserve">Utilice esta plantilla para mantener un inventario completo, actual, vinculado a versiones y auditable de sistemas de IA, modelos GPAI, capacidades de IA integradas, componentes, integraciones, pilotos y casos de uso de materiales en toda la organización.</w:t>
      </w:r>
    </w:p>
    <w:p>
      <w:pPr>
        <w:pStyle w:val="BodyText"/>
      </w:pPr>
      <w:r>
        <w:t xml:space="preserve">El inventario debe apoyar la aplicabilidad, el papel, la clasificación, el riesgo, la transparencia, la conformidad, la vigilancia, los incidentes, las pruebas y las decisiones de gestión del cambio.</w:t>
      </w:r>
    </w:p>
    <w:bookmarkEnd w:id="1405"/>
    <w:bookmarkStart w:id="1406" w:name="registro-de-inventario"/>
    <w:p>
      <w:pPr>
        <w:pStyle w:val="Heading2"/>
      </w:pPr>
      <w:r>
        <w:rPr>
          <w:rStyle w:val="SectionNumber"/>
        </w:rPr>
        <w:t xml:space="preserve">2.3</w:t>
      </w:r>
      <w:r>
        <w:tab/>
      </w:r>
      <w:r>
        <w:t xml:space="preserve">Registro de inventario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Información requerida</w:t>
            </w:r>
          </w:p>
        </w:tc>
      </w:tr>
      <w:tr>
        <w:tc>
          <w:tcPr/>
          <w:p>
            <w:pPr>
              <w:pStyle w:val="Compact"/>
              <w:jc w:val="left"/>
            </w:pPr>
            <w:r>
              <w:t xml:space="preserve">ID de inventario</w:t>
            </w:r>
          </w:p>
        </w:tc>
        <w:tc>
          <w:tcPr/>
          <w:p>
            <w:pPr>
              <w:pStyle w:val="Compact"/>
              <w:jc w:val="left"/>
            </w:pPr>
            <w:r>
              <w:t xml:space="preserve">Identificador único y persistente</w:t>
            </w:r>
          </w:p>
        </w:tc>
      </w:tr>
      <w:tr>
        <w:tc>
          <w:tcPr/>
          <w:p>
            <w:pPr>
              <w:pStyle w:val="Compact"/>
              <w:jc w:val="left"/>
            </w:pPr>
            <w:r>
              <w:t xml:space="preserve">Estado del registro</w:t>
            </w:r>
          </w:p>
        </w:tc>
        <w:tc>
          <w:tcPr/>
          <w:p>
            <w:pPr>
              <w:pStyle w:val="Compact"/>
              <w:jc w:val="left"/>
            </w:pPr>
            <w:r>
              <w:t xml:space="preserve">Borrador, activo, restringido, suspendido, retirado, archivado</w:t>
            </w:r>
          </w:p>
        </w:tc>
      </w:tr>
      <w:tr>
        <w:tc>
          <w:tcPr/>
          <w:p>
            <w:pPr>
              <w:pStyle w:val="Compact"/>
              <w:jc w:val="left"/>
            </w:pPr>
            <w:r>
              <w:t xml:space="preserve">Entidad jurídica</w:t>
            </w:r>
          </w:p>
        </w:tc>
        <w:tc>
          <w:tcPr/>
          <w:p>
            <w:pPr>
              <w:pStyle w:val="Compact"/>
              <w:jc w:val="left"/>
            </w:pPr>
            <w:r>
              <w:t xml:space="preserve">Entidad que desarrolla, suministra, importa, distribuye, integra, comercializa, pone en servicio o despliega el sistema o modelo</w:t>
            </w:r>
          </w:p>
        </w:tc>
      </w:tr>
      <w:tr>
        <w:tc>
          <w:tcPr/>
          <w:p>
            <w:pPr>
              <w:pStyle w:val="Compact"/>
              <w:jc w:val="left"/>
            </w:pPr>
            <w:r>
              <w:t xml:space="preserve">Función(es) de actor(es)</w:t>
            </w:r>
          </w:p>
        </w:tc>
        <w:tc>
          <w:tcPr/>
          <w:p>
            <w:pPr>
              <w:pStyle w:val="Compact"/>
              <w:jc w:val="left"/>
            </w:pPr>
            <w:r>
              <w:t xml:space="preserve">Proveedor, proveedor de GPAI, proveedor intermedio, desplegador, importador, distribuidor, representante autorizado, fabricante de productos, otros</w:t>
            </w:r>
          </w:p>
        </w:tc>
      </w:tr>
      <w:tr>
        <w:tc>
          <w:tcPr/>
          <w:p>
            <w:pPr>
              <w:pStyle w:val="Compact"/>
              <w:jc w:val="left"/>
            </w:pPr>
            <w:r>
              <w:t xml:space="preserve">Nombre del sistema/modelo</w:t>
            </w:r>
          </w:p>
        </w:tc>
        <w:tc>
          <w:tcPr/>
          <w:p>
            <w:pPr>
              <w:pStyle w:val="Compact"/>
              <w:jc w:val="left"/>
            </w:pPr>
            <w:r>
              <w:t xml:space="preserve">Negocios oficiales, productos, modelos y nombres técnicos</w:t>
            </w:r>
          </w:p>
        </w:tc>
      </w:tr>
      <w:tr>
        <w:tc>
          <w:tcPr/>
          <w:p>
            <w:pPr>
              <w:pStyle w:val="Compact"/>
              <w:jc w:val="left"/>
            </w:pPr>
            <w:r>
              <w:t xml:space="preserve">Propietario de la empresa</w:t>
            </w:r>
          </w:p>
        </w:tc>
        <w:tc>
          <w:tcPr/>
          <w:p>
            <w:pPr>
              <w:pStyle w:val="Compact"/>
              <w:jc w:val="left"/>
            </w:pPr>
            <w:r>
              <w:t xml:space="preserve">Responsable ejecutivo o titular del proceso y suplente</w:t>
            </w:r>
          </w:p>
        </w:tc>
      </w:tr>
      <w:tr>
        <w:tc>
          <w:tcPr/>
          <w:p>
            <w:pPr>
              <w:pStyle w:val="Compact"/>
              <w:jc w:val="left"/>
            </w:pPr>
            <w:r>
              <w:t xml:space="preserve">Propietario técnico</w:t>
            </w:r>
          </w:p>
        </w:tc>
        <w:tc>
          <w:tcPr/>
          <w:p>
            <w:pPr>
              <w:pStyle w:val="Compact"/>
              <w:jc w:val="left"/>
            </w:pPr>
            <w:r>
              <w:t xml:space="preserve">Ingeniería responsable, arquitectura, datos o propietario de plataforma y alternativa</w:t>
            </w:r>
          </w:p>
        </w:tc>
      </w:tr>
      <w:tr>
        <w:tc>
          <w:tcPr/>
          <w:p>
            <w:pPr>
              <w:pStyle w:val="Compact"/>
              <w:jc w:val="left"/>
            </w:pPr>
            <w:r>
              <w:t xml:space="preserve">Propietarios de control</w:t>
            </w:r>
          </w:p>
        </w:tc>
        <w:tc>
          <w:tcPr/>
          <w:p>
            <w:pPr>
              <w:pStyle w:val="Compact"/>
              <w:jc w:val="left"/>
            </w:pPr>
            <w:r>
              <w:t xml:space="preserve">Legal, Cumplimiento, Riesgo, Privacidad, Seguridad, Datos, Adquisición, Recursos Humanos, Producto, Auditoría, u otras funciones responsables</w:t>
            </w:r>
          </w:p>
        </w:tc>
      </w:tr>
      <w:tr>
        <w:tc>
          <w:tcPr/>
          <w:p>
            <w:pPr>
              <w:pStyle w:val="Compact"/>
              <w:jc w:val="left"/>
            </w:pPr>
            <w:r>
              <w:t xml:space="preserve">Etapa del ciclo de vida</w:t>
            </w:r>
          </w:p>
        </w:tc>
        <w:tc>
          <w:tcPr/>
          <w:p>
            <w:pPr>
              <w:pStyle w:val="Compact"/>
              <w:jc w:val="left"/>
            </w:pPr>
            <w:r>
              <w:t xml:space="preserve">Idea, admisión, piloto, desarrollo, validación, pre-lanzamiento, producción, restringido, suspendido, retirado</w:t>
            </w:r>
          </w:p>
        </w:tc>
      </w:tr>
      <w:tr>
        <w:tc>
          <w:tcPr/>
          <w:p>
            <w:pPr>
              <w:pStyle w:val="Compact"/>
              <w:jc w:val="left"/>
            </w:pPr>
            <w:r>
              <w:t xml:space="preserve">Finalidad prevista</w:t>
            </w:r>
          </w:p>
        </w:tc>
        <w:tc>
          <w:tcPr/>
          <w:p>
            <w:pPr>
              <w:pStyle w:val="Compact"/>
              <w:jc w:val="left"/>
            </w:pPr>
            <w:r>
              <w:t xml:space="preserve">Propósito aprobado, contexto de decisión, usuarios previstos, beneficiarios y personas afectadas</w:t>
            </w:r>
          </w:p>
        </w:tc>
      </w:tr>
      <w:tr>
        <w:tc>
          <w:tcPr/>
          <w:p>
            <w:pPr>
              <w:pStyle w:val="Compact"/>
              <w:jc w:val="left"/>
            </w:pPr>
            <w:r>
              <w:t xml:space="preserve">Propósitos prohibidos o restringidos</w:t>
            </w:r>
          </w:p>
        </w:tc>
        <w:tc>
          <w:tcPr/>
          <w:p>
            <w:pPr>
              <w:pStyle w:val="Compact"/>
              <w:jc w:val="left"/>
            </w:pPr>
            <w:r>
              <w:t xml:space="preserve">Usos, poblaciones, datos, decisiones, jurisdicciones o funciones que no están permitidas</w:t>
            </w:r>
          </w:p>
        </w:tc>
      </w:tr>
      <w:tr>
        <w:tc>
          <w:tcPr/>
          <w:p>
            <w:pPr>
              <w:pStyle w:val="Compact"/>
              <w:jc w:val="left"/>
            </w:pPr>
            <w:r>
              <w:t xml:space="preserve">Uso real</w:t>
            </w:r>
          </w:p>
        </w:tc>
        <w:tc>
          <w:tcPr/>
          <w:p>
            <w:pPr>
              <w:pStyle w:val="Compact"/>
              <w:jc w:val="left"/>
            </w:pPr>
            <w:r>
              <w:t xml:space="preserve">Uso operacional actual, incluidas las desviaciones de la finalidad prevista aprobada</w:t>
            </w:r>
          </w:p>
        </w:tc>
      </w:tr>
      <w:tr>
        <w:tc>
          <w:tcPr/>
          <w:p>
            <w:pPr>
              <w:pStyle w:val="Compact"/>
              <w:jc w:val="left"/>
            </w:pPr>
            <w:r>
              <w:t xml:space="preserve">Usuarios</w:t>
            </w:r>
          </w:p>
        </w:tc>
        <w:tc>
          <w:tcPr/>
          <w:p>
            <w:pPr>
              <w:pStyle w:val="Compact"/>
              <w:jc w:val="left"/>
            </w:pPr>
            <w:r>
              <w:t xml:space="preserve">Empleados, contratistas, clientes, usuarios públicos, socios, autoridades u otros</w:t>
            </w:r>
          </w:p>
        </w:tc>
      </w:tr>
      <w:tr>
        <w:tc>
          <w:tcPr/>
          <w:p>
            <w:pPr>
              <w:pStyle w:val="Compact"/>
              <w:jc w:val="left"/>
            </w:pPr>
            <w:r>
              <w:t xml:space="preserve">Personas afectadas</w:t>
            </w:r>
          </w:p>
        </w:tc>
        <w:tc>
          <w:tcPr/>
          <w:p>
            <w:pPr>
              <w:pStyle w:val="Compact"/>
              <w:jc w:val="left"/>
            </w:pPr>
            <w:r>
              <w:t xml:space="preserve">Personas o grupos afectados materialmente, incluidos trabajadores, solicitantes, viajeros, niños, personas vulnerables o grupos protegidos</w:t>
            </w:r>
          </w:p>
        </w:tc>
      </w:tr>
      <w:tr>
        <w:tc>
          <w:tcPr/>
          <w:p>
            <w:pPr>
              <w:pStyle w:val="Compact"/>
              <w:jc w:val="left"/>
            </w:pPr>
            <w:r>
              <w:t xml:space="preserve">Técnica de IA</w:t>
            </w:r>
          </w:p>
        </w:tc>
        <w:tc>
          <w:tcPr/>
          <w:p>
            <w:pPr>
              <w:pStyle w:val="Compact"/>
              <w:jc w:val="left"/>
            </w:pPr>
            <w:r>
              <w:t xml:space="preserve">Reglas, aprendizaje automático, aprendizaje profundo, IA generativa, GPAI, AI agente, sistema biométrico, recomendador, híbrido, otros</w:t>
            </w:r>
          </w:p>
        </w:tc>
      </w:tr>
      <w:tr>
        <w:tc>
          <w:tcPr/>
          <w:p>
            <w:pPr>
              <w:pStyle w:val="Compact"/>
              <w:jc w:val="left"/>
            </w:pPr>
            <w:r>
              <w:t xml:space="preserve">Arquitectura del sistema</w:t>
            </w:r>
          </w:p>
        </w:tc>
        <w:tc>
          <w:tcPr/>
          <w:p>
            <w:pPr>
              <w:pStyle w:val="Compact"/>
              <w:jc w:val="left"/>
            </w:pPr>
            <w:r>
              <w:t xml:space="preserve">Principales componentes, interfaces, recuperación, herramientas, agentes, automatización, reserva y puntos de control humano</w:t>
            </w:r>
          </w:p>
        </w:tc>
      </w:tr>
      <w:tr>
        <w:tc>
          <w:tcPr/>
          <w:p>
            <w:pPr>
              <w:pStyle w:val="Compact"/>
              <w:jc w:val="left"/>
            </w:pPr>
            <w:r>
              <w:t xml:space="preserve">Versión/configuración</w:t>
            </w:r>
          </w:p>
        </w:tc>
        <w:tc>
          <w:tcPr/>
          <w:p>
            <w:pPr>
              <w:pStyle w:val="Compact"/>
              <w:jc w:val="left"/>
            </w:pPr>
            <w:r>
              <w:t xml:space="preserve">Modelo de producción, sistema, avisos, instrucciones del sistema, herramientas, datos, parámetros, código e identificadores de liberación</w:t>
            </w:r>
          </w:p>
        </w:tc>
      </w:tr>
      <w:tr>
        <w:tc>
          <w:tcPr/>
          <w:p>
            <w:pPr>
              <w:pStyle w:val="Compact"/>
              <w:jc w:val="left"/>
            </w:pPr>
            <w:r>
              <w:t xml:space="preserve">Proveedor/vendor</w:t>
            </w:r>
          </w:p>
        </w:tc>
        <w:tc>
          <w:tcPr/>
          <w:p>
            <w:pPr>
              <w:pStyle w:val="Compact"/>
              <w:jc w:val="left"/>
            </w:pPr>
            <w:r>
              <w:t xml:space="preserve">Equipo interno o proveedor externo</w:t>
            </w:r>
          </w:p>
        </w:tc>
      </w:tr>
      <w:tr>
        <w:tc>
          <w:tcPr/>
          <w:p>
            <w:pPr>
              <w:pStyle w:val="Compact"/>
              <w:jc w:val="left"/>
            </w:pPr>
            <w:r>
              <w:t xml:space="preserve">Dependencias críticas</w:t>
            </w:r>
          </w:p>
        </w:tc>
        <w:tc>
          <w:tcPr/>
          <w:p>
            <w:pPr>
              <w:pStyle w:val="Compact"/>
              <w:jc w:val="left"/>
            </w:pPr>
            <w:r>
              <w:t xml:space="preserve">Modelos, API, servicios en la nube, conjuntos de datos, software, componentes de código abierto, subprocesadores e infraestructura</w:t>
            </w:r>
          </w:p>
        </w:tc>
      </w:tr>
      <w:tr>
        <w:tc>
          <w:tcPr/>
          <w:p>
            <w:pPr>
              <w:pStyle w:val="Compact"/>
              <w:jc w:val="left"/>
            </w:pPr>
            <w:r>
              <w:t xml:space="preserve">Competencias</w:t>
            </w:r>
          </w:p>
        </w:tc>
        <w:tc>
          <w:tcPr/>
          <w:p>
            <w:pPr>
              <w:pStyle w:val="Compact"/>
              <w:jc w:val="left"/>
            </w:pPr>
            <w:r>
              <w:t xml:space="preserve">Desarrollo, colocación en el mercado, despliegue, uso de productos, alojamiento, apoyo y ubicaciones de las personas afectadas</w:t>
            </w:r>
          </w:p>
        </w:tc>
      </w:tr>
      <w:tr>
        <w:tc>
          <w:tcPr/>
          <w:p>
            <w:pPr>
              <w:pStyle w:val="Compact"/>
              <w:jc w:val="left"/>
            </w:pPr>
            <w:r>
              <w:t xml:space="preserve">Sector/contexto de uso</w:t>
            </w:r>
          </w:p>
        </w:tc>
        <w:tc>
          <w:tcPr/>
          <w:p>
            <w:pPr>
              <w:pStyle w:val="Compact"/>
              <w:jc w:val="left"/>
            </w:pPr>
            <w:r>
              <w:t xml:space="preserve">Empleo, educación, crédito, seguros, viajes, salud, servicios públicos, seguridad, cumplimiento de la ley, migración, justicia, consumidores, otros</w:t>
            </w:r>
          </w:p>
        </w:tc>
      </w:tr>
      <w:tr>
        <w:tc>
          <w:tcPr/>
          <w:p>
            <w:pPr>
              <w:pStyle w:val="Compact"/>
              <w:jc w:val="left"/>
            </w:pPr>
            <w:r>
              <w:t xml:space="preserve">Aplicabilidad de la Ley de IA de la UE</w:t>
            </w:r>
          </w:p>
        </w:tc>
        <w:tc>
          <w:tcPr/>
          <w:p>
            <w:pPr>
              <w:pStyle w:val="Compact"/>
              <w:jc w:val="left"/>
            </w:pPr>
            <w:r>
              <w:t xml:space="preserve">En el ámbito de aplicación, parcialmente en el ámbito de aplicación, fuera del ámbito de aplicación, excluido/tratado especialmente, incierto, pendiente de revisión jurídica</w:t>
            </w:r>
          </w:p>
        </w:tc>
      </w:tr>
      <w:tr>
        <w:tc>
          <w:tcPr/>
          <w:p>
            <w:pPr>
              <w:pStyle w:val="Compact"/>
              <w:jc w:val="left"/>
            </w:pPr>
            <w:r>
              <w:t xml:space="preserve">Exámenes del artículo 5</w:t>
            </w:r>
          </w:p>
        </w:tc>
        <w:tc>
          <w:tcPr/>
          <w:p>
            <w:pPr>
              <w:pStyle w:val="Compact"/>
              <w:jc w:val="left"/>
            </w:pPr>
            <w:r>
              <w:t xml:space="preserve">No hay preocupación, posible práctica prohibida, prohibido, análisis de excepciones requiere</w:t>
            </w:r>
          </w:p>
        </w:tc>
      </w:tr>
      <w:tr>
        <w:tc>
          <w:tcPr/>
          <w:p>
            <w:pPr>
              <w:pStyle w:val="Compact"/>
              <w:jc w:val="left"/>
            </w:pPr>
            <w:r>
              <w:t xml:space="preserve">Clasificación de alto riesgo</w:t>
            </w:r>
          </w:p>
        </w:tc>
        <w:tc>
          <w:tcPr/>
          <w:p>
            <w:pPr>
              <w:pStyle w:val="Compact"/>
              <w:jc w:val="left"/>
            </w:pPr>
            <w:r>
              <w:t xml:space="preserve">Artículo 6, apartado 1/anexo I, artículo 6, apartado 2/anexo III, artículo 6, apartado 3, excepción considerada, no de alto riesgo, incierta</w:t>
            </w:r>
          </w:p>
        </w:tc>
      </w:tr>
      <w:tr>
        <w:tc>
          <w:tcPr/>
          <w:p>
            <w:pPr>
              <w:pStyle w:val="Compact"/>
              <w:jc w:val="left"/>
            </w:pPr>
            <w:r>
              <w:t xml:space="preserve">Clasificación de la transparencia</w:t>
            </w:r>
          </w:p>
        </w:tc>
        <w:tc>
          <w:tcPr/>
          <w:p>
            <w:pPr>
              <w:pStyle w:val="Compact"/>
              <w:jc w:val="left"/>
            </w:pPr>
            <w:r>
              <w:t xml:space="preserve">Artículo 13, artículo 26, artículo 50, otro derecho de notificación, ninguno identificado, incierto</w:t>
            </w:r>
          </w:p>
        </w:tc>
      </w:tr>
      <w:tr>
        <w:tc>
          <w:tcPr/>
          <w:p>
            <w:pPr>
              <w:pStyle w:val="Compact"/>
              <w:jc w:val="left"/>
            </w:pPr>
            <w:r>
              <w:t xml:space="preserve">Situación de la GPAI</w:t>
            </w:r>
          </w:p>
        </w:tc>
        <w:tc>
          <w:tcPr/>
          <w:p>
            <w:pPr>
              <w:pStyle w:val="Compact"/>
              <w:jc w:val="left"/>
            </w:pPr>
            <w:r>
              <w:t xml:space="preserve">Modelo GPAI, modelo GPAI con riesgo sistémico, sistema descendente utilizando GPAI, no aplicable, incierto</w:t>
            </w:r>
          </w:p>
        </w:tc>
      </w:tr>
      <w:tr>
        <w:tc>
          <w:tcPr/>
          <w:p>
            <w:pPr>
              <w:pStyle w:val="Compact"/>
              <w:jc w:val="left"/>
            </w:pPr>
            <w:r>
              <w:t xml:space="preserve">Nivel de riesgo para la gobernanza</w:t>
            </w:r>
          </w:p>
        </w:tc>
        <w:tc>
          <w:tcPr/>
          <w:p>
            <w:pPr>
              <w:pStyle w:val="Compact"/>
              <w:jc w:val="left"/>
            </w:pPr>
            <w:r>
              <w:t xml:space="preserve">Nivel de riesgo definido por la organización, claramente separado de la clasificación legal</w:t>
            </w:r>
          </w:p>
        </w:tc>
      </w:tr>
      <w:tr>
        <w:tc>
          <w:tcPr/>
          <w:p>
            <w:pPr>
              <w:pStyle w:val="Compact"/>
              <w:jc w:val="left"/>
            </w:pPr>
            <w:r>
              <w:t xml:space="preserve">Fuentes de datos</w:t>
            </w:r>
          </w:p>
        </w:tc>
        <w:tc>
          <w:tcPr/>
          <w:p>
            <w:pPr>
              <w:pStyle w:val="Compact"/>
              <w:jc w:val="left"/>
            </w:pPr>
            <w:r>
              <w:t xml:space="preserve">Capacitación, afinación, validación, recuperación, entrada, operación, monitoreo y datos de retroalimentación</w:t>
            </w:r>
          </w:p>
        </w:tc>
      </w:tr>
      <w:tr>
        <w:tc>
          <w:tcPr/>
          <w:p>
            <w:pPr>
              <w:pStyle w:val="Compact"/>
              <w:jc w:val="left"/>
            </w:pPr>
            <w:r>
              <w:t xml:space="preserve">Características de los datos</w:t>
            </w:r>
          </w:p>
        </w:tc>
        <w:tc>
          <w:tcPr/>
          <w:p>
            <w:pPr>
              <w:pStyle w:val="Compact"/>
              <w:jc w:val="left"/>
            </w:pPr>
            <w:r>
              <w:t xml:space="preserve">Personal, categoría especial, biométrico, confidencial, copyright, infantil, sintético, público, licenciado, otros</w:t>
            </w:r>
          </w:p>
        </w:tc>
      </w:tr>
      <w:tr>
        <w:tc>
          <w:tcPr/>
          <w:p>
            <w:pPr>
              <w:pStyle w:val="Compact"/>
              <w:jc w:val="left"/>
            </w:pPr>
            <w:r>
              <w:t xml:space="preserve">Gobernanza de los datos</w:t>
            </w:r>
          </w:p>
        </w:tc>
        <w:tc>
          <w:tcPr/>
          <w:p>
            <w:pPr>
              <w:pStyle w:val="Compact"/>
              <w:jc w:val="left"/>
            </w:pPr>
            <w:r>
              <w:t xml:space="preserve">Procedencia, linaje, calidad, representatividad, controles de sesgos, retención, supresión, localización y transferencia de información</w:t>
            </w:r>
          </w:p>
        </w:tc>
      </w:tr>
      <w:tr>
        <w:tc>
          <w:tcPr/>
          <w:p>
            <w:pPr>
              <w:pStyle w:val="Compact"/>
              <w:jc w:val="left"/>
            </w:pPr>
            <w:r>
              <w:t xml:space="preserve">Productos/medidas</w:t>
            </w:r>
          </w:p>
        </w:tc>
        <w:tc>
          <w:tcPr/>
          <w:p>
            <w:pPr>
              <w:pStyle w:val="Compact"/>
              <w:jc w:val="left"/>
            </w:pPr>
            <w:r>
              <w:t xml:space="preserve">Predicciones, rankings, recomendaciones, contenido, puntuaciones, clasificaciones, decisiones, alertas, llamadas de herramientas o acciones automatizadas</w:t>
            </w:r>
          </w:p>
        </w:tc>
      </w:tr>
      <w:tr>
        <w:tc>
          <w:tcPr/>
          <w:p>
            <w:pPr>
              <w:pStyle w:val="Compact"/>
              <w:jc w:val="left"/>
            </w:pPr>
            <w:r>
              <w:t xml:space="preserve">Repercusión de la decisión</w:t>
            </w:r>
          </w:p>
        </w:tc>
        <w:tc>
          <w:tcPr/>
          <w:p>
            <w:pPr>
              <w:pStyle w:val="Compact"/>
              <w:jc w:val="left"/>
            </w:pPr>
            <w:r>
              <w:t xml:space="preserve">Asesoramiento, influencia material, decisión automatizada, seguridad crítica, impacto en los derechos, finanzas, empleo, acceso a los servicios, otros</w:t>
            </w:r>
          </w:p>
        </w:tc>
      </w:tr>
      <w:tr>
        <w:tc>
          <w:tcPr/>
          <w:p>
            <w:pPr>
              <w:pStyle w:val="Compact"/>
              <w:jc w:val="left"/>
            </w:pPr>
            <w:r>
              <w:t xml:space="preserve">Supervisión humana</w:t>
            </w:r>
          </w:p>
        </w:tc>
        <w:tc>
          <w:tcPr/>
          <w:p>
            <w:pPr>
              <w:pStyle w:val="Compact"/>
              <w:jc w:val="left"/>
            </w:pPr>
            <w:r>
              <w:t xml:space="preserve">Revisor, competencia, autoridad, anulación, parada, apelación, escalada, retroceso y necesidades de personal</w:t>
            </w:r>
          </w:p>
        </w:tc>
      </w:tr>
      <w:tr>
        <w:tc>
          <w:tcPr/>
          <w:p>
            <w:pPr>
              <w:pStyle w:val="Compact"/>
              <w:jc w:val="left"/>
            </w:pPr>
            <w:r>
              <w:t xml:space="preserve">Evaluaciones necesarias</w:t>
            </w:r>
          </w:p>
        </w:tc>
        <w:tc>
          <w:tcPr/>
          <w:p>
            <w:pPr>
              <w:pStyle w:val="Compact"/>
              <w:jc w:val="left"/>
            </w:pPr>
            <w:r>
              <w:t xml:space="preserve">Aplicabilidad, función, práctica prohibida, alto riesgo, FRIA, DPIA, seguridad, datos, proveedor, conformidad, transparencia, modificación sustancial, otros</w:t>
            </w:r>
          </w:p>
        </w:tc>
      </w:tr>
      <w:tr>
        <w:tc>
          <w:tcPr/>
          <w:p>
            <w:pPr>
              <w:pStyle w:val="Compact"/>
              <w:jc w:val="left"/>
            </w:pPr>
            <w:r>
              <w:t xml:space="preserve">Documentación técnica</w:t>
            </w:r>
          </w:p>
        </w:tc>
        <w:tc>
          <w:tcPr/>
          <w:p>
            <w:pPr>
              <w:pStyle w:val="Compact"/>
              <w:jc w:val="left"/>
            </w:pPr>
            <w:r>
              <w:t xml:space="preserve">Índice, propietario, ubicación, versión, estado y mapa aplicable del anexo IV</w:t>
            </w:r>
          </w:p>
        </w:tc>
      </w:tr>
      <w:tr>
        <w:tc>
          <w:tcPr/>
          <w:p>
            <w:pPr>
              <w:pStyle w:val="Compact"/>
              <w:jc w:val="left"/>
            </w:pPr>
            <w:r>
              <w:t xml:space="preserve">Conformidad/registro</w:t>
            </w:r>
          </w:p>
        </w:tc>
        <w:tc>
          <w:tcPr/>
          <w:p>
            <w:pPr>
              <w:pStyle w:val="Compact"/>
              <w:jc w:val="left"/>
            </w:pPr>
            <w:r>
              <w:t xml:space="preserve">Ruta, participación del organismo notificado, declaración, marcado CE, registro, estado y pruebas, cuando proceda</w:t>
            </w:r>
          </w:p>
        </w:tc>
      </w:tr>
      <w:tr>
        <w:tc>
          <w:tcPr/>
          <w:p>
            <w:pPr>
              <w:pStyle w:val="Compact"/>
              <w:jc w:val="left"/>
            </w:pPr>
            <w:r>
              <w:t xml:space="preserve">Derechos de transparencia</w:t>
            </w:r>
          </w:p>
        </w:tc>
        <w:tc>
          <w:tcPr/>
          <w:p>
            <w:pPr>
              <w:pStyle w:val="Compact"/>
              <w:jc w:val="left"/>
            </w:pPr>
            <w:r>
              <w:t xml:space="preserve">Avisos, etiquetas, instrucciones, revelaciones, marcas legibles por máquina, idiomas y accesibilidad</w:t>
            </w:r>
          </w:p>
        </w:tc>
      </w:tr>
      <w:tr>
        <w:tc>
          <w:tcPr/>
          <w:p>
            <w:pPr>
              <w:pStyle w:val="Compact"/>
              <w:jc w:val="left"/>
            </w:pPr>
            <w:r>
              <w:t xml:space="preserve">Supervisión</w:t>
            </w:r>
          </w:p>
        </w:tc>
        <w:tc>
          <w:tcPr/>
          <w:p>
            <w:pPr>
              <w:pStyle w:val="Compact"/>
              <w:jc w:val="left"/>
            </w:pPr>
            <w:r>
              <w:t xml:space="preserve">Rendimiento, precisión, deriva, resultados de subgrupos, sesgo, seguridad, robustez, incidentes, quejas, anulaciones y umbrales</w:t>
            </w:r>
          </w:p>
        </w:tc>
      </w:tr>
      <w:tr>
        <w:tc>
          <w:tcPr/>
          <w:p>
            <w:pPr>
              <w:pStyle w:val="Compact"/>
              <w:jc w:val="left"/>
            </w:pPr>
            <w:r>
              <w:t xml:space="preserve">Derechos de incidencia/notificación</w:t>
            </w:r>
          </w:p>
        </w:tc>
        <w:tc>
          <w:tcPr/>
          <w:p>
            <w:pPr>
              <w:pStyle w:val="Compact"/>
              <w:jc w:val="left"/>
            </w:pPr>
            <w:r>
              <w:t xml:space="preserve">Consideraciones relativas a incidentes graves, medidas correctivas, privacidad, seguridad cibernética, productos, empleo, consumidores o sector</w:t>
            </w:r>
          </w:p>
        </w:tc>
      </w:tr>
      <w:tr>
        <w:tc>
          <w:tcPr/>
          <w:p>
            <w:pPr>
              <w:pStyle w:val="Compact"/>
              <w:jc w:val="left"/>
            </w:pPr>
            <w:r>
              <w:t xml:space="preserve">Cambiar los disparadores</w:t>
            </w:r>
          </w:p>
        </w:tc>
        <w:tc>
          <w:tcPr/>
          <w:p>
            <w:pPr>
              <w:pStyle w:val="Compact"/>
              <w:jc w:val="left"/>
            </w:pPr>
            <w:r>
              <w:t xml:space="preserve">Modelo, versión, propósito, datos, proveedor, población, jurisdicción, interfaz, capacidad o cambio legal</w:t>
            </w:r>
          </w:p>
        </w:tc>
      </w:tr>
      <w:tr>
        <w:tc>
          <w:tcPr/>
          <w:p>
            <w:pPr>
              <w:pStyle w:val="Compact"/>
              <w:jc w:val="left"/>
            </w:pPr>
            <w:r>
              <w:t xml:space="preserve">Localización de las pruebas</w:t>
            </w:r>
          </w:p>
        </w:tc>
        <w:tc>
          <w:tcPr/>
          <w:p>
            <w:pPr>
              <w:pStyle w:val="Compact"/>
              <w:jc w:val="left"/>
            </w:pPr>
            <w:r>
              <w:t xml:space="preserve">Sistema de registro y repositorio vinculado a versiones</w:t>
            </w:r>
          </w:p>
        </w:tc>
      </w:tr>
      <w:tr>
        <w:tc>
          <w:tcPr/>
          <w:p>
            <w:pPr>
              <w:pStyle w:val="Compact"/>
              <w:jc w:val="left"/>
            </w:pPr>
            <w:r>
              <w:t xml:space="preserve">Retención</w:t>
            </w:r>
          </w:p>
        </w:tc>
        <w:tc>
          <w:tcPr/>
          <w:p>
            <w:pPr>
              <w:pStyle w:val="Compact"/>
              <w:jc w:val="left"/>
            </w:pPr>
            <w:r>
              <w:t xml:space="preserve">Requisitos legales, contractuales, operativos y legales aplicables</w:t>
            </w:r>
          </w:p>
        </w:tc>
      </w:tr>
      <w:tr>
        <w:tc>
          <w:tcPr/>
          <w:p>
            <w:pPr>
              <w:pStyle w:val="Compact"/>
              <w:jc w:val="left"/>
            </w:pPr>
            <w:r>
              <w:t xml:space="preserve">Fechas de aplicación</w:t>
            </w:r>
          </w:p>
        </w:tc>
        <w:tc>
          <w:tcPr/>
          <w:p>
            <w:pPr>
              <w:pStyle w:val="Compact"/>
              <w:jc w:val="left"/>
            </w:pPr>
            <w:r>
              <w:t xml:space="preserve">Fechas de entrada en vigor específicas de las disposiciones y normas transitorias</w:t>
            </w:r>
          </w:p>
        </w:tc>
      </w:tr>
      <w:tr>
        <w:tc>
          <w:tcPr/>
          <w:p>
            <w:pPr>
              <w:pStyle w:val="Compact"/>
              <w:jc w:val="left"/>
            </w:pPr>
            <w:r>
              <w:t xml:space="preserve">Homologación/estatuto</w:t>
            </w:r>
          </w:p>
        </w:tc>
        <w:tc>
          <w:tcPr/>
          <w:p>
            <w:pPr>
              <w:pStyle w:val="Compact"/>
              <w:jc w:val="left"/>
            </w:pPr>
            <w:r>
              <w:t xml:space="preserve">Aprobado, condicional, restringido, suspendido, rechazado, retirado</w:t>
            </w:r>
          </w:p>
        </w:tc>
      </w:tr>
      <w:tr>
        <w:tc>
          <w:tcPr/>
          <w:p>
            <w:pPr>
              <w:pStyle w:val="Compact"/>
              <w:jc w:val="left"/>
            </w:pPr>
            <w:r>
              <w:t xml:space="preserve">Conclusiones abiertas</w:t>
            </w:r>
          </w:p>
        </w:tc>
        <w:tc>
          <w:tcPr/>
          <w:p>
            <w:pPr>
              <w:pStyle w:val="Compact"/>
              <w:jc w:val="left"/>
            </w:pPr>
            <w:r>
              <w:t xml:space="preserve">Deficiencias materiales, excepciones, condiciones, rehabilitación y fechas de vencimiento</w:t>
            </w:r>
          </w:p>
        </w:tc>
      </w:tr>
      <w:tr>
        <w:tc>
          <w:tcPr/>
          <w:p>
            <w:pPr>
              <w:pStyle w:val="Compact"/>
              <w:jc w:val="left"/>
            </w:pPr>
            <w:r>
              <w:t xml:space="preserve">Historial de revisiones</w:t>
            </w:r>
          </w:p>
        </w:tc>
        <w:tc>
          <w:tcPr/>
          <w:p>
            <w:pPr>
              <w:pStyle w:val="Compact"/>
              <w:jc w:val="left"/>
            </w:pPr>
            <w:r>
              <w:t xml:space="preserve">Última revisión, próxima revisión, desencadenante, revisor, decisión y justificación</w:t>
            </w:r>
          </w:p>
        </w:tc>
      </w:tr>
    </w:tbl>
    <w:bookmarkEnd w:id="1406"/>
    <w:bookmarkStart w:id="1407" w:name="requisitos-mínimos-de-control"/>
    <w:p>
      <w:pPr>
        <w:pStyle w:val="Heading2"/>
      </w:pPr>
      <w:r>
        <w:rPr>
          <w:rStyle w:val="SectionNumber"/>
        </w:rPr>
        <w:t xml:space="preserve">2.4</w:t>
      </w:r>
      <w:r>
        <w:tab/>
      </w:r>
      <w:r>
        <w:t xml:space="preserve">Requisitos mínimos de control</w:t>
      </w:r>
    </w:p>
    <w:p>
      <w:pPr>
        <w:numPr>
          <w:ilvl w:val="0"/>
          <w:numId w:val="1486"/>
        </w:numPr>
        <w:pStyle w:val="Compact"/>
      </w:pPr>
      <w:r>
        <w:t xml:space="preserve">Asignar a los propietarios responsables de negocios, técnicos y de control.</w:t>
      </w:r>
    </w:p>
    <w:p>
      <w:pPr>
        <w:numPr>
          <w:ilvl w:val="0"/>
          <w:numId w:val="1486"/>
        </w:numPr>
        <w:pStyle w:val="Compact"/>
      </w:pPr>
      <w:r>
        <w:t xml:space="preserve">Recordar sistemas de producción de materiales, pilotos, pruebas de concepto, características de IA integradas, integraciones de GPAI y IA suministradas externamente.</w:t>
      </w:r>
    </w:p>
    <w:p>
      <w:pPr>
        <w:numPr>
          <w:ilvl w:val="0"/>
          <w:numId w:val="1486"/>
        </w:numPr>
        <w:pStyle w:val="Compact"/>
      </w:pPr>
      <w:r>
        <w:t xml:space="preserve">Reconciliar el inventario con los registros de adquisiciones, finanzas, nube, software, datos, seguridad, recursos humanos, productos, legales y proveedores.</w:t>
      </w:r>
    </w:p>
    <w:p>
      <w:pPr>
        <w:numPr>
          <w:ilvl w:val="0"/>
          <w:numId w:val="1486"/>
        </w:numPr>
        <w:pStyle w:val="Compact"/>
      </w:pPr>
      <w:r>
        <w:t xml:space="preserve">Vincular cada entrada a la aplicabilidad, función, clasificación, riesgo, proveedor, evaluación, control, pruebas y registros de aprobación.</w:t>
      </w:r>
    </w:p>
    <w:p>
      <w:pPr>
        <w:numPr>
          <w:ilvl w:val="0"/>
          <w:numId w:val="1486"/>
        </w:numPr>
        <w:pStyle w:val="Compact"/>
      </w:pPr>
      <w:r>
        <w:t xml:space="preserve">Distinguir la operación real de la finalidad prevista y registrar el uso no autorizado o de la iA sombra.</w:t>
      </w:r>
    </w:p>
    <w:p>
      <w:pPr>
        <w:numPr>
          <w:ilvl w:val="0"/>
          <w:numId w:val="1486"/>
        </w:numPr>
        <w:pStyle w:val="Compact"/>
      </w:pPr>
      <w:r>
        <w:t xml:space="preserve">Preservar versiones históricas, decisiones de rol y clasificación, restricciones, suspensiones, revisiones de modificaciones sustanciales y pruebas de jubilación.</w:t>
      </w:r>
    </w:p>
    <w:p>
      <w:pPr>
        <w:numPr>
          <w:ilvl w:val="0"/>
          <w:numId w:val="1486"/>
        </w:numPr>
        <w:pStyle w:val="Compact"/>
      </w:pPr>
      <w:r>
        <w:t xml:space="preserve">Reevaluar después de propósito, actor-papel, versión, modelo, datos, proveedor, población, jurisdicción, incidente, queja, o cambio legal.</w:t>
      </w:r>
    </w:p>
    <w:p>
      <w:pPr>
        <w:numPr>
          <w:ilvl w:val="0"/>
          <w:numId w:val="1486"/>
        </w:numPr>
        <w:pStyle w:val="Compact"/>
      </w:pPr>
      <w:r>
        <w:t xml:space="preserve">Escalar sistemas sin dueño, indocumentados, prohibidos o materialmente inciertos según la gravedad.</w:t>
      </w:r>
    </w:p>
    <w:p>
      <w:pPr>
        <w:numPr>
          <w:ilvl w:val="0"/>
          <w:numId w:val="1486"/>
        </w:numPr>
        <w:pStyle w:val="Compact"/>
      </w:pPr>
      <w:r>
        <w:t xml:space="preserve">Los actuales textos jurídicos oficiales consolidados controlan los resúmenes antiguos.</w:t>
      </w:r>
    </w:p>
    <w:bookmarkEnd w:id="1407"/>
    <w:bookmarkStart w:id="1408" w:name="X1c4382c5d19c9e5098efd13ff295325a2ad5d74"/>
    <w:p>
      <w:pPr>
        <w:pStyle w:val="Heading2"/>
      </w:pPr>
      <w:r>
        <w:rPr>
          <w:rStyle w:val="SectionNumber"/>
        </w:rPr>
        <w:t xml:space="preserve">2.5</w:t>
      </w:r>
      <w:r>
        <w:tab/>
      </w:r>
      <w:r>
        <w:t xml:space="preserve">Comprobación de la calidad del inventario</w:t>
      </w:r>
    </w:p>
    <w:p>
      <w:pPr>
        <w:pStyle w:val="FirstParagraph"/>
      </w:pPr>
      <w:r>
        <w:t xml:space="preserve">Confirmar periódicamente que:</w:t>
      </w:r>
    </w:p>
    <w:p>
      <w:pPr>
        <w:numPr>
          <w:ilvl w:val="0"/>
          <w:numId w:val="1487"/>
        </w:numPr>
        <w:pStyle w:val="Compact"/>
      </w:pPr>
      <w:r>
        <w:t xml:space="preserve">cada sistema de IA de material e integración GPAI tiene un registro único;</w:t>
      </w:r>
    </w:p>
    <w:p>
      <w:pPr>
        <w:numPr>
          <w:ilvl w:val="0"/>
          <w:numId w:val="1487"/>
        </w:numPr>
        <w:pStyle w:val="Compact"/>
      </w:pPr>
      <w:r>
        <w:t xml:space="preserve">las versiones de producción coinciden con la documentación aprobada;</w:t>
      </w:r>
    </w:p>
    <w:p>
      <w:pPr>
        <w:numPr>
          <w:ilvl w:val="0"/>
          <w:numId w:val="1487"/>
        </w:numPr>
        <w:pStyle w:val="Compact"/>
      </w:pPr>
      <w:r>
        <w:t xml:space="preserve">los propietarios, los proveedores, las jurisdicciones y el estado del ciclo de vida son actuales;</w:t>
      </w:r>
    </w:p>
    <w:p>
      <w:pPr>
        <w:numPr>
          <w:ilvl w:val="0"/>
          <w:numId w:val="1487"/>
        </w:numPr>
        <w:pStyle w:val="Compact"/>
      </w:pPr>
      <w:r>
        <w:t xml:space="preserve">la clasificación legal y el nivel de gobernanza interna no se confabulan;</w:t>
      </w:r>
    </w:p>
    <w:p>
      <w:pPr>
        <w:numPr>
          <w:ilvl w:val="0"/>
          <w:numId w:val="1487"/>
        </w:numPr>
        <w:pStyle w:val="Compact"/>
      </w:pPr>
      <w:r>
        <w:t xml:space="preserve">las evaluaciones y aprobaciones requeridas estén completas o explícitamente pendientes;</w:t>
      </w:r>
    </w:p>
    <w:p>
      <w:pPr>
        <w:numPr>
          <w:ilvl w:val="0"/>
          <w:numId w:val="1487"/>
        </w:numPr>
        <w:pStyle w:val="Compact"/>
      </w:pPr>
      <w:r>
        <w:t xml:space="preserve">los enlaces de pruebas son accesibles, coincidentes con las versiones y se conservan;</w:t>
      </w:r>
    </w:p>
    <w:p>
      <w:pPr>
        <w:numPr>
          <w:ilvl w:val="0"/>
          <w:numId w:val="1487"/>
        </w:numPr>
        <w:pStyle w:val="Compact"/>
      </w:pPr>
      <w:r>
        <w:t xml:space="preserve">los sistemas suspendidos y retirados no pueden continuar su funcionamiento no autorizado;</w:t>
      </w:r>
    </w:p>
    <w:p>
      <w:pPr>
        <w:numPr>
          <w:ilvl w:val="0"/>
          <w:numId w:val="1487"/>
        </w:numPr>
        <w:pStyle w:val="Compact"/>
      </w:pPr>
      <w:r>
        <w:t xml:space="preserve">cambios materiales desencadenan una reevaluación y aprobación.</w:t>
      </w:r>
    </w:p>
    <w:bookmarkEnd w:id="1408"/>
    <w:bookmarkStart w:id="1409" w:name="X36c2179634931cedb98c7248c11ddc9840141c3"/>
    <w:p>
      <w:pPr>
        <w:pStyle w:val="Heading2"/>
      </w:pPr>
      <w:r>
        <w:rPr>
          <w:rStyle w:val="SectionNumber"/>
        </w:rPr>
        <w:t xml:space="preserve">2.6</w:t>
      </w:r>
      <w:r>
        <w:tab/>
      </w:r>
      <w:r>
        <w:t xml:space="preserve">Ejemplo de servicios de viajes de GlobalWay</w:t>
      </w:r>
    </w:p>
    <w:p>
      <w:pPr>
        <w:pStyle w:val="FirstParagraph"/>
      </w:pPr>
      <w:r>
        <w:t xml:space="preserve">GlobalWay registra su chatbot de viajeros, sistema de selección de reclutamiento, modelo de fraude, asistente de interrupción, modelo de precios y herramientas de productividad de los empleados. El inventario identifica un modelo GPAI de terceros utilizado en dos sistemas, vincula cada despliegue con la entidad jurídica y jurisdicción correctas, registra controles de supervisión humana y transparencia, y marca una actualización de proveedores de sistemas de contratación para una modificación sustancial y una reevaluación de alto riesgo.</w:t>
      </w:r>
    </w:p>
    <w:bookmarkEnd w:id="1409"/>
    <w:bookmarkStart w:id="1410" w:name="certificación"/>
    <w:p>
      <w:pPr>
        <w:pStyle w:val="Heading2"/>
      </w:pPr>
      <w:r>
        <w:rPr>
          <w:rStyle w:val="SectionNumber"/>
        </w:rPr>
        <w:t xml:space="preserve">2.7</w:t>
      </w:r>
      <w:r>
        <w:tab/>
      </w:r>
      <w:r>
        <w:t xml:space="preserve">Certificación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técnico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Revisor jurídico/de 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Privacidad/Seguridad/Revisor de datos,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 </w:t>
      </w:r>
      <w:r>
        <w:t xml:space="preserve">Condiciones o excepciones:</w:t>
      </w:r>
      <w:r>
        <w:rPr>
          <w:bCs/>
          <w:b/>
        </w:rPr>
        <w:t xml:space="preserve"> </w:t>
      </w:r>
      <w:r>
        <w:t xml:space="preserve"> </w:t>
      </w:r>
      <w:r>
        <w:t xml:space="preserve">Conclusiones abiertas y fechas de vencimiento:</w:t>
      </w:r>
      <w:r>
        <w:rPr>
          <w:bCs/>
          <w:b/>
        </w:rPr>
        <w:t xml:space="preserve"> </w:t>
      </w:r>
      <w:r>
        <w:t xml:space="preserve">Pedido/fecha de la próxima revisión:</w:t>
      </w:r>
      <w:r>
        <w:rPr>
          <w:bCs/>
          <w:b/>
        </w:rPr>
        <w:t xml:space="preserve"> </w:t>
      </w:r>
      <w:r>
        <w:t xml:space="preserve"> </w:t>
      </w:r>
      <w:r>
        <w:t xml:space="preserve">Versión grabada:**</w:t>
      </w:r>
    </w:p>
    <w:bookmarkEnd w:id="1410"/>
    <w:bookmarkStart w:id="1411" w:name="referencias-jurídicas-primarias-107"/>
    <w:p>
      <w:pPr>
        <w:pStyle w:val="Heading2"/>
      </w:pPr>
      <w:r>
        <w:rPr>
          <w:rStyle w:val="SectionNumber"/>
        </w:rPr>
        <w:t xml:space="preserve">2.8</w:t>
      </w:r>
      <w:r>
        <w:tab/>
      </w:r>
      <w:r>
        <w:t xml:space="preserve">Referencias jurídicas primarias</w:t>
      </w:r>
    </w:p>
    <w:p>
      <w:pPr>
        <w:numPr>
          <w:ilvl w:val="0"/>
          <w:numId w:val="1488"/>
        </w:numPr>
        <w:pStyle w:val="Compact"/>
      </w:pPr>
      <w:r>
        <w:t xml:space="preserve">Reglamento (UE) 2024/1689, en su versión modificada: definiciones aplicables, ámbito territorial, funciones de actor, prácticas prohibidas, clasificación de alto riesgo, GPAI, transparencia, registro, documentación, seguimiento, incidentes y disposiciones relativas al acceso a la autoridad.</w:t>
      </w:r>
    </w:p>
    <w:p>
      <w:pPr>
        <w:numPr>
          <w:ilvl w:val="0"/>
          <w:numId w:val="1488"/>
        </w:numPr>
        <w:pStyle w:val="Compact"/>
      </w:pPr>
      <w:r>
        <w:t xml:space="preserve">Reglamento (UE) 2026/1744, en su caso.</w:t>
      </w:r>
    </w:p>
    <w:p>
      <w:pPr>
        <w:numPr>
          <w:ilvl w:val="0"/>
          <w:numId w:val="1488"/>
        </w:numPr>
        <w:pStyle w:val="Compact"/>
      </w:pPr>
      <w:r>
        <w:t xml:space="preserve">Reglamento (UE) 2016/679 y la legislación aplicable en materia de empleo, protección de los consumidores, ciberseguridad, seguridad de los productos, accesibilidad, igualdad, gestión de registros y sector.</w:t>
      </w:r>
    </w:p>
    <w:p>
      <w:pPr>
        <w:numPr>
          <w:ilvl w:val="0"/>
          <w:numId w:val="1488"/>
        </w:numPr>
        <w:pStyle w:val="Compact"/>
      </w:pPr>
      <w:r>
        <w:t xml:space="preserve">Los campos de inventario de esta plantilla son controles de gobernanza a menos que un deber jurídico específico obligue a un campo o registro.</w:t>
      </w:r>
    </w:p>
    <w:bookmarkEnd w:id="1411"/>
    <w:bookmarkStart w:id="1412" w:name="apéndice-b-formulario-de-admisión-de-ia"/>
    <w:p>
      <w:pPr>
        <w:pStyle w:val="Heading2"/>
      </w:pPr>
      <w:r>
        <w:rPr>
          <w:rStyle w:val="SectionNumber"/>
        </w:rPr>
        <w:t xml:space="preserve">2.9</w:t>
      </w:r>
      <w:r>
        <w:tab/>
      </w:r>
      <w:r>
        <w:t xml:space="preserve">Apéndice B — Formulario de admisión de IA</w:t>
      </w:r>
    </w:p>
    <w:p>
      <w:pPr>
        <w:pStyle w:val="BlockText"/>
      </w:pPr>
      <w:r>
        <w:rPr>
          <w:bCs/>
          <w:b/>
        </w:rPr>
        <w:t xml:space="preserve">Estatus legal:</w:t>
      </w:r>
      <w:r>
        <w:t xml:space="preserve"> </w:t>
      </w:r>
      <w:r>
        <w:t xml:space="preserve">Maestro inglés corregido. Este es un control de admisión organizacional. Las conclusiones legales obligatorias deben estar vinculadas al actor, sistema, modelo, uso, jurisdicción, provisión y fecha de aplicación relevante.</w:t>
      </w:r>
    </w:p>
    <w:bookmarkEnd w:id="1412"/>
    <w:bookmarkStart w:id="1413" w:name="finalidad-18"/>
    <w:p>
      <w:pPr>
        <w:pStyle w:val="Heading2"/>
      </w:pPr>
      <w:r>
        <w:rPr>
          <w:rStyle w:val="SectionNumber"/>
        </w:rPr>
        <w:t xml:space="preserve">2.10</w:t>
      </w:r>
      <w:r>
        <w:tab/>
      </w:r>
      <w:r>
        <w:t xml:space="preserve">Finalidad</w:t>
      </w:r>
    </w:p>
    <w:p>
      <w:pPr>
        <w:pStyle w:val="FirstParagraph"/>
      </w:pPr>
      <w:r>
        <w:t xml:space="preserve">Utilice este formulario antes de comprar, desarrollar, pilotar, cambiar materialmente, branding, integrar, poner en el mercado, poner en servicio, o implementar un sistema de IA o capacidad habilitada para GPAI.</w:t>
      </w:r>
    </w:p>
    <w:p>
      <w:pPr>
        <w:pStyle w:val="BodyText"/>
      </w:pPr>
      <w:r>
        <w:t xml:space="preserve">La admisión debe tener lugar con la suficiente antelación para detener la actividad prohibida o no apoyada, identificar las revisiones necesarias, preservar las pruebas, asignar la propiedad e impedir la liberación antes de que se cumplan las condiciones legales, técnicas, operativas y del proveedor.</w:t>
      </w:r>
    </w:p>
    <w:bookmarkEnd w:id="1413"/>
    <w:bookmarkStart w:id="1414" w:name="solicitar-información"/>
    <w:p>
      <w:pPr>
        <w:pStyle w:val="Heading2"/>
      </w:pPr>
      <w:r>
        <w:rPr>
          <w:rStyle w:val="SectionNumber"/>
        </w:rPr>
        <w:t xml:space="preserve">2.11</w:t>
      </w:r>
      <w:r>
        <w:tab/>
      </w:r>
      <w:r>
        <w:t xml:space="preserve">1. Solicitar información</w:t>
      </w:r>
    </w:p>
    <w:p>
      <w:pPr>
        <w:numPr>
          <w:ilvl w:val="0"/>
          <w:numId w:val="1489"/>
        </w:numPr>
        <w:pStyle w:val="Compact"/>
      </w:pPr>
      <w:r>
        <w:t xml:space="preserve">Título de la solicitud:</w:t>
      </w:r>
    </w:p>
    <w:p>
      <w:pPr>
        <w:numPr>
          <w:ilvl w:val="0"/>
          <w:numId w:val="1489"/>
        </w:numPr>
        <w:pStyle w:val="Compact"/>
      </w:pPr>
      <w:r>
        <w:t xml:space="preserve">Solicitud de unidad de negocio:</w:t>
      </w:r>
    </w:p>
    <w:p>
      <w:pPr>
        <w:numPr>
          <w:ilvl w:val="0"/>
          <w:numId w:val="1489"/>
        </w:numPr>
        <w:pStyle w:val="Compact"/>
      </w:pPr>
      <w:r>
        <w:t xml:space="preserve">Solicitante:</w:t>
      </w:r>
    </w:p>
    <w:p>
      <w:pPr>
        <w:numPr>
          <w:ilvl w:val="0"/>
          <w:numId w:val="1489"/>
        </w:numPr>
        <w:pStyle w:val="Compact"/>
      </w:pPr>
      <w:r>
        <w:t xml:space="preserve">Sponsor ejecutivo:</w:t>
      </w:r>
    </w:p>
    <w:p>
      <w:pPr>
        <w:numPr>
          <w:ilvl w:val="0"/>
          <w:numId w:val="1489"/>
        </w:numPr>
        <w:pStyle w:val="Compact"/>
      </w:pPr>
      <w:r>
        <w:t xml:space="preserve">Propietario del negocio:</w:t>
      </w:r>
    </w:p>
    <w:p>
      <w:pPr>
        <w:numPr>
          <w:ilvl w:val="0"/>
          <w:numId w:val="1489"/>
        </w:numPr>
        <w:pStyle w:val="Compact"/>
      </w:pPr>
      <w:r>
        <w:t xml:space="preserve">Propietario técnico:</w:t>
      </w:r>
    </w:p>
    <w:p>
      <w:pPr>
        <w:numPr>
          <w:ilvl w:val="0"/>
          <w:numId w:val="1489"/>
        </w:numPr>
        <w:pStyle w:val="Compact"/>
      </w:pPr>
      <w:r>
        <w:t xml:space="preserve">Entidad o entidades jurídicas:</w:t>
      </w:r>
    </w:p>
    <w:p>
      <w:pPr>
        <w:numPr>
          <w:ilvl w:val="0"/>
          <w:numId w:val="1489"/>
        </w:numPr>
        <w:pStyle w:val="Compact"/>
      </w:pPr>
      <w:r>
        <w:t xml:space="preserve">Países y territorios de desarrollo previsto, colocación en el mercado, despliegue, utilización de productos, alojamiento y apoyo:</w:t>
      </w:r>
    </w:p>
    <w:p>
      <w:pPr>
        <w:numPr>
          <w:ilvl w:val="0"/>
          <w:numId w:val="1489"/>
        </w:numPr>
        <w:pStyle w:val="Compact"/>
      </w:pPr>
      <w:r>
        <w:t xml:space="preserve">Fecha del proyecto piloto solicitada:</w:t>
      </w:r>
    </w:p>
    <w:p>
      <w:pPr>
        <w:numPr>
          <w:ilvl w:val="0"/>
          <w:numId w:val="1489"/>
        </w:numPr>
        <w:pStyle w:val="Compact"/>
      </w:pPr>
      <w:r>
        <w:t xml:space="preserve">Fecha de lanzamiento de la producción solicitada:</w:t>
      </w:r>
    </w:p>
    <w:p>
      <w:pPr>
        <w:numPr>
          <w:ilvl w:val="0"/>
          <w:numId w:val="1489"/>
        </w:numPr>
        <w:pStyle w:val="Compact"/>
      </w:pPr>
      <w:r>
        <w:t xml:space="preserve">Referencia de adquisiciones, proyectos, contratos o cambios:</w:t>
      </w:r>
    </w:p>
    <w:p>
      <w:pPr>
        <w:numPr>
          <w:ilvl w:val="0"/>
          <w:numId w:val="1489"/>
        </w:numPr>
        <w:pStyle w:val="Compact"/>
      </w:pPr>
      <w:r>
        <w:t xml:space="preserve">ID de inventario relacionado, si existe:</w:t>
      </w:r>
    </w:p>
    <w:p>
      <w:pPr>
        <w:numPr>
          <w:ilvl w:val="0"/>
          <w:numId w:val="1489"/>
        </w:numPr>
        <w:pStyle w:val="Compact"/>
      </w:pPr>
      <w:r>
        <w:t xml:space="preserve">Se está modificando el sistema/modelo/versión existente, si procede:</w:t>
      </w:r>
    </w:p>
    <w:bookmarkEnd w:id="1414"/>
    <w:bookmarkStart w:id="1415" w:name="descripción-del-caso-de-uso"/>
    <w:p>
      <w:pPr>
        <w:pStyle w:val="Heading2"/>
      </w:pPr>
      <w:r>
        <w:rPr>
          <w:rStyle w:val="SectionNumber"/>
        </w:rPr>
        <w:t xml:space="preserve">2.12</w:t>
      </w:r>
      <w:r>
        <w:tab/>
      </w:r>
      <w:r>
        <w:t xml:space="preserve">2. Descripción del caso de uso</w:t>
      </w:r>
    </w:p>
    <w:p>
      <w:pPr>
        <w:numPr>
          <w:ilvl w:val="0"/>
          <w:numId w:val="1490"/>
        </w:numPr>
        <w:pStyle w:val="Compact"/>
      </w:pPr>
      <w:r>
        <w:t xml:space="preserve">Problema empresarial:</w:t>
      </w:r>
    </w:p>
    <w:p>
      <w:pPr>
        <w:numPr>
          <w:ilvl w:val="0"/>
          <w:numId w:val="1490"/>
        </w:numPr>
        <w:pStyle w:val="Compact"/>
      </w:pPr>
      <w:r>
        <w:t xml:space="preserve">Finalidad prevista:</w:t>
      </w:r>
    </w:p>
    <w:p>
      <w:pPr>
        <w:numPr>
          <w:ilvl w:val="0"/>
          <w:numId w:val="1490"/>
        </w:numPr>
        <w:pStyle w:val="Compact"/>
      </w:pPr>
      <w:r>
        <w:t xml:space="preserve">Beneficios previstos:</w:t>
      </w:r>
    </w:p>
    <w:p>
      <w:pPr>
        <w:numPr>
          <w:ilvl w:val="0"/>
          <w:numId w:val="1490"/>
        </w:numPr>
        <w:pStyle w:val="Compact"/>
      </w:pPr>
      <w:r>
        <w:t xml:space="preserve">Usuarios:</w:t>
      </w:r>
    </w:p>
    <w:p>
      <w:pPr>
        <w:numPr>
          <w:ilvl w:val="0"/>
          <w:numId w:val="1490"/>
        </w:numPr>
        <w:pStyle w:val="Compact"/>
      </w:pPr>
      <w:r>
        <w:t xml:space="preserve">Personas y grupos afectados:</w:t>
      </w:r>
    </w:p>
    <w:p>
      <w:pPr>
        <w:numPr>
          <w:ilvl w:val="0"/>
          <w:numId w:val="1490"/>
        </w:numPr>
        <w:pStyle w:val="Compact"/>
      </w:pPr>
      <w:r>
        <w:t xml:space="preserve">Personas vulnerables, niños, trabajadores, solicitantes, viajeros, clientes o grupos protegidos afectados:</w:t>
      </w:r>
    </w:p>
    <w:p>
      <w:pPr>
        <w:numPr>
          <w:ilvl w:val="0"/>
          <w:numId w:val="1490"/>
        </w:numPr>
        <w:pStyle w:val="Compact"/>
      </w:pPr>
      <w:r>
        <w:t xml:space="preserve">Las decisiones, recomendaciones, clasificaciones, contenido o acciones influyeron:</w:t>
      </w:r>
    </w:p>
    <w:p>
      <w:pPr>
        <w:numPr>
          <w:ilvl w:val="0"/>
          <w:numId w:val="1490"/>
        </w:numPr>
        <w:pStyle w:val="Compact"/>
      </w:pPr>
      <w:r>
        <w:t xml:space="preserve">Grado de automatización: asesoramiento / influencia material / decisión automatizada / acción externa automatizada:</w:t>
      </w:r>
    </w:p>
    <w:p>
      <w:pPr>
        <w:numPr>
          <w:ilvl w:val="0"/>
          <w:numId w:val="1490"/>
        </w:numPr>
        <w:pStyle w:val="Compact"/>
      </w:pPr>
      <w:r>
        <w:t xml:space="preserve">Responsable de la toma de decisiones humana, en su caso:</w:t>
      </w:r>
    </w:p>
    <w:p>
      <w:pPr>
        <w:numPr>
          <w:ilvl w:val="0"/>
          <w:numId w:val="1490"/>
        </w:numPr>
        <w:pStyle w:val="Compact"/>
      </w:pPr>
      <w:r>
        <w:t xml:space="preserve">Consecuencias de error, mal uso, retraso, falta de disponibilidad o manipulación:</w:t>
      </w:r>
    </w:p>
    <w:p>
      <w:pPr>
        <w:numPr>
          <w:ilvl w:val="0"/>
          <w:numId w:val="1490"/>
        </w:numPr>
        <w:pStyle w:val="Compact"/>
      </w:pPr>
      <w:r>
        <w:t xml:space="preserve">Variante existente que no es la AI:</w:t>
      </w:r>
    </w:p>
    <w:p>
      <w:pPr>
        <w:numPr>
          <w:ilvl w:val="0"/>
          <w:numId w:val="1490"/>
        </w:numPr>
        <w:pStyle w:val="Compact"/>
      </w:pPr>
      <w:r>
        <w:t xml:space="preserve">Retroceso o proceso manual propuesto:</w:t>
      </w:r>
    </w:p>
    <w:p>
      <w:pPr>
        <w:numPr>
          <w:ilvl w:val="0"/>
          <w:numId w:val="1490"/>
        </w:numPr>
        <w:pStyle w:val="Compact"/>
      </w:pPr>
      <w:r>
        <w:t xml:space="preserve">Uso indebido previsible:</w:t>
      </w:r>
    </w:p>
    <w:p>
      <w:pPr>
        <w:numPr>
          <w:ilvl w:val="0"/>
          <w:numId w:val="1490"/>
        </w:numPr>
        <w:pStyle w:val="Compact"/>
      </w:pPr>
      <w:r>
        <w:t xml:space="preserve">Usos prohibidos o restringidos:</w:t>
      </w:r>
    </w:p>
    <w:p>
      <w:pPr>
        <w:numPr>
          <w:ilvl w:val="0"/>
          <w:numId w:val="1490"/>
        </w:numPr>
        <w:pStyle w:val="Compact"/>
      </w:pPr>
      <w:r>
        <w:t xml:space="preserve">Si el uso difiere de la finalidad prevista del proveedor:</w:t>
      </w:r>
    </w:p>
    <w:bookmarkEnd w:id="1415"/>
    <w:bookmarkStart w:id="1416" w:name="tecnología-y-cadena-de-valor"/>
    <w:p>
      <w:pPr>
        <w:pStyle w:val="Heading2"/>
      </w:pPr>
      <w:r>
        <w:rPr>
          <w:rStyle w:val="SectionNumber"/>
        </w:rPr>
        <w:t xml:space="preserve">2.13</w:t>
      </w:r>
      <w:r>
        <w:tab/>
      </w:r>
      <w:r>
        <w:t xml:space="preserve">3. Tecnología y cadena de valor</w:t>
      </w:r>
    </w:p>
    <w:p>
      <w:pPr>
        <w:numPr>
          <w:ilvl w:val="0"/>
          <w:numId w:val="1491"/>
        </w:numPr>
        <w:pStyle w:val="Compact"/>
      </w:pPr>
      <w:r>
        <w:t xml:space="preserve">Solución interna, externa o híbrida:</w:t>
      </w:r>
    </w:p>
    <w:p>
      <w:pPr>
        <w:numPr>
          <w:ilvl w:val="0"/>
          <w:numId w:val="1491"/>
        </w:numPr>
        <w:pStyle w:val="Compact"/>
      </w:pPr>
      <w:r>
        <w:t xml:space="preserve">Proveedor/vendor:</w:t>
      </w:r>
    </w:p>
    <w:p>
      <w:pPr>
        <w:numPr>
          <w:ilvl w:val="0"/>
          <w:numId w:val="1491"/>
        </w:numPr>
        <w:pStyle w:val="Compact"/>
      </w:pPr>
      <w:r>
        <w:t xml:space="preserve">Nombres de producto, sistema y modelo:</w:t>
      </w:r>
    </w:p>
    <w:p>
      <w:pPr>
        <w:numPr>
          <w:ilvl w:val="0"/>
          <w:numId w:val="1491"/>
        </w:numPr>
        <w:pStyle w:val="Compact"/>
      </w:pPr>
      <w:r>
        <w:t xml:space="preserve">Versiones actuales y propuestas:</w:t>
      </w:r>
    </w:p>
    <w:p>
      <w:pPr>
        <w:numPr>
          <w:ilvl w:val="0"/>
          <w:numId w:val="1491"/>
        </w:numPr>
        <w:pStyle w:val="Compact"/>
      </w:pPr>
      <w:r>
        <w:t xml:space="preserve">Regiones de alojamiento y nube:</w:t>
      </w:r>
    </w:p>
    <w:p>
      <w:pPr>
        <w:numPr>
          <w:ilvl w:val="0"/>
          <w:numId w:val="1491"/>
        </w:numPr>
        <w:pStyle w:val="Compact"/>
      </w:pPr>
      <w:r>
        <w:t xml:space="preserve">APIs, plugins, herramientas, agentes, recuperación o acciones externas:</w:t>
      </w:r>
    </w:p>
    <w:p>
      <w:pPr>
        <w:numPr>
          <w:ilvl w:val="0"/>
          <w:numId w:val="1491"/>
        </w:numPr>
        <w:pStyle w:val="Compact"/>
      </w:pPr>
      <w:r>
        <w:t xml:space="preserve">Componentes y licencias de código abierto:</w:t>
      </w:r>
    </w:p>
    <w:p>
      <w:pPr>
        <w:numPr>
          <w:ilvl w:val="0"/>
          <w:numId w:val="1491"/>
        </w:numPr>
        <w:pStyle w:val="Compact"/>
      </w:pPr>
      <w:r>
        <w:t xml:space="preserve">Proveedores de datos, subprocesadores, proveedores intermedios y dependencias críticas:</w:t>
      </w:r>
    </w:p>
    <w:p>
      <w:pPr>
        <w:numPr>
          <w:ilvl w:val="0"/>
          <w:numId w:val="1491"/>
        </w:numPr>
        <w:pStyle w:val="Compact"/>
      </w:pPr>
      <w:r>
        <w:t xml:space="preserve">Ajuste fino, ingeniería rápida, recuperación o cambios de modelo personalizados:</w:t>
      </w:r>
    </w:p>
    <w:p>
      <w:pPr>
        <w:numPr>
          <w:ilvl w:val="0"/>
          <w:numId w:val="1491"/>
        </w:numPr>
        <w:pStyle w:val="Compact"/>
      </w:pPr>
      <w:r>
        <w:t xml:space="preserve">Marca, reventa, integración o colocación de su propio nombre:</w:t>
      </w:r>
    </w:p>
    <w:p>
      <w:pPr>
        <w:numPr>
          <w:ilvl w:val="0"/>
          <w:numId w:val="1491"/>
        </w:numPr>
        <w:pStyle w:val="Compact"/>
      </w:pPr>
      <w:r>
        <w:t xml:space="preserve">Proceso de actualización y notificación del modelo previsto:</w:t>
      </w:r>
    </w:p>
    <w:p>
      <w:pPr>
        <w:numPr>
          <w:ilvl w:val="0"/>
          <w:numId w:val="1491"/>
        </w:numPr>
        <w:pStyle w:val="Compact"/>
      </w:pPr>
      <w:r>
        <w:t xml:space="preserve">Capacidades de registro, reproducibilidad e identificación de versiones:</w:t>
      </w:r>
    </w:p>
    <w:p>
      <w:pPr>
        <w:numPr>
          <w:ilvl w:val="0"/>
          <w:numId w:val="1491"/>
        </w:numPr>
        <w:pStyle w:val="Compact"/>
      </w:pPr>
      <w:r>
        <w:t xml:space="preserve">Documentación del proveedor disponible:</w:t>
      </w:r>
    </w:p>
    <w:p>
      <w:pPr>
        <w:numPr>
          <w:ilvl w:val="0"/>
          <w:numId w:val="1491"/>
        </w:numPr>
        <w:pStyle w:val="Compact"/>
      </w:pPr>
      <w:r>
        <w:t xml:space="preserve">Limitaciones técnicas o de prueba conocidas:</w:t>
      </w:r>
    </w:p>
    <w:bookmarkEnd w:id="1416"/>
    <w:bookmarkStart w:id="1417" w:name="datos"/>
    <w:p>
      <w:pPr>
        <w:pStyle w:val="Heading2"/>
      </w:pPr>
      <w:r>
        <w:rPr>
          <w:rStyle w:val="SectionNumber"/>
        </w:rPr>
        <w:t xml:space="preserve">2.14</w:t>
      </w:r>
      <w:r>
        <w:tab/>
      </w:r>
      <w:r>
        <w:t xml:space="preserve">4. Datos</w:t>
      </w:r>
    </w:p>
    <w:p>
      <w:pPr>
        <w:numPr>
          <w:ilvl w:val="0"/>
          <w:numId w:val="1492"/>
        </w:numPr>
        <w:pStyle w:val="Compact"/>
      </w:pPr>
      <w:r>
        <w:t xml:space="preserve">Datos de entrada:</w:t>
      </w:r>
    </w:p>
    <w:p>
      <w:pPr>
        <w:numPr>
          <w:ilvl w:val="0"/>
          <w:numId w:val="1492"/>
        </w:numPr>
        <w:pStyle w:val="Compact"/>
      </w:pPr>
      <w:r>
        <w:t xml:space="preserve">Formación, afinación, validación, recuperación, puesta a tierra, monitoreo y datos de retroalimentación:</w:t>
      </w:r>
    </w:p>
    <w:p>
      <w:pPr>
        <w:numPr>
          <w:ilvl w:val="0"/>
          <w:numId w:val="1492"/>
        </w:numPr>
        <w:pStyle w:val="Compact"/>
      </w:pPr>
      <w:r>
        <w:t xml:space="preserve">Datos personales en cuestión:</w:t>
      </w:r>
    </w:p>
    <w:p>
      <w:pPr>
        <w:numPr>
          <w:ilvl w:val="0"/>
          <w:numId w:val="1492"/>
        </w:numPr>
        <w:pStyle w:val="Compact"/>
      </w:pPr>
      <w:r>
        <w:t xml:space="preserve">Datos de categoría especial, biométricos, infantiles, confidenciales, con derechos de autor o regulados:</w:t>
      </w:r>
    </w:p>
    <w:p>
      <w:pPr>
        <w:numPr>
          <w:ilvl w:val="0"/>
          <w:numId w:val="1492"/>
        </w:numPr>
        <w:pStyle w:val="Compact"/>
      </w:pPr>
      <w:r>
        <w:t xml:space="preserve">Los sujetos de datos o las poblaciones afectadas:</w:t>
      </w:r>
    </w:p>
    <w:p>
      <w:pPr>
        <w:numPr>
          <w:ilvl w:val="0"/>
          <w:numId w:val="1492"/>
        </w:numPr>
        <w:pStyle w:val="Compact"/>
      </w:pPr>
      <w:r>
        <w:t xml:space="preserve">Fuentes de datos y procedencia:</w:t>
      </w:r>
    </w:p>
    <w:p>
      <w:pPr>
        <w:numPr>
          <w:ilvl w:val="0"/>
          <w:numId w:val="1492"/>
        </w:numPr>
        <w:pStyle w:val="Compact"/>
      </w:pPr>
      <w:r>
        <w:t xml:space="preserve">Base legal o base de uso autorizada:</w:t>
      </w:r>
    </w:p>
    <w:p>
      <w:pPr>
        <w:numPr>
          <w:ilvl w:val="0"/>
          <w:numId w:val="1492"/>
        </w:numPr>
        <w:pStyle w:val="Compact"/>
      </w:pPr>
      <w:r>
        <w:t xml:space="preserve">Datos de clientes o usuarios utilizados para la formación o mejora de proveedores:</w:t>
      </w:r>
    </w:p>
    <w:p>
      <w:pPr>
        <w:numPr>
          <w:ilvl w:val="0"/>
          <w:numId w:val="1492"/>
        </w:numPr>
        <w:pStyle w:val="Compact"/>
      </w:pPr>
      <w:r>
        <w:t xml:space="preserve">La calidad de los datos, la representatividad, el sesgo y las diferencias se refieren a:</w:t>
      </w:r>
    </w:p>
    <w:p>
      <w:pPr>
        <w:numPr>
          <w:ilvl w:val="0"/>
          <w:numId w:val="1492"/>
        </w:numPr>
        <w:pStyle w:val="Compact"/>
      </w:pPr>
      <w:r>
        <w:t xml:space="preserve">Ubicación de los datos, localización y transferencias transfronterizas:</w:t>
      </w:r>
    </w:p>
    <w:p>
      <w:pPr>
        <w:numPr>
          <w:ilvl w:val="0"/>
          <w:numId w:val="1492"/>
        </w:numPr>
        <w:pStyle w:val="Compact"/>
      </w:pPr>
      <w:r>
        <w:t xml:space="preserve">Requisitos de retención, supresión, archivo y retención legal:</w:t>
      </w:r>
    </w:p>
    <w:p>
      <w:pPr>
        <w:numPr>
          <w:ilvl w:val="0"/>
          <w:numId w:val="1492"/>
        </w:numPr>
        <w:pStyle w:val="Compact"/>
      </w:pPr>
      <w:r>
        <w:t xml:space="preserve">Minimización de datos y controles de acceso:</w:t>
      </w:r>
    </w:p>
    <w:bookmarkEnd w:id="1417"/>
    <w:bookmarkStart w:id="1418" w:name="examen-preliminar-jurídico-y-de-riesgos"/>
    <w:p>
      <w:pPr>
        <w:pStyle w:val="Heading2"/>
      </w:pPr>
      <w:r>
        <w:rPr>
          <w:rStyle w:val="SectionNumber"/>
        </w:rPr>
        <w:t xml:space="preserve">2.15</w:t>
      </w:r>
      <w:r>
        <w:tab/>
      </w:r>
      <w:r>
        <w:t xml:space="preserve">5. Examen preliminar jurídico y de riesgos</w:t>
      </w:r>
    </w:p>
    <w:p>
      <w:pPr>
        <w:pStyle w:val="FirstParagraph"/>
      </w:pPr>
      <w:r>
        <w:t xml:space="preserve">Respuesta</w:t>
      </w:r>
      <w:r>
        <w:t xml:space="preserve"> </w:t>
      </w:r>
      <w:r>
        <w:rPr>
          <w:bCs/>
          <w:b/>
        </w:rPr>
        <w:t xml:space="preserve">Sí</w:t>
      </w:r>
      <w:r>
        <w:t xml:space="preserve">,</w:t>
      </w:r>
      <w:r>
        <w:t xml:space="preserve"> </w:t>
      </w:r>
      <w:r>
        <w:rPr>
          <w:bCs/>
          <w:b/>
        </w:rPr>
        <w:t xml:space="preserve">No</w:t>
      </w:r>
      <w:r>
        <w:t xml:space="preserve">, o</w:t>
      </w:r>
      <w:r>
        <w:t xml:space="preserve"> </w:t>
      </w:r>
      <w:r>
        <w:rPr>
          <w:bCs/>
          <w:b/>
        </w:rPr>
        <w:t xml:space="preserve">Incierto</w:t>
      </w:r>
      <w:r>
        <w:t xml:space="preserve"> </w:t>
      </w:r>
      <w:r>
        <w:t xml:space="preserve">y cite pruebas.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o justificación</w:t>
            </w:r>
          </w:p>
        </w:tc>
        <w:tc>
          <w:tcPr/>
          <w:p>
            <w:pPr>
              <w:pStyle w:val="Compact"/>
              <w:jc w:val="left"/>
            </w:pPr>
            <w:r>
              <w:t xml:space="preserve">Propietario</w:t>
            </w:r>
          </w:p>
        </w:tc>
      </w:tr>
      <w:tr>
        <w:tc>
          <w:tcPr/>
          <w:p>
            <w:pPr>
              <w:pStyle w:val="Compact"/>
              <w:jc w:val="left"/>
            </w:pPr>
            <w:r>
              <w:t xml:space="preserve">¿Se aplica la definición legal actual del sistema de 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¿Qué entidades jurídicas y las funciones de actor de la Ley de IA de la UE pueden aplicarse?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incluirse una práctica prohibida en el artículo 5?</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aplicarse el tratamiento de alto riesgo del apartado 1 del artículo 6/anexo I?</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aplicarse el tratamiento de alto riesgo del apartado 2 del artículo 6/anexo III?</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ser pertinente una excepción del apartado 3 del artículo 6, y la elaboración de perfiles impide confiar en ella?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aplicarse el artículo 13, el artículo 26, el artículo 50 u otros derechos de transparencia?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 implicado un modelo GPAI o un modelo GPAI con riesgo sistémico?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aplicarse el artículo 27 de la FRIA?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aplicarse el DPIA del RGPD, artículo 22, sobre la privacidad, el empleo, la igualdad, la accesibilidad, el consumidor, la seguridad de los productos, la seguridad cibernética o los derechos sectoriales?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la colocación de la propia marca, el cambio de propósito o las obligaciones sustanciales del proveedor de la transferencia de modificación?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el uso afectar la seguridad, los derechos fundamentales, el acceso a los servicios, el empleo, el crédito, los seguros, la educación, la atención médica, los viajes, la aplicación de la ley, la migración, la justicia o la infraestructura crítica?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la gente interactuar directamente con 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 sistema generará o manipulará texto, audio, imágenes o vídeo?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el sistema inferir emociones, rasgos sensibles, identidad o categorías biométricas?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el sistema actuar de forma autónoma o desencadenar acciones externas?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¿Son importantes para la decisión las fechas de aplicación específicas de las disposiciones o las normas transitorias?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418"/>
    <w:bookmarkStart w:id="1419" w:name="supervisión-salvaguardias-y-pruebas"/>
    <w:p>
      <w:pPr>
        <w:pStyle w:val="Heading2"/>
      </w:pPr>
      <w:r>
        <w:rPr>
          <w:rStyle w:val="SectionNumber"/>
        </w:rPr>
        <w:t xml:space="preserve">2.16</w:t>
      </w:r>
      <w:r>
        <w:tab/>
      </w:r>
      <w:r>
        <w:t xml:space="preserve">6. Supervisión, salvaguardias y pruebas</w:t>
      </w:r>
    </w:p>
    <w:p>
      <w:pPr>
        <w:numPr>
          <w:ilvl w:val="0"/>
          <w:numId w:val="1493"/>
        </w:numPr>
        <w:pStyle w:val="Compact"/>
      </w:pPr>
      <w:r>
        <w:t xml:space="preserve">Función y competencia del revisor humano:</w:t>
      </w:r>
    </w:p>
    <w:p>
      <w:pPr>
        <w:numPr>
          <w:ilvl w:val="0"/>
          <w:numId w:val="1493"/>
        </w:numPr>
        <w:pStyle w:val="Compact"/>
      </w:pPr>
      <w:r>
        <w:t xml:space="preserve">Mecanismo de aprobación, anulación, parada, reversión o abstención:</w:t>
      </w:r>
    </w:p>
    <w:p>
      <w:pPr>
        <w:numPr>
          <w:ilvl w:val="0"/>
          <w:numId w:val="1493"/>
        </w:numPr>
        <w:pStyle w:val="Compact"/>
      </w:pPr>
      <w:r>
        <w:t xml:space="preserve">Reto, apelación, queja y canal de contacto humano:</w:t>
      </w:r>
    </w:p>
    <w:p>
      <w:pPr>
        <w:numPr>
          <w:ilvl w:val="0"/>
          <w:numId w:val="1493"/>
        </w:numPr>
        <w:pStyle w:val="Compact"/>
      </w:pPr>
      <w:r>
        <w:t xml:space="preserve">Exactitud, sesgo, subgrupo, robustez, mal uso y pruebas de fiabilidad:</w:t>
      </w:r>
    </w:p>
    <w:p>
      <w:pPr>
        <w:numPr>
          <w:ilvl w:val="0"/>
          <w:numId w:val="1493"/>
        </w:numPr>
        <w:pStyle w:val="Compact"/>
      </w:pPr>
      <w:r>
        <w:t xml:space="preserve">Seguridad, privacidad y pruebas de amenazas:</w:t>
      </w:r>
    </w:p>
    <w:p>
      <w:pPr>
        <w:numPr>
          <w:ilvl w:val="0"/>
          <w:numId w:val="1493"/>
        </w:numPr>
        <w:pStyle w:val="Compact"/>
      </w:pPr>
      <w:r>
        <w:t xml:space="preserve">Umbrales de seguimiento y escalada:</w:t>
      </w:r>
    </w:p>
    <w:p>
      <w:pPr>
        <w:numPr>
          <w:ilvl w:val="0"/>
          <w:numId w:val="1493"/>
        </w:numPr>
        <w:pStyle w:val="Compact"/>
      </w:pPr>
      <w:r>
        <w:t xml:space="preserve">Respuesta a los incidentes y evaluación de la notificación:</w:t>
      </w:r>
    </w:p>
    <w:p>
      <w:pPr>
        <w:numPr>
          <w:ilvl w:val="0"/>
          <w:numId w:val="1493"/>
        </w:numPr>
        <w:pStyle w:val="Compact"/>
      </w:pPr>
      <w:r>
        <w:t xml:space="preserve">Método de retroceso, suspensión, recuperación y continuidad del negocio:</w:t>
      </w:r>
    </w:p>
    <w:p>
      <w:pPr>
        <w:numPr>
          <w:ilvl w:val="0"/>
          <w:numId w:val="1493"/>
        </w:numPr>
        <w:pStyle w:val="Compact"/>
      </w:pPr>
      <w:r>
        <w:t xml:space="preserve">Aviso de usuario, trabajador, solicitante, cliente o persona afectada:</w:t>
      </w:r>
    </w:p>
    <w:p>
      <w:pPr>
        <w:numPr>
          <w:ilvl w:val="0"/>
          <w:numId w:val="1493"/>
        </w:numPr>
        <w:pStyle w:val="Compact"/>
      </w:pPr>
      <w:r>
        <w:t xml:space="preserve">Marcado o revelación de contenido sintético:</w:t>
      </w:r>
    </w:p>
    <w:p>
      <w:pPr>
        <w:numPr>
          <w:ilvl w:val="0"/>
          <w:numId w:val="1493"/>
        </w:numPr>
        <w:pStyle w:val="Compact"/>
      </w:pPr>
      <w:r>
        <w:t xml:space="preserve">Accesibilidad y requisitos lingüísticos:</w:t>
      </w:r>
    </w:p>
    <w:p>
      <w:pPr>
        <w:numPr>
          <w:ilvl w:val="0"/>
          <w:numId w:val="1493"/>
        </w:numPr>
        <w:pStyle w:val="Compact"/>
      </w:pPr>
      <w:r>
        <w:t xml:space="preserve">La alfabetización de la IA y la formación basada en funciones requieren:</w:t>
      </w:r>
    </w:p>
    <w:p>
      <w:pPr>
        <w:numPr>
          <w:ilvl w:val="0"/>
          <w:numId w:val="1493"/>
        </w:numPr>
        <w:pStyle w:val="Compact"/>
      </w:pPr>
      <w:r>
        <w:t xml:space="preserve">Evidencia del proveedor, derechos de auditoría y cooperación en caso de incidente:</w:t>
      </w:r>
    </w:p>
    <w:p>
      <w:pPr>
        <w:numPr>
          <w:ilvl w:val="0"/>
          <w:numId w:val="1493"/>
        </w:numPr>
        <w:pStyle w:val="Compact"/>
      </w:pPr>
      <w:r>
        <w:t xml:space="preserve">Depósito y retención de pruebas:</w:t>
      </w:r>
    </w:p>
    <w:bookmarkEnd w:id="1419"/>
    <w:bookmarkStart w:id="1420" w:name="exámenes-requeridos"/>
    <w:p>
      <w:pPr>
        <w:pStyle w:val="Heading2"/>
      </w:pPr>
      <w:r>
        <w:rPr>
          <w:rStyle w:val="SectionNumber"/>
        </w:rPr>
        <w:t xml:space="preserve">2.17</w:t>
      </w:r>
      <w:r>
        <w:tab/>
      </w:r>
      <w:r>
        <w:t xml:space="preserve">7. Exámenes requeridos</w:t>
      </w:r>
    </w:p>
    <w:p>
      <w:pPr>
        <w:pStyle w:val="FirstParagraph"/>
      </w:pPr>
      <w:r>
        <w:t xml:space="preserve">Marca</w:t>
      </w:r>
      <w:r>
        <w:t xml:space="preserve"> </w:t>
      </w:r>
      <w:r>
        <w:rPr>
          <w:bCs/>
          <w:b/>
        </w:rPr>
        <w:t xml:space="preserve">Requerido</w:t>
      </w:r>
      <w:r>
        <w:t xml:space="preserve">,</w:t>
      </w:r>
      <w:r>
        <w:t xml:space="preserve"> </w:t>
      </w:r>
      <w:r>
        <w:rPr>
          <w:bCs/>
          <w:b/>
        </w:rPr>
        <w:t xml:space="preserve">Completado</w:t>
      </w:r>
      <w:r>
        <w:t xml:space="preserve">,</w:t>
      </w:r>
      <w:r>
        <w:t xml:space="preserve"> </w:t>
      </w:r>
      <w:r>
        <w:rPr>
          <w:bCs/>
          <w:b/>
        </w:rPr>
        <w:t xml:space="preserve">No aplicable</w:t>
      </w:r>
      <w:r>
        <w:t xml:space="preserve">, o</w:t>
      </w:r>
      <w:r>
        <w:t xml:space="preserve"> </w:t>
      </w:r>
      <w:r>
        <w:rPr>
          <w:bCs/>
          <w:b/>
        </w:rPr>
        <w:t xml:space="preserve">Pendiente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Revisión</w:t>
            </w:r>
          </w:p>
        </w:tc>
        <w:tc>
          <w:tcPr/>
          <w:p>
            <w:pPr>
              <w:pStyle w:val="Compact"/>
              <w:jc w:val="left"/>
            </w:pPr>
            <w:r>
              <w:t xml:space="preserve">¿Requerido?</w:t>
            </w:r>
          </w:p>
        </w:tc>
        <w:tc>
          <w:tcPr/>
          <w:p>
            <w:pPr>
              <w:pStyle w:val="Compact"/>
              <w:jc w:val="left"/>
            </w:pPr>
            <w:r>
              <w:t xml:space="preserve">Propietario</w:t>
            </w:r>
          </w:p>
        </w:tc>
        <w:tc>
          <w:tcPr/>
          <w:p>
            <w:pPr>
              <w:pStyle w:val="Compact"/>
              <w:jc w:val="left"/>
            </w:pPr>
            <w:r>
              <w:t xml:space="preserve">Situación</w:t>
            </w:r>
          </w:p>
        </w:tc>
        <w:tc>
          <w:tcPr/>
          <w:p>
            <w:pPr>
              <w:pStyle w:val="Compact"/>
              <w:jc w:val="left"/>
            </w:pPr>
            <w:r>
              <w:t xml:space="preserve">Pruebas/referencia</w:t>
            </w:r>
          </w:p>
        </w:tc>
      </w:tr>
      <w:tr>
        <w:tc>
          <w:tcPr/>
          <w:p>
            <w:pPr>
              <w:pStyle w:val="Compact"/>
              <w:jc w:val="left"/>
            </w:pPr>
            <w:r>
              <w:t xml:space="preserve">Inscripción o actualización del inventario de 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Evaluación de la aplicabilidad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Evaluación de las funciones de los actores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Exámenes de prácticas prohibidas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Clasificación de alto riesgo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GPAI/evaluación del riesgo sistémico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Evaluación de impacto sobre los derechos fundamentales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Evaluación de impacto de la protección de datos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Evaluación de la gobernanza de los datos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 y evaluación de las amenazas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Validación técnica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Plan de supervisión humana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Diligencia debida del proveedor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Examen de los contratos y del derecho de auditoría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Examen de la transparencia y el marcado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Accesibilidad y revisión del idioma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Evaluación de la modificación sustancial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Revisión de la preparación para la 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Registro, declaración o revisión de marca CE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Plan de seguimiento post-comercialización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Incidente y preparación para la notificación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Aprobación ejecutiva o de la junta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420"/>
    <w:bookmarkStart w:id="1421" w:name="decisión"/>
    <w:p>
      <w:pPr>
        <w:pStyle w:val="Heading2"/>
      </w:pPr>
      <w:r>
        <w:rPr>
          <w:rStyle w:val="SectionNumber"/>
        </w:rPr>
        <w:t xml:space="preserve">2.18</w:t>
      </w:r>
      <w:r>
        <w:tab/>
      </w:r>
      <w:r>
        <w:t xml:space="preserve">8. Decisión</w:t>
      </w:r>
    </w:p>
    <w:p>
      <w:pPr>
        <w:numPr>
          <w:ilvl w:val="0"/>
          <w:numId w:val="1494"/>
        </w:numPr>
        <w:pStyle w:val="Compact"/>
      </w:pPr>
      <w:r>
        <w:t xml:space="preserve">☐ Aprobado</w:t>
      </w:r>
    </w:p>
    <w:p>
      <w:pPr>
        <w:numPr>
          <w:ilvl w:val="0"/>
          <w:numId w:val="1494"/>
        </w:numPr>
        <w:pStyle w:val="Compact"/>
      </w:pPr>
      <w:r>
        <w:t xml:space="preserve">☐ Aprobado con condiciones</w:t>
      </w:r>
    </w:p>
    <w:p>
      <w:pPr>
        <w:numPr>
          <w:ilvl w:val="0"/>
          <w:numId w:val="1494"/>
        </w:numPr>
        <w:pStyle w:val="Compact"/>
      </w:pPr>
      <w:r>
        <w:t xml:space="preserve">☐ Piloto restringido solamente</w:t>
      </w:r>
    </w:p>
    <w:p>
      <w:pPr>
        <w:numPr>
          <w:ilvl w:val="0"/>
          <w:numId w:val="1494"/>
        </w:numPr>
        <w:pStyle w:val="Compact"/>
      </w:pPr>
      <w:r>
        <w:t xml:space="preserve">☐ Demostración diferida pendiente</w:t>
      </w:r>
    </w:p>
    <w:p>
      <w:pPr>
        <w:numPr>
          <w:ilvl w:val="0"/>
          <w:numId w:val="1494"/>
        </w:numPr>
        <w:pStyle w:val="Compact"/>
      </w:pPr>
      <w:r>
        <w:t xml:space="preserve">☐ Rechazado</w:t>
      </w:r>
    </w:p>
    <w:p>
      <w:pPr>
        <w:numPr>
          <w:ilvl w:val="0"/>
          <w:numId w:val="1494"/>
        </w:numPr>
        <w:pStyle w:val="Compact"/>
      </w:pPr>
      <w:r>
        <w:t xml:space="preserve">☐ Prohibida o suspendida</w:t>
      </w:r>
    </w:p>
    <w:p>
      <w:pPr>
        <w:numPr>
          <w:ilvl w:val="0"/>
          <w:numId w:val="1494"/>
        </w:numPr>
        <w:pStyle w:val="Compact"/>
      </w:pPr>
      <w:r>
        <w:t xml:space="preserve">☐ Se requiere una revisión legal calificada</w:t>
      </w:r>
    </w:p>
    <w:p>
      <w:pPr>
        <w:pStyle w:val="FirstParagraph"/>
      </w:pPr>
      <w:r>
        <w:t xml:space="preserve">** Justificación de la decisión:</w:t>
      </w:r>
      <w:r>
        <w:rPr>
          <w:bCs/>
          <w:b/>
        </w:rPr>
        <w:t xml:space="preserve"> </w:t>
      </w:r>
      <w:r>
        <w:t xml:space="preserve">Condiciones y restricciones:</w:t>
      </w:r>
      <w:r>
        <w:rPr>
          <w:bCs/>
          <w:b/>
        </w:rPr>
        <w:t xml:space="preserve"> </w:t>
      </w:r>
      <w:r>
        <w:t xml:space="preserve"> </w:t>
      </w:r>
      <w:r>
        <w:t xml:space="preserve">Hipótesis o incertidumbres no resueltas:</w:t>
      </w:r>
      <w:r>
        <w:rPr>
          <w:bCs/>
          <w:b/>
        </w:rPr>
        <w:t xml:space="preserve"> </w:t>
      </w:r>
      <w:r>
        <w:t xml:space="preserve"> </w:t>
      </w:r>
      <w:r>
        <w:t xml:space="preserve">Responsables de la rehabilitación y fechas de vencimiento:</w:t>
      </w:r>
      <w:r>
        <w:rPr>
          <w:bCs/>
          <w:b/>
        </w:rPr>
        <w:t xml:space="preserve"> </w:t>
      </w:r>
      <w:r>
        <w:t xml:space="preserve"> </w:t>
      </w:r>
      <w:r>
        <w:t xml:space="preserve">Referencias de pruebas:</w:t>
      </w:r>
      <w:r>
        <w:rPr>
          <w:bCs/>
          <w:b/>
        </w:rPr>
        <w:t xml:space="preserve"> </w:t>
      </w:r>
      <w:r>
        <w:t xml:space="preserve">Detonadores de la reevaluación:</w:t>
      </w:r>
      <w:r>
        <w:rPr>
          <w:bCs/>
          <w:b/>
        </w:rPr>
        <w:t xml:space="preserve"> </w:t>
      </w:r>
      <w:r>
        <w:t xml:space="preserve">Expiración o próxima fecha de revisión:**</w:t>
      </w:r>
    </w:p>
    <w:bookmarkEnd w:id="1421"/>
    <w:bookmarkStart w:id="1422" w:name="aprobación"/>
    <w:p>
      <w:pPr>
        <w:pStyle w:val="Heading2"/>
      </w:pPr>
      <w:r>
        <w:rPr>
          <w:rStyle w:val="SectionNumber"/>
        </w:rPr>
        <w:t xml:space="preserve">2.19</w:t>
      </w:r>
      <w:r>
        <w:tab/>
      </w:r>
      <w:r>
        <w:t xml:space="preserve">9. Aprobación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técnico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Riesgo/Privacidad/Seguridad/Datos,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Adquisición/Recursos Humanos/Producto,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Autoridad ejecutiva o directiva, cuando sea necesario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422"/>
    <w:bookmarkStart w:id="1423" w:name="X8f56efaf0dadc189584aeecab501ad5770ef7c9"/>
    <w:p>
      <w:pPr>
        <w:pStyle w:val="Heading2"/>
      </w:pPr>
      <w:r>
        <w:rPr>
          <w:rStyle w:val="SectionNumber"/>
        </w:rPr>
        <w:t xml:space="preserve">2.20</w:t>
      </w:r>
      <w:r>
        <w:tab/>
      </w:r>
      <w:r>
        <w:t xml:space="preserve">Ejemplo de servicios de viajes de GlobalWay</w:t>
      </w:r>
    </w:p>
    <w:p>
      <w:pPr>
        <w:pStyle w:val="FirstParagraph"/>
      </w:pPr>
      <w:r>
        <w:t xml:space="preserve">GlobalWay presenta una admisión para un nuevo asistente de viajero-disrupción utilizando un modelo GPAI de terceros y herramientas automatizadas de rereservación. La admisión identifica la interacción directa con viajeros, datos de itinerario sensibles, acciones de herramientas externas, avisos multilingües, cambios en la versión del proveedor, y la necesidad de aprobación humana antes de reembolsos o rereservación sensible a la seguridad. El piloto está aprobado con condiciones: campos de datos restringidos, confirmación humana, monitoreo mejorado, notificación de cambio del proveedor, y la finalización de la transparencia, seguridad, proveedor y revisiones de modificación sustancial.</w:t>
      </w:r>
    </w:p>
    <w:bookmarkEnd w:id="1423"/>
    <w:bookmarkStart w:id="1424" w:name="referencias-jurídicas-primarias-108"/>
    <w:p>
      <w:pPr>
        <w:pStyle w:val="Heading2"/>
      </w:pPr>
      <w:r>
        <w:rPr>
          <w:rStyle w:val="SectionNumber"/>
        </w:rPr>
        <w:t xml:space="preserve">2.21</w:t>
      </w:r>
      <w:r>
        <w:tab/>
      </w:r>
      <w:r>
        <w:t xml:space="preserve">Referencias jurídicas primarias</w:t>
      </w:r>
    </w:p>
    <w:p>
      <w:pPr>
        <w:numPr>
          <w:ilvl w:val="0"/>
          <w:numId w:val="1495"/>
        </w:numPr>
        <w:pStyle w:val="Compact"/>
      </w:pPr>
      <w:r>
        <w:t xml:space="preserve">Reglamento (UE) 2024/1689, en su versión modificada: definiciones aplicables, ámbito territorial, funciones de actor, prácticas prohibidas, clasificación de alto riesgo, transparencia, GPAI, conformidad, seguimiento, incidentes y disposiciones relativas al acceso a la autoridad.</w:t>
      </w:r>
    </w:p>
    <w:p>
      <w:pPr>
        <w:numPr>
          <w:ilvl w:val="0"/>
          <w:numId w:val="1495"/>
        </w:numPr>
        <w:pStyle w:val="Compact"/>
      </w:pPr>
      <w:r>
        <w:t xml:space="preserve">Reglamento (UE) 2026/1744, en su caso.</w:t>
      </w:r>
    </w:p>
    <w:p>
      <w:pPr>
        <w:numPr>
          <w:ilvl w:val="0"/>
          <w:numId w:val="1495"/>
        </w:numPr>
        <w:pStyle w:val="Compact"/>
      </w:pPr>
      <w:r>
        <w:t xml:space="preserve">Reglamento (UE) 2016/679 y el empleo, la igualdad, la accesibilidad, la protección del consumidor, la ciberseguridad, la seguridad de los productos, la gestión de registros, la propiedad intelectual y la legislación sectorial aplicables.</w:t>
      </w:r>
    </w:p>
    <w:p>
      <w:pPr>
        <w:numPr>
          <w:ilvl w:val="0"/>
          <w:numId w:val="1495"/>
        </w:numPr>
        <w:pStyle w:val="Compact"/>
      </w:pPr>
      <w:r>
        <w:t xml:space="preserve">La aprobación de la admisión es una decisión de gobernanza de la organización y no sustituye a ninguna evaluación de la conformidad, registro, decisión de la autoridad, consulta, notificación o análisis jurídico calificado que se requiera legalmente.</w:t>
      </w:r>
    </w:p>
    <w:bookmarkEnd w:id="1424"/>
    <w:bookmarkStart w:id="1425" w:name="X669a5eb3b0ab3194e79a20113ea275f88a0dc1a"/>
    <w:p>
      <w:pPr>
        <w:pStyle w:val="Heading2"/>
      </w:pPr>
      <w:r>
        <w:rPr>
          <w:rStyle w:val="SectionNumber"/>
        </w:rPr>
        <w:t xml:space="preserve">2.22</w:t>
      </w:r>
      <w:r>
        <w:tab/>
      </w:r>
      <w:r>
        <w:t xml:space="preserve">Apéndice C — Evaluación de la aplicabilidad</w:t>
      </w:r>
    </w:p>
    <w:p>
      <w:pPr>
        <w:pStyle w:val="BlockText"/>
      </w:pPr>
      <w:r>
        <w:rPr>
          <w:bCs/>
          <w:b/>
        </w:rPr>
        <w:t xml:space="preserve">Estado legal:</w:t>
      </w:r>
      <w:r>
        <w:t xml:space="preserve"> </w:t>
      </w:r>
      <w:r>
        <w:t xml:space="preserve">Maestro inglés corregido para la consolidación. Este archivo controla el idioma anterior del Apéndice C en conflicto. Las conclusiones de aplicabilidad deben ser validadas por un asesor legal cualificado cuando la interpretación es incierta o materialmente consecuente.</w:t>
      </w:r>
    </w:p>
    <w:bookmarkEnd w:id="1425"/>
    <w:bookmarkStart w:id="1426" w:name="finalidad-19"/>
    <w:p>
      <w:pPr>
        <w:pStyle w:val="Heading2"/>
      </w:pPr>
      <w:r>
        <w:rPr>
          <w:rStyle w:val="SectionNumber"/>
        </w:rPr>
        <w:t xml:space="preserve">2.23</w:t>
      </w:r>
      <w:r>
        <w:tab/>
      </w:r>
      <w:r>
        <w:t xml:space="preserve">Finalidad</w:t>
      </w:r>
    </w:p>
    <w:p>
      <w:pPr>
        <w:pStyle w:val="FirstParagraph"/>
      </w:pPr>
      <w:r>
        <w:t xml:space="preserve">Utilice esta hoja de trabajo para determinar si la Ley de IA de la UE se aplica a una entidad jurídica, sistema de IA, modelo de GPAI, actividad, despliegue, producto, integración de productos o relación de cadena de valor. La evaluación debe identificar la conexión territorial pertinente, materia, roles de actor, clasificaciones, fechas efectivas, exclusiones y regímenes legales relacionados.</w:t>
      </w:r>
    </w:p>
    <w:p>
      <w:pPr>
        <w:pStyle w:val="BodyText"/>
      </w:pPr>
      <w:r>
        <w:t xml:space="preserve">Una decisión de aplicabilidad no es completa a menos que esté vinculada a hechos, pruebas, el texto jurídico oficial actual y los desencadenantes de la revisión definida.</w:t>
      </w:r>
    </w:p>
    <w:bookmarkEnd w:id="1426"/>
    <w:bookmarkStart w:id="1427" w:name="metadatos-de-evaluación"/>
    <w:p>
      <w:pPr>
        <w:pStyle w:val="Heading2"/>
      </w:pPr>
      <w:r>
        <w:rPr>
          <w:rStyle w:val="SectionNumber"/>
        </w:rPr>
        <w:t xml:space="preserve">2.24</w:t>
      </w:r>
      <w:r>
        <w:tab/>
      </w:r>
      <w:r>
        <w:t xml:space="preserve">1. Metadatos de evaluación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Entidad jurídica evaluada</w:t>
            </w:r>
          </w:p>
        </w:tc>
        <w:tc>
          <w:tcPr/>
          <w:p>
            <w:pPr>
              <w:pStyle w:val="Compact"/>
              <w:jc w:val="left"/>
            </w:pPr>
            <w:r>
              <w:t xml:space="preserve">- No, no.</w:t>
            </w:r>
          </w:p>
        </w:tc>
      </w:tr>
      <w:tr>
        <w:tc>
          <w:tcPr/>
          <w:p>
            <w:pPr>
              <w:pStyle w:val="Compact"/>
              <w:jc w:val="left"/>
            </w:pPr>
            <w:r>
              <w:t xml:space="preserve">Entidades jurídicas conexas</w:t>
            </w:r>
          </w:p>
        </w:tc>
        <w:tc>
          <w:tcPr/>
          <w:p>
            <w:pPr>
              <w:pStyle w:val="Compact"/>
              <w:jc w:val="left"/>
            </w:pPr>
            <w:r>
              <w:t xml:space="preserve">- No, no.</w:t>
            </w:r>
          </w:p>
        </w:tc>
      </w:tr>
      <w:tr>
        <w:tc>
          <w:tcPr/>
          <w:p>
            <w:pPr>
              <w:pStyle w:val="Compact"/>
              <w:jc w:val="left"/>
            </w:pPr>
            <w:r>
              <w:t xml:space="preserve">Unidad de operaciones</w:t>
            </w:r>
          </w:p>
        </w:tc>
        <w:tc>
          <w:tcPr/>
          <w:p>
            <w:pPr>
              <w:pStyle w:val="Compact"/>
              <w:jc w:val="left"/>
            </w:pPr>
            <w:r>
              <w:t xml:space="preserve">- No, no.</w:t>
            </w:r>
          </w:p>
        </w:tc>
      </w:tr>
      <w:tr>
        <w:tc>
          <w:tcPr/>
          <w:p>
            <w:pPr>
              <w:pStyle w:val="Compact"/>
              <w:jc w:val="left"/>
            </w:pPr>
            <w:r>
              <w:t xml:space="preserve">Sistema o modelo</w:t>
            </w:r>
          </w:p>
        </w:tc>
        <w:tc>
          <w:tcPr/>
          <w:p>
            <w:pPr>
              <w:pStyle w:val="Compact"/>
              <w:jc w:val="left"/>
            </w:pPr>
            <w:r>
              <w:t xml:space="preserve">- No, no.</w:t>
            </w:r>
          </w:p>
        </w:tc>
      </w:tr>
      <w:tr>
        <w:tc>
          <w:tcPr/>
          <w:p>
            <w:pPr>
              <w:pStyle w:val="Compact"/>
              <w:jc w:val="left"/>
            </w:pPr>
            <w:r>
              <w:t xml:space="preserve">ID de inventario</w:t>
            </w:r>
          </w:p>
        </w:tc>
        <w:tc>
          <w:tcPr/>
          <w:p>
            <w:pPr>
              <w:pStyle w:val="Compact"/>
              <w:jc w:val="left"/>
            </w:pPr>
            <w:r>
              <w:t xml:space="preserve">- No, no.</w:t>
            </w:r>
          </w:p>
        </w:tc>
      </w:tr>
      <w:tr>
        <w:tc>
          <w:tcPr/>
          <w:p>
            <w:pPr>
              <w:pStyle w:val="Compact"/>
              <w:jc w:val="left"/>
            </w:pPr>
            <w:r>
              <w:t xml:space="preserve">Finalidad prevista</w:t>
            </w:r>
          </w:p>
        </w:tc>
        <w:tc>
          <w:tcPr/>
          <w:p>
            <w:pPr>
              <w:pStyle w:val="Compact"/>
              <w:jc w:val="left"/>
            </w:pPr>
            <w:r>
              <w:t xml:space="preserve">- No, no.</w:t>
            </w:r>
          </w:p>
        </w:tc>
      </w:tr>
      <w:tr>
        <w:tc>
          <w:tcPr/>
          <w:p>
            <w:pPr>
              <w:pStyle w:val="Compact"/>
              <w:jc w:val="left"/>
            </w:pPr>
            <w:r>
              <w:t xml:space="preserve">Uso real o propuesto</w:t>
            </w:r>
          </w:p>
        </w:tc>
        <w:tc>
          <w:tcPr/>
          <w:p>
            <w:pPr>
              <w:pStyle w:val="Compact"/>
              <w:jc w:val="left"/>
            </w:pPr>
            <w:r>
              <w:t xml:space="preserve">- No, no.</w:t>
            </w:r>
          </w:p>
        </w:tc>
      </w:tr>
      <w:tr>
        <w:tc>
          <w:tcPr/>
          <w:p>
            <w:pPr>
              <w:pStyle w:val="Compact"/>
              <w:jc w:val="left"/>
            </w:pPr>
            <w:r>
              <w:t xml:space="preserve">Proveedor/vendor</w:t>
            </w:r>
          </w:p>
        </w:tc>
        <w:tc>
          <w:tcPr/>
          <w:p>
            <w:pPr>
              <w:pStyle w:val="Compact"/>
              <w:jc w:val="left"/>
            </w:pPr>
            <w:r>
              <w:t xml:space="preserve">- No, no.</w:t>
            </w:r>
          </w:p>
        </w:tc>
      </w:tr>
      <w:tr>
        <w:tc>
          <w:tcPr/>
          <w:p>
            <w:pPr>
              <w:pStyle w:val="Compact"/>
              <w:jc w:val="left"/>
            </w:pPr>
            <w:r>
              <w:t xml:space="preserve">Integración de productos o servicios</w:t>
            </w:r>
          </w:p>
        </w:tc>
        <w:tc>
          <w:tcPr/>
          <w:p>
            <w:pPr>
              <w:pStyle w:val="Compact"/>
              <w:jc w:val="left"/>
            </w:pPr>
            <w:r>
              <w:t xml:space="preserve">- No, no.</w:t>
            </w:r>
          </w:p>
        </w:tc>
      </w:tr>
      <w:tr>
        <w:tc>
          <w:tcPr/>
          <w:p>
            <w:pPr>
              <w:pStyle w:val="Compact"/>
              <w:jc w:val="left"/>
            </w:pPr>
            <w:r>
              <w:t xml:space="preserve">Países participantes</w:t>
            </w:r>
          </w:p>
        </w:tc>
        <w:tc>
          <w:tcPr/>
          <w:p>
            <w:pPr>
              <w:pStyle w:val="Compact"/>
              <w:jc w:val="left"/>
            </w:pPr>
            <w:r>
              <w:t xml:space="preserve">- No, no.</w:t>
            </w:r>
          </w:p>
        </w:tc>
      </w:tr>
      <w:tr>
        <w:tc>
          <w:tcPr/>
          <w:p>
            <w:pPr>
              <w:pStyle w:val="Compact"/>
              <w:jc w:val="left"/>
            </w:pPr>
            <w:r>
              <w:t xml:space="preserve">Clientes y usuarios</w:t>
            </w:r>
          </w:p>
        </w:tc>
        <w:tc>
          <w:tcPr/>
          <w:p>
            <w:pPr>
              <w:pStyle w:val="Compact"/>
              <w:jc w:val="left"/>
            </w:pPr>
            <w:r>
              <w:t xml:space="preserve">- No, no.</w:t>
            </w:r>
          </w:p>
        </w:tc>
      </w:tr>
      <w:tr>
        <w:tc>
          <w:tcPr/>
          <w:p>
            <w:pPr>
              <w:pStyle w:val="Compact"/>
              <w:jc w:val="left"/>
            </w:pPr>
            <w:r>
              <w:t xml:space="preserve">Personas y grupos afectados</w:t>
            </w:r>
          </w:p>
        </w:tc>
        <w:tc>
          <w:tcPr/>
          <w:p>
            <w:pPr>
              <w:pStyle w:val="Compact"/>
              <w:jc w:val="left"/>
            </w:pPr>
            <w:r>
              <w:t xml:space="preserve">- No, no.</w:t>
            </w:r>
          </w:p>
        </w:tc>
      </w:tr>
      <w:tr>
        <w:tc>
          <w:tcPr/>
          <w:p>
            <w:pPr>
              <w:pStyle w:val="Compact"/>
              <w:jc w:val="left"/>
            </w:pPr>
            <w:r>
              <w:t xml:space="preserve">Propietario de la evaluación</w:t>
            </w:r>
          </w:p>
        </w:tc>
        <w:tc>
          <w:tcPr/>
          <w:p>
            <w:pPr>
              <w:pStyle w:val="Compact"/>
              <w:jc w:val="left"/>
            </w:pPr>
            <w:r>
              <w:t xml:space="preserve">- No, no.</w:t>
            </w:r>
          </w:p>
        </w:tc>
      </w:tr>
      <w:tr>
        <w:tc>
          <w:tcPr/>
          <w:p>
            <w:pPr>
              <w:pStyle w:val="Compact"/>
              <w:jc w:val="left"/>
            </w:pPr>
            <w:r>
              <w:t xml:space="preserve">Revisor jurídico</w:t>
            </w:r>
          </w:p>
        </w:tc>
        <w:tc>
          <w:tcPr/>
          <w:p>
            <w:pPr>
              <w:pStyle w:val="Compact"/>
              <w:jc w:val="left"/>
            </w:pPr>
            <w:r>
              <w:t xml:space="preserve">- No, no.</w:t>
            </w:r>
          </w:p>
        </w:tc>
      </w:tr>
      <w:tr>
        <w:tc>
          <w:tcPr/>
          <w:p>
            <w:pPr>
              <w:pStyle w:val="Compact"/>
              <w:jc w:val="left"/>
            </w:pPr>
            <w:r>
              <w:t xml:space="preserve">Fecha de evaluación</w:t>
            </w:r>
          </w:p>
        </w:tc>
        <w:tc>
          <w:tcPr/>
          <w:p>
            <w:pPr>
              <w:pStyle w:val="Compact"/>
              <w:jc w:val="left"/>
            </w:pPr>
            <w:r>
              <w:t xml:space="preserve">- No, no.</w:t>
            </w:r>
          </w:p>
        </w:tc>
      </w:tr>
      <w:tr>
        <w:tc>
          <w:tcPr/>
          <w:p>
            <w:pPr>
              <w:pStyle w:val="Compact"/>
              <w:jc w:val="left"/>
            </w:pPr>
            <w:r>
              <w:t xml:space="preserve">Versión/fecha de texto fuente</w:t>
            </w:r>
          </w:p>
        </w:tc>
        <w:tc>
          <w:tcPr/>
          <w:p>
            <w:pPr>
              <w:pStyle w:val="Compact"/>
              <w:jc w:val="left"/>
            </w:pPr>
            <w:r>
              <w:t xml:space="preserve">- No, no.</w:t>
            </w:r>
          </w:p>
        </w:tc>
      </w:tr>
    </w:tbl>
    <w:bookmarkEnd w:id="1427"/>
    <w:bookmarkStart w:id="1428" w:name="Xaab20b41b213a5f3b0a9bcfe5fe5ad8c866363d"/>
    <w:p>
      <w:pPr>
        <w:pStyle w:val="Heading2"/>
      </w:pPr>
      <w:r>
        <w:rPr>
          <w:rStyle w:val="SectionNumber"/>
        </w:rPr>
        <w:t xml:space="preserve">2.25</w:t>
      </w:r>
      <w:r>
        <w:tab/>
      </w:r>
      <w:r>
        <w:t xml:space="preserve">2. Examen territorial y de la conexión con el mercado</w:t>
      </w:r>
    </w:p>
    <w:p>
      <w:pPr>
        <w:pStyle w:val="FirstParagraph"/>
      </w:pPr>
      <w:r>
        <w:t xml:space="preserve">Respuesta</w:t>
      </w:r>
      <w:r>
        <w:t xml:space="preserve"> </w:t>
      </w:r>
      <w:r>
        <w:rPr>
          <w:bCs/>
          <w:b/>
        </w:rPr>
        <w:t xml:space="preserve">Sí</w:t>
      </w:r>
      <w:r>
        <w:t xml:space="preserve">,</w:t>
      </w:r>
      <w:r>
        <w:t xml:space="preserve"> </w:t>
      </w:r>
      <w:r>
        <w:rPr>
          <w:bCs/>
          <w:b/>
        </w:rPr>
        <w:t xml:space="preserve">No</w:t>
      </w:r>
      <w:r>
        <w:t xml:space="preserve">, o</w:t>
      </w:r>
      <w:r>
        <w:t xml:space="preserve"> </w:t>
      </w:r>
      <w:r>
        <w:rPr>
          <w:bCs/>
          <w:b/>
        </w:rPr>
        <w:t xml:space="preserve">Incierto</w:t>
      </w:r>
      <w:r>
        <w:t xml:space="preserve"> </w:t>
      </w:r>
      <w:r>
        <w:t xml:space="preserve">y cite pruebas.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Respuesta</w:t>
            </w:r>
          </w:p>
        </w:tc>
        <w:tc>
          <w:tcPr/>
          <w:p>
            <w:pPr>
              <w:pStyle w:val="Compact"/>
              <w:jc w:val="left"/>
            </w:pPr>
            <w:r>
              <w:t xml:space="preserve">Evidencia o justificación</w:t>
            </w:r>
          </w:p>
        </w:tc>
      </w:tr>
      <w:tr>
        <w:tc>
          <w:tcPr/>
          <w:p>
            <w:pPr>
              <w:pStyle w:val="Compact"/>
              <w:jc w:val="left"/>
            </w:pPr>
            <w:r>
              <w:t xml:space="preserve">¿Es un proveedor que comercializa un sistema de IA en el mercado de la Unión?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 un proveedor comercializando un modelo GPAI en el mercado de la Unión?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¿Un proveedor está poniendo en servicio un sistema de IA en la Unión?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 establecido o ubicado en la Unión un desplegador?</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utiliza en la Unión la producción producida por un sistema de IA fuera de la Unión?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¿Participa un importador, distribuidor, representante autorizado, fabricante del producto o proveedor intermedio en la actividad del mercado de la Unión?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 el sistema IA un componente de seguridad de un producto regulado que entra en el mercado de la Unión, o es él mismo?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¿Están involucrados clientes, trabajadores, solicitantes, viajeros u otras personas afectadas por el sindicato?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¿Existe una estructura contractual, operativa o de distribución que conecte el sistema o modelo con el mercado de la Unión?</w:t>
            </w:r>
          </w:p>
        </w:tc>
        <w:tc>
          <w:tcPr/>
          <w:p>
            <w:pPr>
              <w:pStyle w:val="Compact"/>
              <w:jc w:val="left"/>
            </w:pPr>
            <w:r>
              <w:t xml:space="preserve">- No, no.</w:t>
            </w:r>
          </w:p>
        </w:tc>
        <w:tc>
          <w:tcPr/>
          <w:p>
            <w:pPr>
              <w:pStyle w:val="Compact"/>
              <w:jc w:val="left"/>
            </w:pPr>
            <w:r>
              <w:t xml:space="preserve">- No, no.</w:t>
            </w:r>
          </w:p>
        </w:tc>
      </w:tr>
    </w:tbl>
    <w:p>
      <w:pPr>
        <w:pStyle w:val="BodyText"/>
      </w:pPr>
      <w:r>
        <w:t xml:space="preserve">No base la conclusión únicamente en la ubicación de la sede, el desarrollador, el servidor o la región de la nube. Documente la entidad jurídica pertinente, la actividad del mercado, el despliegue y el uso de la salida.</w:t>
      </w:r>
    </w:p>
    <w:bookmarkEnd w:id="1428"/>
    <w:bookmarkStart w:id="1429" w:name="examen-de-la-materia"/>
    <w:p>
      <w:pPr>
        <w:pStyle w:val="Heading2"/>
      </w:pPr>
      <w:r>
        <w:rPr>
          <w:rStyle w:val="SectionNumber"/>
        </w:rPr>
        <w:t xml:space="preserve">2.26</w:t>
      </w:r>
      <w:r>
        <w:tab/>
      </w:r>
      <w:r>
        <w:t xml:space="preserve">3. Examen de la materia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Respuesta</w:t>
            </w:r>
          </w:p>
        </w:tc>
        <w:tc>
          <w:tcPr/>
          <w:p>
            <w:pPr>
              <w:pStyle w:val="Compact"/>
              <w:jc w:val="left"/>
            </w:pPr>
            <w:r>
              <w:t xml:space="preserve">Evidencia o justificación</w:t>
            </w:r>
          </w:p>
        </w:tc>
      </w:tr>
      <w:tr>
        <w:tc>
          <w:tcPr/>
          <w:p>
            <w:pPr>
              <w:pStyle w:val="Compact"/>
              <w:jc w:val="left"/>
            </w:pPr>
            <w:r>
              <w:t xml:space="preserve">¿Cumple la capacidad con la definición legal actual de un sistema de IA?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trata de un modelo GPAI, separado de un sistema de IA aguas abajo?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¿La capacidad es sólo software convencional, automatización, análisis o reglas que no cumplen con la definición legal?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 sistema o modelo es parte de un producto regulado o un componente de seguridad?</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alega investigación, desarrollo, pruebas, militares, defensa, seguridad nacional, personal no profesional, de código abierto u otra exclusión o trato especial?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han documentado todas las condiciones legales y las limitaciones de alcance del tratamiento alegado?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¿También se aplican productos específicos para cada sector, seguridad, empleo, igualdad, accesibilidad, consumidor, privacidad, ciberseguridad, salud, servicios financieros, transporte u otra ley?</w:t>
            </w:r>
          </w:p>
        </w:tc>
        <w:tc>
          <w:tcPr/>
          <w:p>
            <w:pPr>
              <w:pStyle w:val="Compact"/>
              <w:jc w:val="left"/>
            </w:pPr>
            <w:r>
              <w:t xml:space="preserve">- No, no.</w:t>
            </w:r>
          </w:p>
        </w:tc>
        <w:tc>
          <w:tcPr/>
          <w:p>
            <w:pPr>
              <w:pStyle w:val="Compact"/>
              <w:jc w:val="left"/>
            </w:pPr>
            <w:r>
              <w:t xml:space="preserve">- No, no.</w:t>
            </w:r>
          </w:p>
        </w:tc>
      </w:tr>
    </w:tbl>
    <w:p>
      <w:pPr>
        <w:pStyle w:val="BodyText"/>
      </w:pPr>
      <w:r>
        <w:t xml:space="preserve">Una exclusión o trato especial en virtud de una disposición de la Ley de Amnistía Internacional no elimina las obligaciones de aplicación independiente en virtud de la Ley de Amnistía Internacional u otra ley.</w:t>
      </w:r>
    </w:p>
    <w:bookmarkEnd w:id="1429"/>
    <w:bookmarkStart w:id="1430" w:name="examen-de-las-funciones-de-los-actores"/>
    <w:p>
      <w:pPr>
        <w:pStyle w:val="Heading2"/>
      </w:pPr>
      <w:r>
        <w:rPr>
          <w:rStyle w:val="SectionNumber"/>
        </w:rPr>
        <w:t xml:space="preserve">2.27</w:t>
      </w:r>
      <w:r>
        <w:tab/>
      </w:r>
      <w:r>
        <w:t xml:space="preserve">4. Examen de las funciones de los actores</w:t>
      </w:r>
    </w:p>
    <w:p>
      <w:pPr>
        <w:pStyle w:val="FirstParagraph"/>
      </w:pPr>
      <w:r>
        <w:t xml:space="preserve">Evaluar todas las entidades jurídicas pertinentes y todas las funciones potencialmente concurrentes:</w:t>
      </w:r>
    </w:p>
    <w:p>
      <w:pPr>
        <w:numPr>
          <w:ilvl w:val="0"/>
          <w:numId w:val="1496"/>
        </w:numPr>
        <w:pStyle w:val="Compact"/>
      </w:pPr>
      <w:r>
        <w:t xml:space="preserve">el proveedor de un sistema de IA;</w:t>
      </w:r>
    </w:p>
    <w:p>
      <w:pPr>
        <w:numPr>
          <w:ilvl w:val="0"/>
          <w:numId w:val="1496"/>
        </w:numPr>
        <w:pStyle w:val="Compact"/>
      </w:pPr>
      <w:r>
        <w:t xml:space="preserve">el proveedor de un modelo GPAI;</w:t>
      </w:r>
    </w:p>
    <w:p>
      <w:pPr>
        <w:numPr>
          <w:ilvl w:val="0"/>
          <w:numId w:val="1496"/>
        </w:numPr>
        <w:pStyle w:val="Compact"/>
      </w:pPr>
      <w:r>
        <w:t xml:space="preserve">el proveedor intermedio;</w:t>
      </w:r>
    </w:p>
    <w:p>
      <w:pPr>
        <w:numPr>
          <w:ilvl w:val="0"/>
          <w:numId w:val="1496"/>
        </w:numPr>
        <w:pStyle w:val="Compact"/>
      </w:pPr>
      <w:r>
        <w:t xml:space="preserve">el despliegue;</w:t>
      </w:r>
    </w:p>
    <w:p>
      <w:pPr>
        <w:numPr>
          <w:ilvl w:val="0"/>
          <w:numId w:val="1496"/>
        </w:numPr>
        <w:pStyle w:val="Compact"/>
      </w:pPr>
      <w:r>
        <w:t xml:space="preserve">importador;</w:t>
      </w:r>
    </w:p>
    <w:p>
      <w:pPr>
        <w:numPr>
          <w:ilvl w:val="0"/>
          <w:numId w:val="1496"/>
        </w:numPr>
        <w:pStyle w:val="Compact"/>
      </w:pPr>
      <w:r>
        <w:t xml:space="preserve">distribuidor;</w:t>
      </w:r>
    </w:p>
    <w:p>
      <w:pPr>
        <w:numPr>
          <w:ilvl w:val="0"/>
          <w:numId w:val="1496"/>
        </w:numPr>
        <w:pStyle w:val="Compact"/>
      </w:pPr>
      <w:r>
        <w:t xml:space="preserve">el representante autorizado;</w:t>
      </w:r>
    </w:p>
    <w:p>
      <w:pPr>
        <w:numPr>
          <w:ilvl w:val="0"/>
          <w:numId w:val="1496"/>
        </w:numPr>
        <w:pStyle w:val="Compact"/>
      </w:pPr>
      <w:r>
        <w:t xml:space="preserve">fabricante del producto;</w:t>
      </w:r>
    </w:p>
    <w:p>
      <w:pPr>
        <w:numPr>
          <w:ilvl w:val="0"/>
          <w:numId w:val="1496"/>
        </w:numPr>
        <w:pStyle w:val="Compact"/>
      </w:pPr>
      <w:r>
        <w:t xml:space="preserve">el agente que pueda adquirir obligaciones del proveedor mediante la colocación en una marca propia, una modificación sustancial, un cambio de propósito u otra conducta jurídicamente pertinente.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Entidad</w:t>
            </w:r>
          </w:p>
        </w:tc>
        <w:tc>
          <w:tcPr/>
          <w:p>
            <w:pPr>
              <w:pStyle w:val="Compact"/>
              <w:jc w:val="left"/>
            </w:pPr>
            <w:r>
              <w:t xml:space="preserve">Competencia</w:t>
            </w:r>
          </w:p>
        </w:tc>
        <w:tc>
          <w:tcPr/>
          <w:p>
            <w:pPr>
              <w:pStyle w:val="Compact"/>
              <w:jc w:val="left"/>
            </w:pPr>
            <w:r>
              <w:t xml:space="preserve">Función</w:t>
            </w:r>
          </w:p>
        </w:tc>
        <w:tc>
          <w:tcPr/>
          <w:p>
            <w:pPr>
              <w:pStyle w:val="Compact"/>
              <w:jc w:val="left"/>
            </w:pPr>
            <w:r>
              <w:t xml:space="preserve">Fundamento de los hechos</w:t>
            </w:r>
          </w:p>
        </w:tc>
        <w:tc>
          <w:tcPr/>
          <w:p>
            <w:pPr>
              <w:pStyle w:val="Compact"/>
              <w:jc w:val="left"/>
            </w:pPr>
            <w:r>
              <w:t xml:space="preserve">Derechos aplicables</w:t>
            </w:r>
          </w:p>
        </w:tc>
        <w:tc>
          <w:tcPr/>
          <w:p>
            <w:pPr>
              <w:pStyle w:val="Compact"/>
              <w:jc w:val="left"/>
            </w:pPr>
            <w:r>
              <w:t xml:space="preserve">Pruebas</w:t>
            </w:r>
          </w:p>
        </w:tc>
        <w:tc>
          <w:tcPr/>
          <w:p>
            <w:pPr>
              <w:pStyle w:val="Compact"/>
              <w:jc w:val="left"/>
            </w:pPr>
            <w:r>
              <w:t xml:space="preserve">Incertidumbre jurídica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El lenguaje contractual es una prueba pertinente, pero no anula la función jurídica de hecho.</w:t>
      </w:r>
    </w:p>
    <w:bookmarkEnd w:id="1430"/>
    <w:bookmarkStart w:id="1431" w:name="examen-de-las-prácticas-prohibidas"/>
    <w:p>
      <w:pPr>
        <w:pStyle w:val="Heading2"/>
      </w:pPr>
      <w:r>
        <w:rPr>
          <w:rStyle w:val="SectionNumber"/>
        </w:rPr>
        <w:t xml:space="preserve">2.28</w:t>
      </w:r>
      <w:r>
        <w:tab/>
      </w:r>
      <w:r>
        <w:t xml:space="preserve">5. Examen de las prácticas prohibidas</w:t>
      </w:r>
    </w:p>
    <w:p>
      <w:pPr>
        <w:pStyle w:val="FirstParagraph"/>
      </w:pPr>
      <w:r>
        <w:t xml:space="preserve">Determinar si el uso puede implicar alguna preocupación relacionada con el artículo 5, incluida la manipulación, la explotación de la vulnerabilidad, la puntuación social, la vigilancia preventiva, el raspado de imágenes faciales, el reconocimiento de emociones en contextos restringidos, la categorización biométrica sensible, la identificación biométrica remota en tiempo real u otra práctica prohibida en su forma enmendada.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Posible preocupación</w:t>
            </w:r>
          </w:p>
        </w:tc>
        <w:tc>
          <w:tcPr/>
          <w:p>
            <w:pPr>
              <w:pStyle w:val="Compact"/>
              <w:jc w:val="left"/>
            </w:pPr>
            <w:r>
              <w:t xml:space="preserve">¿Se aplica?</w:t>
            </w:r>
          </w:p>
        </w:tc>
        <w:tc>
          <w:tcPr/>
          <w:p>
            <w:pPr>
              <w:pStyle w:val="Compact"/>
              <w:jc w:val="left"/>
            </w:pPr>
            <w:r>
              <w:t xml:space="preserve">Hechos y pruebas</w:t>
            </w:r>
          </w:p>
        </w:tc>
        <w:tc>
          <w:tcPr/>
          <w:p>
            <w:pPr>
              <w:pStyle w:val="Compact"/>
              <w:jc w:val="left"/>
            </w:pPr>
            <w:r>
              <w:t xml:space="preserve">Excepción o limitación consideradas</w:t>
            </w:r>
          </w:p>
        </w:tc>
        <w:tc>
          <w:tcPr/>
          <w:p>
            <w:pPr>
              <w:pStyle w:val="Compact"/>
              <w:jc w:val="left"/>
            </w:pPr>
            <w:r>
              <w:t xml:space="preserve">Revisor jurídico</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Una posible preocupación relacionada con el artículo 5 debe intensificarse inmediatamente y tal vez no proceda simplemente porque la evaluación más amplia de la aplicabilidad es incompleta.</w:t>
      </w:r>
    </w:p>
    <w:bookmarkEnd w:id="1431"/>
    <w:bookmarkStart w:id="1432" w:name="examen-de-alto-riesgo"/>
    <w:p>
      <w:pPr>
        <w:pStyle w:val="Heading2"/>
      </w:pPr>
      <w:r>
        <w:rPr>
          <w:rStyle w:val="SectionNumber"/>
        </w:rPr>
        <w:t xml:space="preserve">2.29</w:t>
      </w:r>
      <w:r>
        <w:tab/>
      </w:r>
      <w:r>
        <w:t xml:space="preserve">6. Examen de alto riesgo</w:t>
      </w:r>
    </w:p>
    <w:p>
      <w:pPr>
        <w:pStyle w:val="FirstParagraph"/>
      </w:pPr>
      <w:r>
        <w:t xml:space="preserve">Determinar si el sistema puede incluir:</w:t>
      </w:r>
    </w:p>
    <w:p>
      <w:pPr>
        <w:numPr>
          <w:ilvl w:val="0"/>
          <w:numId w:val="1497"/>
        </w:numPr>
        <w:pStyle w:val="Compact"/>
      </w:pPr>
      <w:r>
        <w:t xml:space="preserve">Artículo 6, apartado 1, y anexo I, producto o tratamiento de componentes de seguridad;</w:t>
      </w:r>
    </w:p>
    <w:p>
      <w:pPr>
        <w:numPr>
          <w:ilvl w:val="0"/>
          <w:numId w:val="1497"/>
        </w:numPr>
        <w:pStyle w:val="Compact"/>
      </w:pPr>
      <w:r>
        <w:t xml:space="preserve">el artículo 6, apartado 2, y el anexo III, sobre el tratamiento de casos de uso;</w:t>
      </w:r>
    </w:p>
    <w:p>
      <w:pPr>
        <w:numPr>
          <w:ilvl w:val="0"/>
          <w:numId w:val="1497"/>
        </w:numPr>
        <w:pStyle w:val="Compact"/>
      </w:pPr>
      <w:r>
        <w:t xml:space="preserve">Artículo 6, apartado 3, análisis de las excepciones;</w:t>
      </w:r>
    </w:p>
    <w:p>
      <w:pPr>
        <w:numPr>
          <w:ilvl w:val="0"/>
          <w:numId w:val="1497"/>
        </w:numPr>
        <w:pStyle w:val="Compact"/>
      </w:pPr>
      <w:r>
        <w:t xml:space="preserve">la advertencia sobre la elaboración de perfiles que pueda impedir la aplicación de la excepción del artículo 6, apartado 3;</w:t>
      </w:r>
    </w:p>
    <w:p>
      <w:pPr>
        <w:numPr>
          <w:ilvl w:val="0"/>
          <w:numId w:val="1497"/>
        </w:numPr>
        <w:pStyle w:val="Compact"/>
      </w:pPr>
      <w:r>
        <w:t xml:space="preserve">proveedor, desplieguer, importador, distribuidor, fabricante de productos, registro, conformidad, documentación, supervisión, incidencia o medidas correctoras.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Ruta o emisión</w:t>
            </w:r>
          </w:p>
        </w:tc>
        <w:tc>
          <w:tcPr/>
          <w:p>
            <w:pPr>
              <w:pStyle w:val="Compact"/>
              <w:jc w:val="left"/>
            </w:pPr>
            <w:r>
              <w:t xml:space="preserve">¿Se aplica?</w:t>
            </w:r>
          </w:p>
        </w:tc>
        <w:tc>
          <w:tcPr/>
          <w:p>
            <w:pPr>
              <w:pStyle w:val="Compact"/>
              <w:jc w:val="left"/>
            </w:pPr>
            <w:r>
              <w:t xml:space="preserve">Justificación jurídica y fáctica</w:t>
            </w:r>
          </w:p>
        </w:tc>
        <w:tc>
          <w:tcPr/>
          <w:p>
            <w:pPr>
              <w:pStyle w:val="Compact"/>
              <w:jc w:val="left"/>
            </w:pPr>
            <w:r>
              <w:t xml:space="preserve">Pruebas</w:t>
            </w:r>
          </w:p>
        </w:tc>
        <w:tc>
          <w:tcPr/>
          <w:p>
            <w:pPr>
              <w:pStyle w:val="Compact"/>
              <w:jc w:val="left"/>
            </w:pPr>
            <w:r>
              <w:t xml:space="preserve">Se requiere un nuevo examen</w:t>
            </w:r>
          </w:p>
        </w:tc>
      </w:tr>
      <w:tr>
        <w:tc>
          <w:tcPr/>
          <w:p>
            <w:pPr>
              <w:pStyle w:val="Compact"/>
              <w:jc w:val="left"/>
            </w:pPr>
            <w:r>
              <w:t xml:space="preserve">Artículo 6, apartado 1/anexo I</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Artículo 6, apartado 2/anexo III</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Excepción del artículo 6, apartado 3</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Caracterización de la advertencia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Overlay sector/producto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432"/>
    <w:bookmarkStart w:id="1433" w:name="transparencia-y-selección-de-gpai"/>
    <w:p>
      <w:pPr>
        <w:pStyle w:val="Heading2"/>
      </w:pPr>
      <w:r>
        <w:rPr>
          <w:rStyle w:val="SectionNumber"/>
        </w:rPr>
        <w:t xml:space="preserve">2.30</w:t>
      </w:r>
      <w:r>
        <w:tab/>
      </w:r>
      <w:r>
        <w:t xml:space="preserve">7. Transparencia y selección de GPAI</w:t>
      </w:r>
    </w:p>
    <w:p>
      <w:pPr>
        <w:pStyle w:val="FirstParagraph"/>
      </w:pPr>
      <w:r>
        <w:t xml:space="preserve">Determinar si el asunto implica:</w:t>
      </w:r>
    </w:p>
    <w:p>
      <w:pPr>
        <w:numPr>
          <w:ilvl w:val="0"/>
          <w:numId w:val="1498"/>
        </w:numPr>
        <w:pStyle w:val="Compact"/>
      </w:pPr>
      <w:r>
        <w:t xml:space="preserve">Artículo 13 instrucciones o información del proveedor;</w:t>
      </w:r>
    </w:p>
    <w:p>
      <w:pPr>
        <w:numPr>
          <w:ilvl w:val="0"/>
          <w:numId w:val="1498"/>
        </w:numPr>
        <w:pStyle w:val="Compact"/>
      </w:pPr>
      <w:r>
        <w:t xml:space="preserve">Artículo 26 Información de los usuarios o tareas relacionadas con los trabajadores;</w:t>
      </w:r>
    </w:p>
    <w:p>
      <w:pPr>
        <w:numPr>
          <w:ilvl w:val="0"/>
          <w:numId w:val="1498"/>
        </w:numPr>
        <w:pStyle w:val="Compact"/>
      </w:pPr>
      <w:r>
        <w:t xml:space="preserve">Interacción con el artículo 50, funciones biométricas, de reconocimiento de emociones, de contenido sintético, falsas o de texto de interés público;</w:t>
      </w:r>
    </w:p>
    <w:p>
      <w:pPr>
        <w:numPr>
          <w:ilvl w:val="0"/>
          <w:numId w:val="1498"/>
        </w:numPr>
        <w:pStyle w:val="Compact"/>
      </w:pPr>
      <w:r>
        <w:t xml:space="preserve">un proveedor de GPAI, un proveedor intermedio, un implementador, un modelo de código abierto o un modelo de GPAI de riesgo sistémico;</w:t>
      </w:r>
    </w:p>
    <w:p>
      <w:pPr>
        <w:numPr>
          <w:ilvl w:val="0"/>
          <w:numId w:val="1498"/>
        </w:numPr>
        <w:pStyle w:val="Compact"/>
      </w:pPr>
      <w:r>
        <w:t xml:space="preserve">derechos de autor-política, resumen de contenido de capacitación, evaluación, ciberseguridad, incidentes o tareas de AI Office.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Ámbito de obligación</w:t>
            </w:r>
          </w:p>
        </w:tc>
        <w:tc>
          <w:tcPr/>
          <w:p>
            <w:pPr>
              <w:pStyle w:val="Compact"/>
              <w:jc w:val="left"/>
            </w:pPr>
            <w:r>
              <w:t xml:space="preserve">¿Se aplica?</w:t>
            </w:r>
          </w:p>
        </w:tc>
        <w:tc>
          <w:tcPr/>
          <w:p>
            <w:pPr>
              <w:pStyle w:val="Compact"/>
              <w:jc w:val="left"/>
            </w:pPr>
            <w:r>
              <w:t xml:space="preserve">Actor</w:t>
            </w:r>
          </w:p>
        </w:tc>
        <w:tc>
          <w:tcPr/>
          <w:p>
            <w:pPr>
              <w:pStyle w:val="Compact"/>
              <w:jc w:val="left"/>
            </w:pPr>
            <w:r>
              <w:t xml:space="preserve">Pruebas</w:t>
            </w:r>
          </w:p>
        </w:tc>
        <w:tc>
          <w:tcPr/>
          <w:p>
            <w:pPr>
              <w:pStyle w:val="Compact"/>
              <w:jc w:val="left"/>
            </w:pPr>
            <w:r>
              <w:t xml:space="preserve">Fecha de aplicación</w:t>
            </w:r>
          </w:p>
        </w:tc>
      </w:tr>
      <w:tr>
        <w:tc>
          <w:tcPr/>
          <w:p>
            <w:pPr>
              <w:pStyle w:val="Compact"/>
              <w:jc w:val="left"/>
            </w:pPr>
            <w:r>
              <w:t xml:space="preserve">Transparencia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GPAI</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GPAI de riesgo sistémico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433"/>
    <w:bookmarkStart w:id="1434" w:name="regímenes-jurídicos-conexos"/>
    <w:p>
      <w:pPr>
        <w:pStyle w:val="Heading2"/>
      </w:pPr>
      <w:r>
        <w:rPr>
          <w:rStyle w:val="SectionNumber"/>
        </w:rPr>
        <w:t xml:space="preserve">2.31</w:t>
      </w:r>
      <w:r>
        <w:tab/>
      </w:r>
      <w:r>
        <w:t xml:space="preserve">8. Regímenes jurídicos conexos</w:t>
      </w:r>
    </w:p>
    <w:p>
      <w:pPr>
        <w:pStyle w:val="FirstParagraph"/>
      </w:pPr>
      <w:r>
        <w:t xml:space="preserve">Evaluar las obligaciones aplicables de forma independiente, en particular:</w:t>
      </w:r>
    </w:p>
    <w:p>
      <w:pPr>
        <w:numPr>
          <w:ilvl w:val="0"/>
          <w:numId w:val="1499"/>
        </w:numPr>
        <w:pStyle w:val="Compact"/>
      </w:pPr>
      <w:r>
        <w:t xml:space="preserve">RGPD y la legislación nacional sobre privacidad;</w:t>
      </w:r>
    </w:p>
    <w:p>
      <w:pPr>
        <w:numPr>
          <w:ilvl w:val="0"/>
          <w:numId w:val="1499"/>
        </w:numPr>
        <w:pStyle w:val="Compact"/>
      </w:pPr>
      <w:r>
        <w:t xml:space="preserve">normas de decisión automatizada y de elaboración de perfiles;</w:t>
      </w:r>
    </w:p>
    <w:p>
      <w:pPr>
        <w:numPr>
          <w:ilvl w:val="0"/>
          <w:numId w:val="1499"/>
        </w:numPr>
        <w:pStyle w:val="Compact"/>
      </w:pPr>
      <w:r>
        <w:t xml:space="preserve">el empleo, la información sobre los trabajadores, la consulta y las normas sobre derechos colectivos;</w:t>
      </w:r>
    </w:p>
    <w:p>
      <w:pPr>
        <w:numPr>
          <w:ilvl w:val="0"/>
          <w:numId w:val="1499"/>
        </w:numPr>
        <w:pStyle w:val="Compact"/>
      </w:pPr>
      <w:r>
        <w:t xml:space="preserve">Ley de igualdad y lucha contra la discriminación;</w:t>
      </w:r>
    </w:p>
    <w:p>
      <w:pPr>
        <w:numPr>
          <w:ilvl w:val="0"/>
          <w:numId w:val="1499"/>
        </w:numPr>
        <w:pStyle w:val="Compact"/>
      </w:pPr>
      <w:r>
        <w:t xml:space="preserve">Ley de accesibilidad;</w:t>
      </w:r>
    </w:p>
    <w:p>
      <w:pPr>
        <w:numPr>
          <w:ilvl w:val="0"/>
          <w:numId w:val="1499"/>
        </w:numPr>
        <w:pStyle w:val="Compact"/>
      </w:pPr>
      <w:r>
        <w:t xml:space="preserve">seguridad cibernética e información sobre incidentes;</w:t>
      </w:r>
    </w:p>
    <w:p>
      <w:pPr>
        <w:numPr>
          <w:ilvl w:val="0"/>
          <w:numId w:val="1499"/>
        </w:numPr>
        <w:pStyle w:val="Compact"/>
      </w:pPr>
      <w:r>
        <w:t xml:space="preserve">la legislación sobre protección de los consumidores y prácticas comerciales desleales;</w:t>
      </w:r>
    </w:p>
    <w:p>
      <w:pPr>
        <w:numPr>
          <w:ilvl w:val="0"/>
          <w:numId w:val="1499"/>
        </w:numPr>
        <w:pStyle w:val="Compact"/>
      </w:pPr>
      <w:r>
        <w:t xml:space="preserve">seguridad de los productos y regulación sectorial;</w:t>
      </w:r>
    </w:p>
    <w:p>
      <w:pPr>
        <w:numPr>
          <w:ilvl w:val="0"/>
          <w:numId w:val="1499"/>
        </w:numPr>
        <w:pStyle w:val="Compact"/>
      </w:pPr>
      <w:r>
        <w:t xml:space="preserve">la propiedad intelectual, los derechos de autor, la confidencialidad y las obligaciones de secreto comercial;</w:t>
      </w:r>
    </w:p>
    <w:p>
      <w:pPr>
        <w:numPr>
          <w:ilvl w:val="0"/>
          <w:numId w:val="1499"/>
        </w:numPr>
        <w:pStyle w:val="Compact"/>
      </w:pPr>
      <w:r>
        <w:t xml:space="preserve">tareas de gestión de registros, litigación y conservación de pruebas.</w:t>
      </w:r>
    </w:p>
    <w:bookmarkEnd w:id="1434"/>
    <w:bookmarkStart w:id="1435" w:name="calendario-y-tratamiento-de-transición"/>
    <w:p>
      <w:pPr>
        <w:pStyle w:val="Heading2"/>
      </w:pPr>
      <w:r>
        <w:rPr>
          <w:rStyle w:val="SectionNumber"/>
        </w:rPr>
        <w:t xml:space="preserve">2.32</w:t>
      </w:r>
      <w:r>
        <w:tab/>
      </w:r>
      <w:r>
        <w:t xml:space="preserve">9. Calendario y tratamiento de transición</w:t>
      </w:r>
    </w:p>
    <w:p>
      <w:pPr>
        <w:pStyle w:val="FirstParagraph"/>
      </w:pPr>
      <w:r>
        <w:t xml:space="preserve">Registra la disposición exacta, la fecha aplicable, la regla de transición, el estado del sistema y la fuente oficial. No asignes una fecha genérica de alto riesgo o GPAI a cada obligación.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Provisión u obligación</w:t>
            </w:r>
          </w:p>
        </w:tc>
        <w:tc>
          <w:tcPr/>
          <w:p>
            <w:pPr>
              <w:pStyle w:val="Compact"/>
              <w:jc w:val="left"/>
            </w:pPr>
            <w:r>
              <w:t xml:space="preserve">¿Se aplica?</w:t>
            </w:r>
          </w:p>
        </w:tc>
        <w:tc>
          <w:tcPr/>
          <w:p>
            <w:pPr>
              <w:pStyle w:val="Compact"/>
              <w:jc w:val="left"/>
            </w:pPr>
            <w:r>
              <w:t xml:space="preserve">Fecha de aplicación</w:t>
            </w:r>
          </w:p>
        </w:tc>
        <w:tc>
          <w:tcPr/>
          <w:p>
            <w:pPr>
              <w:pStyle w:val="Compact"/>
              <w:jc w:val="left"/>
            </w:pPr>
            <w:r>
              <w:t xml:space="preserve">Regla de transición o de sistema heredado</w:t>
            </w:r>
          </w:p>
        </w:tc>
        <w:tc>
          <w:tcPr/>
          <w:p>
            <w:pPr>
              <w:pStyle w:val="Compact"/>
              <w:jc w:val="left"/>
            </w:pPr>
            <w:r>
              <w:t xml:space="preserve">Fuente oficial</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435"/>
    <w:bookmarkStart w:id="1436" w:name="resultados-de-la-aplicación"/>
    <w:p>
      <w:pPr>
        <w:pStyle w:val="Heading2"/>
      </w:pPr>
      <w:r>
        <w:rPr>
          <w:rStyle w:val="SectionNumber"/>
        </w:rPr>
        <w:t xml:space="preserve">2.33</w:t>
      </w:r>
      <w:r>
        <w:tab/>
      </w:r>
      <w:r>
        <w:t xml:space="preserve">10. Resultados de la aplicación</w:t>
      </w:r>
    </w:p>
    <w:p>
      <w:pPr>
        <w:pStyle w:val="FirstParagraph"/>
      </w:pPr>
      <w:r>
        <w:t xml:space="preserve">Seleccione uno y explique:</w:t>
      </w:r>
    </w:p>
    <w:p>
      <w:pPr>
        <w:numPr>
          <w:ilvl w:val="0"/>
          <w:numId w:val="1500"/>
        </w:numPr>
        <w:pStyle w:val="Compact"/>
      </w:pPr>
      <w:r>
        <w:t xml:space="preserve">☐ En el ámbito de aplicación</w:t>
      </w:r>
    </w:p>
    <w:p>
      <w:pPr>
        <w:numPr>
          <w:ilvl w:val="0"/>
          <w:numId w:val="1500"/>
        </w:numPr>
        <w:pStyle w:val="Compact"/>
      </w:pPr>
      <w:r>
        <w:t xml:space="preserve">☐ De alcance parcial</w:t>
      </w:r>
    </w:p>
    <w:p>
      <w:pPr>
        <w:numPr>
          <w:ilvl w:val="0"/>
          <w:numId w:val="1500"/>
        </w:numPr>
        <w:pStyle w:val="Compact"/>
      </w:pPr>
      <w:r>
        <w:t xml:space="preserve">☐ Fuera del ámbito de aplicación</w:t>
      </w:r>
    </w:p>
    <w:p>
      <w:pPr>
        <w:numPr>
          <w:ilvl w:val="0"/>
          <w:numId w:val="1500"/>
        </w:numPr>
        <w:pStyle w:val="Compact"/>
      </w:pPr>
      <w:r>
        <w:t xml:space="preserve">☐ Excluidas o tratadas especialmente, con todas las condiciones documentadas</w:t>
      </w:r>
    </w:p>
    <w:p>
      <w:pPr>
        <w:numPr>
          <w:ilvl w:val="0"/>
          <w:numId w:val="1500"/>
        </w:numPr>
        <w:pStyle w:val="Compact"/>
      </w:pPr>
      <w:r>
        <w:t xml:space="preserve">☐ Incierto: se requiere una revisión legal cualificada</w:t>
      </w:r>
    </w:p>
    <w:p>
      <w:pPr>
        <w:pStyle w:val="FirstParagraph"/>
      </w:pPr>
      <w:r>
        <w:rPr>
          <w:bCs/>
          <w:b/>
        </w:rPr>
        <w:t xml:space="preserve">Conclusión:</w:t>
      </w:r>
      <w:r>
        <w:t xml:space="preserve"> </w:t>
      </w:r>
      <w:r>
        <w:t xml:space="preserve">** Justificación jurídica y fáctica:</w:t>
      </w:r>
      <w:r>
        <w:rPr>
          <w:bCs/>
          <w:b/>
        </w:rPr>
        <w:t xml:space="preserve"> </w:t>
      </w:r>
      <w:r>
        <w:t xml:space="preserve">Agentes y obligaciones aplicables</w:t>
      </w:r>
      <w:r>
        <w:rPr>
          <w:bCs/>
          <w:b/>
        </w:rPr>
        <w:t xml:space="preserve"> </w:t>
      </w:r>
      <w:r>
        <w:t xml:space="preserve"> </w:t>
      </w:r>
      <w:r>
        <w:t xml:space="preserve">Disposiciones no aplicables y justificación:</w:t>
      </w:r>
      <w:r>
        <w:rPr>
          <w:bCs/>
          <w:b/>
        </w:rPr>
        <w:t xml:space="preserve"> </w:t>
      </w:r>
      <w:r>
        <w:t xml:space="preserve">Condiciones, supuestos e incertidumbres:</w:t>
      </w:r>
      <w:r>
        <w:rPr>
          <w:bCs/>
          <w:b/>
        </w:rPr>
        <w:t xml:space="preserve"> </w:t>
      </w:r>
      <w:r>
        <w:t xml:space="preserve"> </w:t>
      </w:r>
      <w:r>
        <w:t xml:space="preserve">Obligaciones relacionadas con el derecho:**</w:t>
      </w:r>
    </w:p>
    <w:bookmarkEnd w:id="1436"/>
    <w:bookmarkStart w:id="1437" w:name="medidas-necesarias"/>
    <w:p>
      <w:pPr>
        <w:pStyle w:val="Heading2"/>
      </w:pPr>
      <w:r>
        <w:rPr>
          <w:rStyle w:val="SectionNumber"/>
        </w:rPr>
        <w:t xml:space="preserve">2.34</w:t>
      </w:r>
      <w:r>
        <w:tab/>
      </w:r>
      <w:r>
        <w:t xml:space="preserve">11. Medidas necesarias</w:t>
      </w:r>
    </w:p>
    <w:p>
      <w:pPr>
        <w:numPr>
          <w:ilvl w:val="0"/>
          <w:numId w:val="1501"/>
        </w:numPr>
        <w:pStyle w:val="Compact"/>
      </w:pPr>
      <w:r>
        <w:t xml:space="preserve">Completar o actualizar el registro de inventario.</w:t>
      </w:r>
    </w:p>
    <w:p>
      <w:pPr>
        <w:numPr>
          <w:ilvl w:val="0"/>
          <w:numId w:val="1501"/>
        </w:numPr>
        <w:pStyle w:val="Compact"/>
      </w:pPr>
      <w:r>
        <w:t xml:space="preserve">Evaluación completa de la función del actor.</w:t>
      </w:r>
    </w:p>
    <w:p>
      <w:pPr>
        <w:numPr>
          <w:ilvl w:val="0"/>
          <w:numId w:val="1501"/>
        </w:numPr>
        <w:pStyle w:val="Compact"/>
      </w:pPr>
      <w:r>
        <w:t xml:space="preserve">Exámenes completos de prácticas prohibidas.</w:t>
      </w:r>
    </w:p>
    <w:p>
      <w:pPr>
        <w:numPr>
          <w:ilvl w:val="0"/>
          <w:numId w:val="1501"/>
        </w:numPr>
        <w:pStyle w:val="Compact"/>
      </w:pPr>
      <w:r>
        <w:t xml:space="preserve">Clasificación completa de alto riesgo.</w:t>
      </w:r>
    </w:p>
    <w:p>
      <w:pPr>
        <w:numPr>
          <w:ilvl w:val="0"/>
          <w:numId w:val="1501"/>
        </w:numPr>
        <w:pStyle w:val="Compact"/>
      </w:pPr>
      <w:r>
        <w:t xml:space="preserve">Completa transparencia y evaluaciones de GPAI.</w:t>
      </w:r>
    </w:p>
    <w:p>
      <w:pPr>
        <w:numPr>
          <w:ilvl w:val="0"/>
          <w:numId w:val="1501"/>
        </w:numPr>
        <w:pStyle w:val="Compact"/>
      </w:pPr>
      <w:r>
        <w:t xml:space="preserve">Identificar fechas exactas efectivas y disposiciones de transición.</w:t>
      </w:r>
    </w:p>
    <w:p>
      <w:pPr>
        <w:numPr>
          <w:ilvl w:val="0"/>
          <w:numId w:val="1501"/>
        </w:numPr>
        <w:pStyle w:val="Compact"/>
      </w:pPr>
      <w:r>
        <w:t xml:space="preserve">Mapa de los deberes aplicables a los controles, pruebas, propietarios y plazos.</w:t>
      </w:r>
    </w:p>
    <w:p>
      <w:pPr>
        <w:numPr>
          <w:ilvl w:val="0"/>
          <w:numId w:val="1501"/>
        </w:numPr>
        <w:pStyle w:val="Compact"/>
      </w:pPr>
      <w:r>
        <w:t xml:space="preserve">Identificar los requisitos de conformidad, registro, declaración, marcado, vigilancia, incidente o notificación cuando proceda.</w:t>
      </w:r>
    </w:p>
    <w:p>
      <w:pPr>
        <w:numPr>
          <w:ilvl w:val="0"/>
          <w:numId w:val="1501"/>
        </w:numPr>
        <w:pStyle w:val="Compact"/>
      </w:pPr>
      <w:r>
        <w:t xml:space="preserve">Identificar las autoridades competentes y las vías de respuesta.</w:t>
      </w:r>
    </w:p>
    <w:p>
      <w:pPr>
        <w:numPr>
          <w:ilvl w:val="0"/>
          <w:numId w:val="1501"/>
        </w:numPr>
        <w:pStyle w:val="Compact"/>
      </w:pPr>
      <w:r>
        <w:t xml:space="preserve">Imponer restricciones, condiciones o decisiones de parar el uso cuando sea necesario.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Situación</w:t>
            </w:r>
          </w:p>
        </w:tc>
        <w:tc>
          <w:tcPr/>
          <w:p>
            <w:pPr>
              <w:pStyle w:val="Compact"/>
              <w:jc w:val="left"/>
            </w:pPr>
            <w:r>
              <w:t xml:space="preserve">Pruebas</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437"/>
    <w:bookmarkStart w:id="1438" w:name="detonadores-de-la-revisión"/>
    <w:p>
      <w:pPr>
        <w:pStyle w:val="Heading2"/>
      </w:pPr>
      <w:r>
        <w:rPr>
          <w:rStyle w:val="SectionNumber"/>
        </w:rPr>
        <w:t xml:space="preserve">2.35</w:t>
      </w:r>
      <w:r>
        <w:tab/>
      </w:r>
      <w:r>
        <w:t xml:space="preserve">12. Detonadores de la revisión</w:t>
      </w:r>
    </w:p>
    <w:p>
      <w:pPr>
        <w:pStyle w:val="FirstParagraph"/>
      </w:pPr>
      <w:r>
        <w:t xml:space="preserve">Reevaluar después de los cambios en:</w:t>
      </w:r>
    </w:p>
    <w:p>
      <w:pPr>
        <w:numPr>
          <w:ilvl w:val="0"/>
          <w:numId w:val="1502"/>
        </w:numPr>
        <w:pStyle w:val="Compact"/>
      </w:pPr>
      <w:r>
        <w:t xml:space="preserve">entidad jurídica, establecimiento, distribuidor, importador o representante;</w:t>
      </w:r>
    </w:p>
    <w:p>
      <w:pPr>
        <w:numPr>
          <w:ilvl w:val="0"/>
          <w:numId w:val="1502"/>
        </w:numPr>
        <w:pStyle w:val="Compact"/>
      </w:pPr>
      <w:r>
        <w:t xml:space="preserve">jurisdicción, colocación en el mercado, despliegue o uso de la producción;</w:t>
      </w:r>
    </w:p>
    <w:p>
      <w:pPr>
        <w:numPr>
          <w:ilvl w:val="0"/>
          <w:numId w:val="1502"/>
        </w:numPr>
        <w:pStyle w:val="Compact"/>
      </w:pPr>
      <w:r>
        <w:t xml:space="preserve">la marca, la colocación de su propio nombre, el acuerdo contractual o la integración de productos;</w:t>
      </w:r>
    </w:p>
    <w:p>
      <w:pPr>
        <w:numPr>
          <w:ilvl w:val="0"/>
          <w:numId w:val="1502"/>
        </w:numPr>
        <w:pStyle w:val="Compact"/>
      </w:pPr>
      <w:r>
        <w:t xml:space="preserve">la finalidad prevista, el uso real, la población afectada o el contexto de decisión;</w:t>
      </w:r>
    </w:p>
    <w:p>
      <w:pPr>
        <w:numPr>
          <w:ilvl w:val="0"/>
          <w:numId w:val="1502"/>
        </w:numPr>
        <w:pStyle w:val="Compact"/>
      </w:pPr>
      <w:r>
        <w:t xml:space="preserve">modelo, versión, datos, rapidez, herramienta, agente, interfaz, capacidad o autonomía;</w:t>
      </w:r>
    </w:p>
    <w:p>
      <w:pPr>
        <w:numPr>
          <w:ilvl w:val="0"/>
          <w:numId w:val="1502"/>
        </w:numPr>
        <w:pStyle w:val="Compact"/>
      </w:pPr>
      <w:r>
        <w:t xml:space="preserve">proveedor, proveedor, licencia, subprocesador o estado de código abierto;</w:t>
      </w:r>
    </w:p>
    <w:p>
      <w:pPr>
        <w:numPr>
          <w:ilvl w:val="0"/>
          <w:numId w:val="1502"/>
        </w:numPr>
        <w:pStyle w:val="Compact"/>
      </w:pPr>
      <w:r>
        <w:t xml:space="preserve">texto jurídico, acto de ejecución, decisión de la autoridad, norma, código u orientación;</w:t>
      </w:r>
    </w:p>
    <w:p>
      <w:pPr>
        <w:numPr>
          <w:ilvl w:val="0"/>
          <w:numId w:val="1502"/>
        </w:numPr>
        <w:pStyle w:val="Compact"/>
      </w:pPr>
      <w:r>
        <w:t xml:space="preserve">incidentes, quejas, cuestiones de ejecución o constataciones de auditoría material.</w:t>
      </w:r>
    </w:p>
    <w:bookmarkEnd w:id="1438"/>
    <w:bookmarkStart w:id="1439" w:name="X5704230dca9a2bc77427844aba5df6cd0934c25"/>
    <w:p>
      <w:pPr>
        <w:pStyle w:val="Heading2"/>
      </w:pPr>
      <w:r>
        <w:rPr>
          <w:rStyle w:val="SectionNumber"/>
        </w:rPr>
        <w:t xml:space="preserve">2.36</w:t>
      </w:r>
      <w:r>
        <w:tab/>
      </w:r>
      <w:r>
        <w:t xml:space="preserve">Ejemplo de servicios de viajes de GlobalWay</w:t>
      </w:r>
    </w:p>
    <w:p>
      <w:pPr>
        <w:pStyle w:val="FirstParagraph"/>
      </w:pPr>
      <w:r>
        <w:t xml:space="preserve">GlobalWay evalúa un sistema de asignación de empleados en los Estados Unidos utilizado por las oficinas de la UE. Aunque el desarrollo y el alojamiento se producen fuera de la Unión, el despliegue se establece en la Unión y los trabajadores en la Unión se ven afectados. GlobalWay identifica el posible tratamiento del empleo, el despliegue y las posibles cuestiones del papel del proveedor derivadas de la personalización, el GDPR y las superposiciones de la legislación laboral, y las fechas de aplicación escalonadas del despliegue.</w:t>
      </w:r>
    </w:p>
    <w:bookmarkEnd w:id="1439"/>
    <w:bookmarkStart w:id="1440" w:name="homologación"/>
    <w:p>
      <w:pPr>
        <w:pStyle w:val="Heading2"/>
      </w:pPr>
      <w:r>
        <w:rPr>
          <w:rStyle w:val="SectionNumber"/>
        </w:rPr>
        <w:t xml:space="preserve">2.37</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Asuntos jurídicos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técnico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Privacidad/Seguridad/HR/Producto,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Condiciones o supuestos:</w:t>
      </w:r>
      <w:r>
        <w:rPr>
          <w:bCs/>
          <w:b/>
        </w:rPr>
        <w:t xml:space="preserve"> </w:t>
      </w:r>
      <w:r>
        <w:t xml:space="preserve"> </w:t>
      </w:r>
      <w:r>
        <w:t xml:space="preserve">Referencias de pruebas:</w:t>
      </w:r>
      <w:r>
        <w:rPr>
          <w:bCs/>
          <w:b/>
        </w:rPr>
        <w:t xml:space="preserve"> </w:t>
      </w:r>
      <w:r>
        <w:t xml:space="preserve"> </w:t>
      </w:r>
      <w:r>
        <w:t xml:space="preserve">Cuestiones jurídicas abiertas</w:t>
      </w:r>
      <w:r>
        <w:rPr>
          <w:bCs/>
          <w:b/>
        </w:rPr>
        <w:t xml:space="preserve"> </w:t>
      </w:r>
      <w:r>
        <w:t xml:space="preserve">Próxima fecha o fecha de la revisión:</w:t>
      </w:r>
      <w:r>
        <w:rPr>
          <w:bCs/>
          <w:b/>
        </w:rPr>
        <w:t xml:space="preserve"> </w:t>
      </w:r>
      <w:r>
        <w:t xml:space="preserve"> </w:t>
      </w:r>
      <w:r>
        <w:t xml:space="preserve">Versión de evaluación:**</w:t>
      </w:r>
    </w:p>
    <w:bookmarkEnd w:id="1440"/>
    <w:bookmarkStart w:id="1441" w:name="referencias-jurídicas-primarias-109"/>
    <w:p>
      <w:pPr>
        <w:pStyle w:val="Heading2"/>
      </w:pPr>
      <w:r>
        <w:rPr>
          <w:rStyle w:val="SectionNumber"/>
        </w:rPr>
        <w:t xml:space="preserve">2.38</w:t>
      </w:r>
      <w:r>
        <w:tab/>
      </w:r>
      <w:r>
        <w:t xml:space="preserve">Referencias jurídicas primarias</w:t>
      </w:r>
    </w:p>
    <w:p>
      <w:pPr>
        <w:numPr>
          <w:ilvl w:val="0"/>
          <w:numId w:val="1503"/>
        </w:numPr>
        <w:pStyle w:val="Compact"/>
      </w:pPr>
      <w:r>
        <w:t xml:space="preserve">Reglamento (UE) 2024/1689, modificado: artículos 2 a 4, artículo 5, artículo 6, definiciones y obligaciones de los agentes, GPAI, transparencia, conformidad, registro, seguimiento, incidentes y disposiciones de ejecución, junto con los anexos aplicables.</w:t>
      </w:r>
    </w:p>
    <w:p>
      <w:pPr>
        <w:numPr>
          <w:ilvl w:val="0"/>
          <w:numId w:val="1503"/>
        </w:numPr>
        <w:pStyle w:val="Compact"/>
      </w:pPr>
      <w:r>
        <w:t xml:space="preserve">Reglamento (UE) 2026/1744, en su caso.</w:t>
      </w:r>
    </w:p>
    <w:p>
      <w:pPr>
        <w:numPr>
          <w:ilvl w:val="0"/>
          <w:numId w:val="1503"/>
        </w:numPr>
        <w:pStyle w:val="Compact"/>
      </w:pPr>
      <w:r>
        <w:t xml:space="preserve">Reglamento (UE) 2016/679 y legislación nacional aplicable, empleo, igualdad, accesibilidad, protección de los consumidores, ciberseguridad, seguridad de los productos, propiedad intelectual y sectorial.</w:t>
      </w:r>
    </w:p>
    <w:p>
      <w:pPr>
        <w:numPr>
          <w:ilvl w:val="0"/>
          <w:numId w:val="1503"/>
        </w:numPr>
        <w:pStyle w:val="Compact"/>
      </w:pPr>
      <w:r>
        <w:t xml:space="preserve">El texto consolidado actual de EUR-Lex y otras fuentes jurídicas oficiales controlan los resúmenes antiguos o las interpretaciones internas.</w:t>
      </w:r>
    </w:p>
    <w:bookmarkEnd w:id="1441"/>
    <w:bookmarkStart w:id="1442" w:name="Xce230d2ebce2f3c8031a755f3600a84b3d0c847"/>
    <w:p>
      <w:pPr>
        <w:pStyle w:val="Heading2"/>
      </w:pPr>
      <w:r>
        <w:rPr>
          <w:rStyle w:val="SectionNumber"/>
        </w:rPr>
        <w:t xml:space="preserve">2.39</w:t>
      </w:r>
      <w:r>
        <w:tab/>
      </w:r>
      <w:r>
        <w:t xml:space="preserve">Apéndice D — Lista de comprobación de prácticas prohibidas</w:t>
      </w:r>
    </w:p>
    <w:p>
      <w:pPr>
        <w:pStyle w:val="BlockText"/>
      </w:pPr>
      <w:r>
        <w:rPr>
          <w:bCs/>
          <w:b/>
        </w:rPr>
        <w:t xml:space="preserve">Situación jurídica:</w:t>
      </w:r>
      <w:r>
        <w:t xml:space="preserve"> </w:t>
      </w:r>
      <w:r>
        <w:t xml:space="preserve">Maestro inglés corregido. Utilice el texto consolidado actual del artículo 5, Reglamento (UE) 2026/1744 cuando proceda, y cualquier ley nacional aplicable. Cada</w:t>
      </w:r>
      <w:r>
        <w:t xml:space="preserve"> </w:t>
      </w:r>
      <w:r>
        <w:rPr>
          <w:bCs/>
          <w:b/>
        </w:rPr>
        <w:t xml:space="preserve">Sí</w:t>
      </w:r>
      <w:r>
        <w:t xml:space="preserve"> </w:t>
      </w:r>
      <w:r>
        <w:t xml:space="preserve">o</w:t>
      </w:r>
      <w:r>
        <w:t xml:space="preserve"> </w:t>
      </w:r>
      <w:r>
        <w:rPr>
          <w:bCs/>
          <w:b/>
        </w:rPr>
        <w:t xml:space="preserve">Incierto</w:t>
      </w:r>
      <w:r>
        <w:t xml:space="preserve"> </w:t>
      </w:r>
      <w:r>
        <w:t xml:space="preserve">respuesta requiere revisión legal calificada. Esta lista de verificación es una ayuda operativa, no un sustituto del reglamento, texto consolidado oficial, interpretación de la autoridad, legislación nacional o asesoramiento jurídico.</w:t>
      </w:r>
    </w:p>
    <w:bookmarkEnd w:id="1442"/>
    <w:bookmarkStart w:id="1443" w:name="finalidad-20"/>
    <w:p>
      <w:pPr>
        <w:pStyle w:val="Heading2"/>
      </w:pPr>
      <w:r>
        <w:rPr>
          <w:rStyle w:val="SectionNumber"/>
        </w:rPr>
        <w:t xml:space="preserve">2.40</w:t>
      </w:r>
      <w:r>
        <w:tab/>
      </w:r>
      <w:r>
        <w:t xml:space="preserve">Finalidad</w:t>
      </w:r>
    </w:p>
    <w:p>
      <w:pPr>
        <w:pStyle w:val="FirstParagraph"/>
      </w:pPr>
      <w:r>
        <w:t xml:space="preserve">Utilice esta lista de verificación antes de la aprobación, adquisición, desarrollo, pilotaje, despliegue, modificación de materiales, repurposición o expansión geográfica para identificar las prácticas de IA que pueden estar prohibidas.</w:t>
      </w:r>
    </w:p>
    <w:p>
      <w:pPr>
        <w:pStyle w:val="BodyText"/>
      </w:pPr>
      <w:r>
        <w:t xml:space="preserve">No clasifique un uso únicamente a partir de una etiqueta tecnológica, descripción del proveedor o declaración de política. Pruebe todos los elementos legales pertinentes, datos de despliegue, excepción, salvaguardia, población afectada y ruta razonablemente previsible para eludirlo.</w:t>
      </w:r>
    </w:p>
    <w:bookmarkEnd w:id="1443"/>
    <w:bookmarkStart w:id="1444" w:name="información-de-evaluación"/>
    <w:p>
      <w:pPr>
        <w:pStyle w:val="Heading2"/>
      </w:pPr>
      <w:r>
        <w:rPr>
          <w:rStyle w:val="SectionNumber"/>
        </w:rPr>
        <w:t xml:space="preserve">2.41</w:t>
      </w:r>
      <w:r>
        <w:tab/>
      </w:r>
      <w:r>
        <w:t xml:space="preserve">Información de evaluación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Sistema o caso de uso</w:t>
            </w:r>
          </w:p>
        </w:tc>
        <w:tc>
          <w:tcPr/>
          <w:p>
            <w:pPr>
              <w:pStyle w:val="Compact"/>
              <w:jc w:val="left"/>
            </w:pPr>
            <w:r>
              <w:t xml:space="preserve">- No, no.</w:t>
            </w:r>
          </w:p>
        </w:tc>
      </w:tr>
      <w:tr>
        <w:tc>
          <w:tcPr/>
          <w:p>
            <w:pPr>
              <w:pStyle w:val="Compact"/>
              <w:jc w:val="left"/>
            </w:pPr>
            <w:r>
              <w:t xml:space="preserve">ID de inventario</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r>
      <w:tr>
        <w:tc>
          <w:tcPr/>
          <w:p>
            <w:pPr>
              <w:pStyle w:val="Compact"/>
              <w:jc w:val="left"/>
            </w:pPr>
            <w:r>
              <w:t xml:space="preserve">Propietario técnico</w:t>
            </w:r>
          </w:p>
        </w:tc>
        <w:tc>
          <w:tcPr/>
          <w:p>
            <w:pPr>
              <w:pStyle w:val="Compact"/>
              <w:jc w:val="left"/>
            </w:pPr>
            <w:r>
              <w:t xml:space="preserve">- No, no.</w:t>
            </w:r>
          </w:p>
        </w:tc>
      </w:tr>
      <w:tr>
        <w:tc>
          <w:tcPr/>
          <w:p>
            <w:pPr>
              <w:pStyle w:val="Compact"/>
              <w:jc w:val="left"/>
            </w:pPr>
            <w:r>
              <w:t xml:space="preserve">Proveedor/vendor</w:t>
            </w:r>
          </w:p>
        </w:tc>
        <w:tc>
          <w:tcPr/>
          <w:p>
            <w:pPr>
              <w:pStyle w:val="Compact"/>
              <w:jc w:val="left"/>
            </w:pPr>
            <w:r>
              <w:t xml:space="preserve">- No, no.</w:t>
            </w:r>
          </w:p>
        </w:tc>
      </w:tr>
      <w:tr>
        <w:tc>
          <w:tcPr/>
          <w:p>
            <w:pPr>
              <w:pStyle w:val="Compact"/>
              <w:jc w:val="left"/>
            </w:pPr>
            <w:r>
              <w:t xml:space="preserve">Función o funciones de actor</w:t>
            </w:r>
          </w:p>
        </w:tc>
        <w:tc>
          <w:tcPr/>
          <w:p>
            <w:pPr>
              <w:pStyle w:val="Compact"/>
              <w:jc w:val="left"/>
            </w:pPr>
            <w:r>
              <w:t xml:space="preserve">- No, no.</w:t>
            </w:r>
          </w:p>
        </w:tc>
      </w:tr>
      <w:tr>
        <w:tc>
          <w:tcPr/>
          <w:p>
            <w:pPr>
              <w:pStyle w:val="Compact"/>
              <w:jc w:val="left"/>
            </w:pPr>
            <w:r>
              <w:t xml:space="preserve">Entidades jurídicas</w:t>
            </w:r>
          </w:p>
        </w:tc>
        <w:tc>
          <w:tcPr/>
          <w:p>
            <w:pPr>
              <w:pStyle w:val="Compact"/>
              <w:jc w:val="left"/>
            </w:pPr>
            <w:r>
              <w:t xml:space="preserve">- No, no.</w:t>
            </w:r>
          </w:p>
        </w:tc>
      </w:tr>
      <w:tr>
        <w:tc>
          <w:tcPr/>
          <w:p>
            <w:pPr>
              <w:pStyle w:val="Compact"/>
              <w:jc w:val="left"/>
            </w:pPr>
            <w:r>
              <w:t xml:space="preserve">Competencias</w:t>
            </w:r>
          </w:p>
        </w:tc>
        <w:tc>
          <w:tcPr/>
          <w:p>
            <w:pPr>
              <w:pStyle w:val="Compact"/>
              <w:jc w:val="left"/>
            </w:pPr>
            <w:r>
              <w:t xml:space="preserve">- No, no.</w:t>
            </w:r>
          </w:p>
        </w:tc>
      </w:tr>
      <w:tr>
        <w:tc>
          <w:tcPr/>
          <w:p>
            <w:pPr>
              <w:pStyle w:val="Compact"/>
              <w:jc w:val="left"/>
            </w:pPr>
            <w:r>
              <w:t xml:space="preserve">Finalidad prevista</w:t>
            </w:r>
          </w:p>
        </w:tc>
        <w:tc>
          <w:tcPr/>
          <w:p>
            <w:pPr>
              <w:pStyle w:val="Compact"/>
              <w:jc w:val="left"/>
            </w:pPr>
            <w:r>
              <w:t xml:space="preserve">- No, no.</w:t>
            </w:r>
          </w:p>
        </w:tc>
      </w:tr>
      <w:tr>
        <w:tc>
          <w:tcPr/>
          <w:p>
            <w:pPr>
              <w:pStyle w:val="Compact"/>
              <w:jc w:val="left"/>
            </w:pPr>
            <w:r>
              <w:t xml:space="preserve">Uso real y razonablemente previsible</w:t>
            </w:r>
          </w:p>
        </w:tc>
        <w:tc>
          <w:tcPr/>
          <w:p>
            <w:pPr>
              <w:pStyle w:val="Compact"/>
              <w:jc w:val="left"/>
            </w:pPr>
            <w:r>
              <w:t xml:space="preserve">- No, no.</w:t>
            </w:r>
          </w:p>
        </w:tc>
      </w:tr>
      <w:tr>
        <w:tc>
          <w:tcPr/>
          <w:p>
            <w:pPr>
              <w:pStyle w:val="Compact"/>
              <w:jc w:val="left"/>
            </w:pPr>
            <w:r>
              <w:t xml:space="preserve">Personas afectadas y grupos vulnerables</w:t>
            </w:r>
          </w:p>
        </w:tc>
        <w:tc>
          <w:tcPr/>
          <w:p>
            <w:pPr>
              <w:pStyle w:val="Compact"/>
              <w:jc w:val="left"/>
            </w:pPr>
            <w:r>
              <w:t xml:space="preserve">- No, no.</w:t>
            </w:r>
          </w:p>
        </w:tc>
      </w:tr>
      <w:tr>
        <w:tc>
          <w:tcPr/>
          <w:p>
            <w:pPr>
              <w:pStyle w:val="Compact"/>
              <w:jc w:val="left"/>
            </w:pPr>
            <w:r>
              <w:t xml:space="preserve">Versión, configuración, avisos, herramientas e integraciones</w:t>
            </w:r>
          </w:p>
        </w:tc>
        <w:tc>
          <w:tcPr/>
          <w:p>
            <w:pPr>
              <w:pStyle w:val="Compact"/>
              <w:jc w:val="left"/>
            </w:pPr>
            <w:r>
              <w:t xml:space="preserve">- No, no.</w:t>
            </w:r>
          </w:p>
        </w:tc>
      </w:tr>
      <w:tr>
        <w:tc>
          <w:tcPr/>
          <w:p>
            <w:pPr>
              <w:pStyle w:val="Compact"/>
              <w:jc w:val="left"/>
            </w:pPr>
            <w:r>
              <w:t xml:space="preserve">Contexto de despliegue</w:t>
            </w:r>
          </w:p>
        </w:tc>
        <w:tc>
          <w:tcPr/>
          <w:p>
            <w:pPr>
              <w:pStyle w:val="Compact"/>
              <w:jc w:val="left"/>
            </w:pPr>
            <w:r>
              <w:t xml:space="preserve">- No, no.</w:t>
            </w:r>
          </w:p>
        </w:tc>
      </w:tr>
      <w:tr>
        <w:tc>
          <w:tcPr/>
          <w:p>
            <w:pPr>
              <w:pStyle w:val="Compact"/>
              <w:jc w:val="left"/>
            </w:pPr>
            <w:r>
              <w:t xml:space="preserve">Fuente legal oficial actual y fecha de aplicación</w:t>
            </w:r>
          </w:p>
        </w:tc>
        <w:tc>
          <w:tcPr/>
          <w:p>
            <w:pPr>
              <w:pStyle w:val="Compact"/>
              <w:jc w:val="left"/>
            </w:pPr>
            <w:r>
              <w:t xml:space="preserve">- No, no.</w:t>
            </w:r>
          </w:p>
        </w:tc>
      </w:tr>
      <w:tr>
        <w:tc>
          <w:tcPr/>
          <w:p>
            <w:pPr>
              <w:pStyle w:val="Compact"/>
              <w:jc w:val="left"/>
            </w:pPr>
            <w:r>
              <w:t xml:space="preserve">Asessor y fecha</w:t>
            </w:r>
          </w:p>
        </w:tc>
        <w:tc>
          <w:tcPr/>
          <w:p>
            <w:pPr>
              <w:pStyle w:val="Compact"/>
              <w:jc w:val="left"/>
            </w:pPr>
            <w:r>
              <w:t xml:space="preserve">- No, no.</w:t>
            </w:r>
          </w:p>
        </w:tc>
      </w:tr>
      <w:tr>
        <w:tc>
          <w:tcPr/>
          <w:p>
            <w:pPr>
              <w:pStyle w:val="Compact"/>
              <w:jc w:val="left"/>
            </w:pPr>
            <w:r>
              <w:t xml:space="preserve">Depósito de pruebas</w:t>
            </w:r>
          </w:p>
        </w:tc>
        <w:tc>
          <w:tcPr/>
          <w:p>
            <w:pPr>
              <w:pStyle w:val="Compact"/>
              <w:jc w:val="left"/>
            </w:pPr>
            <w:r>
              <w:t xml:space="preserve">- No, no.</w:t>
            </w:r>
          </w:p>
        </w:tc>
      </w:tr>
    </w:tbl>
    <w:bookmarkEnd w:id="1444"/>
    <w:bookmarkStart w:id="1445" w:name="instrucciones"/>
    <w:p>
      <w:pPr>
        <w:pStyle w:val="Heading2"/>
      </w:pPr>
      <w:r>
        <w:rPr>
          <w:rStyle w:val="SectionNumber"/>
        </w:rPr>
        <w:t xml:space="preserve">2.42</w:t>
      </w:r>
      <w:r>
        <w:tab/>
      </w:r>
      <w:r>
        <w:t xml:space="preserve">Instrucciones</w:t>
      </w:r>
    </w:p>
    <w:p>
      <w:pPr>
        <w:pStyle w:val="FirstParagraph"/>
      </w:pPr>
      <w:r>
        <w:t xml:space="preserve">Por cada pregunta de detección:</w:t>
      </w:r>
    </w:p>
    <w:p>
      <w:pPr>
        <w:numPr>
          <w:ilvl w:val="0"/>
          <w:numId w:val="1504"/>
        </w:numPr>
        <w:pStyle w:val="Compact"/>
      </w:pPr>
      <w:r>
        <w:t xml:space="preserve">respuesta</w:t>
      </w:r>
      <w:r>
        <w:t xml:space="preserve"> </w:t>
      </w:r>
      <w:r>
        <w:rPr>
          <w:bCs/>
          <w:b/>
        </w:rPr>
        <w:t xml:space="preserve">Sí</w:t>
      </w:r>
      <w:r>
        <w:t xml:space="preserve">,</w:t>
      </w:r>
      <w:r>
        <w:t xml:space="preserve"> </w:t>
      </w:r>
      <w:r>
        <w:rPr>
          <w:bCs/>
          <w:b/>
        </w:rPr>
        <w:t xml:space="preserve">No</w:t>
      </w:r>
      <w:r>
        <w:t xml:space="preserve">, o</w:t>
      </w:r>
      <w:r>
        <w:t xml:space="preserve"> </w:t>
      </w:r>
      <w:r>
        <w:rPr>
          <w:bCs/>
          <w:b/>
        </w:rPr>
        <w:t xml:space="preserve">Incierto</w:t>
      </w:r>
      <w:r>
        <w:t xml:space="preserve">;</w:t>
      </w:r>
    </w:p>
    <w:p>
      <w:pPr>
        <w:numPr>
          <w:ilvl w:val="0"/>
          <w:numId w:val="1504"/>
        </w:numPr>
        <w:pStyle w:val="Compact"/>
      </w:pPr>
      <w:r>
        <w:t xml:space="preserve">identificar el punto exacto del artículo 5 y el elemento jurídico que se esté probando;</w:t>
      </w:r>
    </w:p>
    <w:p>
      <w:pPr>
        <w:numPr>
          <w:ilvl w:val="0"/>
          <w:numId w:val="1504"/>
        </w:numPr>
        <w:pStyle w:val="Compact"/>
      </w:pPr>
      <w:r>
        <w:t xml:space="preserve">citar los hechos y pruebas justificativos;</w:t>
      </w:r>
    </w:p>
    <w:p>
      <w:pPr>
        <w:numPr>
          <w:ilvl w:val="0"/>
          <w:numId w:val="1504"/>
        </w:numPr>
        <w:pStyle w:val="Compact"/>
      </w:pPr>
      <w:r>
        <w:t xml:space="preserve">registrar toda excepción, limitación, autorización y prueba justificativa alegada;</w:t>
      </w:r>
    </w:p>
    <w:p>
      <w:pPr>
        <w:numPr>
          <w:ilvl w:val="0"/>
          <w:numId w:val="1504"/>
        </w:numPr>
        <w:pStyle w:val="Compact"/>
      </w:pPr>
      <w:r>
        <w:t xml:space="preserve">identificar al revisor, la fecha, la decisión, la restricción y las medidas de seguimiento;</w:t>
      </w:r>
    </w:p>
    <w:p>
      <w:pPr>
        <w:numPr>
          <w:ilvl w:val="0"/>
          <w:numId w:val="1504"/>
        </w:numPr>
        <w:pStyle w:val="Compact"/>
      </w:pPr>
      <w:r>
        <w:t xml:space="preserve">evaluar el proxy, el flujo de trabajo, la configuración y las rutas previsibles de repurposición.</w:t>
      </w:r>
    </w:p>
    <w:p>
      <w:pPr>
        <w:pStyle w:val="FirstParagraph"/>
      </w:pPr>
      <w:r>
        <w:t xml:space="preserve">Una</w:t>
      </w:r>
      <w:r>
        <w:t xml:space="preserve"> </w:t>
      </w:r>
      <w:r>
        <w:rPr>
          <w:bCs/>
          <w:b/>
        </w:rPr>
        <w:t xml:space="preserve">No</w:t>
      </w:r>
      <w:r>
        <w:t xml:space="preserve"> </w:t>
      </w:r>
      <w:r>
        <w:t xml:space="preserve">respuesta debe estar respaldada por hechos verificados.</w:t>
      </w:r>
      <w:r>
        <w:t xml:space="preserve"> </w:t>
      </w:r>
      <w:r>
        <w:t xml:space="preserve">“</w:t>
      </w:r>
      <w:r>
        <w:t xml:space="preserve">Vendor dice que cumple</w:t>
      </w:r>
      <w:r>
        <w:t xml:space="preserve">”</w:t>
      </w:r>
      <w:r>
        <w:t xml:space="preserve"> </w:t>
      </w:r>
      <w:r>
        <w:t xml:space="preserve">no es suficiente evidencia.</w:t>
      </w:r>
    </w:p>
    <w:bookmarkEnd w:id="1445"/>
    <w:bookmarkStart w:id="1446" w:name="X6d32a45e38bb106769290dc786723eaf8964dad"/>
    <w:p>
      <w:pPr>
        <w:pStyle w:val="Heading2"/>
      </w:pPr>
      <w:r>
        <w:rPr>
          <w:rStyle w:val="SectionNumber"/>
        </w:rPr>
        <w:t xml:space="preserve">2.43</w:t>
      </w:r>
      <w:r>
        <w:tab/>
      </w:r>
      <w:r>
        <w:t xml:space="preserve">A. Técnicas subliminales, manipulativas a propósito o engañosas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¿Utiliza el sistema técnicas subliminales más allá de la conciencia de una persona, técnicas deliberadamente manipulativas o técnicas engañosas?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¿Tiene la técnica el objetivo o el efecto de distorsionar materialmente el comportamiento?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 Disminuye sensiblemente la capacidad de tomar una decisión informada?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hacer que una persona tomara una decisión que de otro modo no habría tomado?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 uso causa, o es razonablemente probable que cause, daño significativo?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han distinguido fácticamente la persuasión, la recomendación, la personalización, el diseño de interfaces y la manipulación engañosa?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han probado los riesgos de usuario vulnerable, accesibilidad, patrón oscuro y diseño coercitivo?</w:t>
            </w:r>
          </w:p>
        </w:tc>
        <w:tc>
          <w:tcPr/>
          <w:p>
            <w:pPr>
              <w:pStyle w:val="Compact"/>
              <w:jc w:val="left"/>
            </w:pPr>
            <w:r>
              <w:t xml:space="preserve">- No, no.</w:t>
            </w:r>
          </w:p>
        </w:tc>
        <w:tc>
          <w:tcPr/>
          <w:p>
            <w:pPr>
              <w:pStyle w:val="Compact"/>
              <w:jc w:val="left"/>
            </w:pPr>
            <w:r>
              <w:t xml:space="preserve">- No, no.</w:t>
            </w:r>
          </w:p>
        </w:tc>
      </w:tr>
    </w:tbl>
    <w:p>
      <w:pPr>
        <w:pStyle w:val="BodyText"/>
      </w:pPr>
      <w:r>
        <w:t xml:space="preserve">** Ejemplos de evidencia:** registros de diseño, avisos, interfaces, pruebas de comportamiento, análisis de daños, investigación de usuarios, revisión de accesibilidad, análisis legal.</w:t>
      </w:r>
    </w:p>
    <w:bookmarkEnd w:id="1446"/>
    <w:bookmarkStart w:id="1447" w:name="b.-explotación-de-las-vulnerabilidades"/>
    <w:p>
      <w:pPr>
        <w:pStyle w:val="Heading2"/>
      </w:pPr>
      <w:r>
        <w:rPr>
          <w:rStyle w:val="SectionNumber"/>
        </w:rPr>
        <w:t xml:space="preserve">2.44</w:t>
      </w:r>
      <w:r>
        <w:tab/>
      </w:r>
      <w:r>
        <w:t xml:space="preserve">B. Explotación de las vulnerabilidades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¿El sistema aprovecha la vulnerabilidad debido a la edad, la discapacidad o una situación social o económica específica?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¿Qué característica, mensaje, clasificación, cronometraje, segmentación o mecanismo de interacción realiza la explotación?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el uso distorsionar materialmente el comportamiento?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 uso causa, o es razonablemente probable que cause, daño significativo?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ha distinguido de la explotación la accesibilidad, la asistencia, el alojamiento, la protección o el diseño adecuado a la edad?</w:t>
            </w:r>
          </w:p>
        </w:tc>
        <w:tc>
          <w:tcPr/>
          <w:p>
            <w:pPr>
              <w:pStyle w:val="Compact"/>
              <w:jc w:val="left"/>
            </w:pPr>
            <w:r>
              <w:t xml:space="preserve">- No, no.</w:t>
            </w:r>
          </w:p>
        </w:tc>
        <w:tc>
          <w:tcPr/>
          <w:p>
            <w:pPr>
              <w:pStyle w:val="Compact"/>
              <w:jc w:val="left"/>
            </w:pPr>
            <w:r>
              <w:t xml:space="preserve">- No, no.</w:t>
            </w:r>
          </w:p>
        </w:tc>
      </w:tr>
    </w:tbl>
    <w:p>
      <w:pPr>
        <w:pStyle w:val="BodyText"/>
      </w:pPr>
      <w:r>
        <w:t xml:space="preserve">** Ejemplos de evidencia:** análisis de población, lógica de segmentación, reglas de segmentación, revisión de accesibilidad, escenarios de daño, salvaguardias, investigación de usuarios.</w:t>
      </w:r>
    </w:p>
    <w:bookmarkEnd w:id="1447"/>
    <w:bookmarkStart w:id="1448" w:name="c.-puntuación-social"/>
    <w:p>
      <w:pPr>
        <w:pStyle w:val="Heading2"/>
      </w:pPr>
      <w:r>
        <w:rPr>
          <w:rStyle w:val="SectionNumber"/>
        </w:rPr>
        <w:t xml:space="preserve">2.45</w:t>
      </w:r>
      <w:r>
        <w:tab/>
      </w:r>
      <w:r>
        <w:t xml:space="preserve">C. Puntuación social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¿Evalua o clasifica el sistema a las personas naturales o grupos a lo largo del tiempo en función del comportamiento social o de las características conocidas, inferidas o previstas de la persona o la personalidad?</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¿La puntuación lleva a un tratamiento perjudicial o desfavorable?</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 el tratamiento en un contexto no relacionado con el contexto en el que se generaron o recopilaron los datos?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 trato es injustificado o desproporcionado en relación con el comportamiento social o su gravedad?</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reutilizan la lealtad, el fraude, la seguridad, la reputación, la elegibilidad o los puntajes de riesgo en todos los contextos?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¿Pueden las personas afectadas entender, desafiar y corregir la puntuación o los datos subyacentes?</w:t>
            </w:r>
          </w:p>
        </w:tc>
        <w:tc>
          <w:tcPr/>
          <w:p>
            <w:pPr>
              <w:pStyle w:val="Compact"/>
              <w:jc w:val="left"/>
            </w:pPr>
            <w:r>
              <w:t xml:space="preserve">- No, no.</w:t>
            </w:r>
          </w:p>
        </w:tc>
        <w:tc>
          <w:tcPr/>
          <w:p>
            <w:pPr>
              <w:pStyle w:val="Compact"/>
              <w:jc w:val="left"/>
            </w:pPr>
            <w:r>
              <w:t xml:space="preserve">- No, no.</w:t>
            </w:r>
          </w:p>
        </w:tc>
      </w:tr>
    </w:tbl>
    <w:p>
      <w:pPr>
        <w:pStyle w:val="BodyText"/>
      </w:pPr>
      <w:r>
        <w:t xml:space="preserve">** Ejemplos de evidencia:** inventario de características, lógica de puntuación, contexto de datos originales, mapa de uso descendente, análisis de proporcionalidad, pruebas de impacto adverso, registros de apelación.</w:t>
      </w:r>
    </w:p>
    <w:bookmarkEnd w:id="1448"/>
    <w:bookmarkStart w:id="1449" w:name="X6e4dc3a6cf9af3f1a0178af963c03761a0c183a"/>
    <w:p>
      <w:pPr>
        <w:pStyle w:val="Heading2"/>
      </w:pPr>
      <w:r>
        <w:rPr>
          <w:rStyle w:val="SectionNumber"/>
        </w:rPr>
        <w:t xml:space="preserve">2.46</w:t>
      </w:r>
      <w:r>
        <w:tab/>
      </w:r>
      <w:r>
        <w:t xml:space="preserve">D. Previsión del riesgo de delincuencia individual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¿Se utiliza el sistema para evaluar o predecir el riesgo de que una persona física cometa un delito?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¿La predicción se basa únicamente en la elaboración de perfiles o la evaluación de rasgos o características de la personalidad?</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 AI apoya una evaluación humana, ¿ya se basa en hechos objetivos y verificables directamente relacionados con la actividad delictiva?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utiliza el área, el grupo, el evento o el análisis operativo como un proxy para la predicción del riesgo criminal individual?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documenta el papel de la IA y la evaluación humana independiente en los registros de decisiones?</w:t>
            </w:r>
          </w:p>
        </w:tc>
        <w:tc>
          <w:tcPr/>
          <w:p>
            <w:pPr>
              <w:pStyle w:val="Compact"/>
              <w:jc w:val="left"/>
            </w:pPr>
            <w:r>
              <w:t xml:space="preserve">- No, no.</w:t>
            </w:r>
          </w:p>
        </w:tc>
        <w:tc>
          <w:tcPr/>
          <w:p>
            <w:pPr>
              <w:pStyle w:val="Compact"/>
              <w:jc w:val="left"/>
            </w:pPr>
            <w:r>
              <w:t xml:space="preserve">- No, no.</w:t>
            </w:r>
          </w:p>
        </w:tc>
      </w:tr>
    </w:tbl>
    <w:p>
      <w:pPr>
        <w:pStyle w:val="BodyText"/>
      </w:pPr>
      <w:r>
        <w:t xml:space="preserve">** Ejemplos de pruebas:** características de entrada, propósito previsto, registros de hechos objetivos, flujo de trabajo humano, análisis de perfiles, registros de decisiones.</w:t>
      </w:r>
    </w:p>
    <w:bookmarkEnd w:id="1449"/>
    <w:bookmarkStart w:id="1450" w:name="X165c0da8b1271e7510aa6e39cbefce576173bc6"/>
    <w:p>
      <w:pPr>
        <w:pStyle w:val="Heading2"/>
      </w:pPr>
      <w:r>
        <w:rPr>
          <w:rStyle w:val="SectionNumber"/>
        </w:rPr>
        <w:t xml:space="preserve">2.47</w:t>
      </w:r>
      <w:r>
        <w:tab/>
      </w:r>
      <w:r>
        <w:t xml:space="preserve">E. Raspamiento no selectivo de imágenes faciales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¿El sistema crea o expande una base de datos de reconocimiento facial?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¿Las imágenes faciales se obtienen a través de raspaduras no dirigidas de Internet?</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¿Las imágenes faciales se obtienen a través de raspados no apuntados de imágenes de circuito cerrado de televisión?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documentan el método de recolección, los criterios de selección, la escala, la fuente y la función de base de datos?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¿Ha verificado la organización de forma independiente las representaciones de los proveedores sobre las fuentes de formación y de imagen de referencia?</w:t>
            </w:r>
          </w:p>
        </w:tc>
        <w:tc>
          <w:tcPr/>
          <w:p>
            <w:pPr>
              <w:pStyle w:val="Compact"/>
              <w:jc w:val="left"/>
            </w:pPr>
            <w:r>
              <w:t xml:space="preserve">- No, no.</w:t>
            </w:r>
          </w:p>
        </w:tc>
        <w:tc>
          <w:tcPr/>
          <w:p>
            <w:pPr>
              <w:pStyle w:val="Compact"/>
              <w:jc w:val="left"/>
            </w:pPr>
            <w:r>
              <w:t xml:space="preserve">- No, no.</w:t>
            </w:r>
          </w:p>
        </w:tc>
      </w:tr>
    </w:tbl>
    <w:p>
      <w:pPr>
        <w:pStyle w:val="BodyText"/>
      </w:pPr>
      <w:r>
        <w:t xml:space="preserve">** Ejemplos de pruebas:** registro de fuentes, método de adquisición, configuración de orugas, pruebas de proveedores, pruebas técnicas, evaluación de datos biométricos.</w:t>
      </w:r>
    </w:p>
    <w:bookmarkEnd w:id="1450"/>
    <w:bookmarkStart w:id="1451" w:name="X401078b8967e6168e5dab36eb1e9ba55f3a394c"/>
    <w:p>
      <w:pPr>
        <w:pStyle w:val="Heading2"/>
      </w:pPr>
      <w:r>
        <w:rPr>
          <w:rStyle w:val="SectionNumber"/>
        </w:rPr>
        <w:t xml:space="preserve">2.48</w:t>
      </w:r>
      <w:r>
        <w:tab/>
      </w:r>
      <w:r>
        <w:t xml:space="preserve">F. Reconocimiento de la emoción en los lugares de trabajo y las instituciones educativas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¿Infiere el sistema emociones de las personas naturales?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 desplegado en un lugar de trabajo?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 desplegado en una institución educativa?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alega una excepción médica o de seguridad?</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 propósito médico o de seguridad alegado es genuino, necesario, proporcionado, estrecho y documentado?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un sistema etiquetado sentimiento, compromiso, fatiga, atención, estrés o análisis de comportamiento realizar inferencia de emociones en la práctica?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 el uso no está prohibido, ¿se han evaluado las obligaciones de alto riesgo, transparencia, empleo, educación, privacidad, consulta y discriminación?</w:t>
            </w:r>
          </w:p>
        </w:tc>
        <w:tc>
          <w:tcPr/>
          <w:p>
            <w:pPr>
              <w:pStyle w:val="Compact"/>
              <w:jc w:val="left"/>
            </w:pPr>
            <w:r>
              <w:t xml:space="preserve">- No, no.</w:t>
            </w:r>
          </w:p>
        </w:tc>
        <w:tc>
          <w:tcPr/>
          <w:p>
            <w:pPr>
              <w:pStyle w:val="Compact"/>
              <w:jc w:val="left"/>
            </w:pPr>
            <w:r>
              <w:t xml:space="preserve">- No, no.</w:t>
            </w:r>
          </w:p>
        </w:tc>
      </w:tr>
    </w:tbl>
    <w:p>
      <w:pPr>
        <w:pStyle w:val="BodyText"/>
      </w:pPr>
      <w:r>
        <w:t xml:space="preserve">** Ejemplos de evidencia:** descripción de capacidades, contexto de implementación, análisis de excepciones, evaluación de necesidades, consulta de trabajadores/estudiantes, controles de transparencia.</w:t>
      </w:r>
    </w:p>
    <w:bookmarkEnd w:id="1451"/>
    <w:bookmarkStart w:id="1452" w:name="X811b5f9f3ef8efcb5367a3df11160fd4fb14c7e"/>
    <w:p>
      <w:pPr>
        <w:pStyle w:val="Heading2"/>
      </w:pPr>
      <w:r>
        <w:rPr>
          <w:rStyle w:val="SectionNumber"/>
        </w:rPr>
        <w:t xml:space="preserve">2.49</w:t>
      </w:r>
      <w:r>
        <w:tab/>
      </w:r>
      <w:r>
        <w:t xml:space="preserve">G. Clasificación biométrica utilizando características protegidas o sensibles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¿El sistema clasifica individualmente a las personas físicas sobre la base de datos biométricos?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¿Deduce o deduce una característica protegida o sensible enumerada en el texto jurídico actual?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han distinguido la verificación biométrica, la identificación y la categorización?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solicita una excepción para el etiquetado o filtrado de conjuntos de datos biométricos adquiridos legalmente en un contexto de aplicación de la ley aplicable?</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documenta el trato alegado de manera limitada en lugar de tratarse como una exención general?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 no está prohibido, ¿se han evaluado la clasificación de alto riesgo y las restricciones de datos de categorías especiales?</w:t>
            </w:r>
          </w:p>
        </w:tc>
        <w:tc>
          <w:tcPr/>
          <w:p>
            <w:pPr>
              <w:pStyle w:val="Compact"/>
              <w:jc w:val="left"/>
            </w:pPr>
            <w:r>
              <w:t xml:space="preserve">- No, no.</w:t>
            </w:r>
          </w:p>
        </w:tc>
        <w:tc>
          <w:tcPr/>
          <w:p>
            <w:pPr>
              <w:pStyle w:val="Compact"/>
              <w:jc w:val="left"/>
            </w:pPr>
            <w:r>
              <w:t xml:space="preserve">- No, no.</w:t>
            </w:r>
          </w:p>
        </w:tc>
      </w:tr>
    </w:tbl>
    <w:p>
      <w:pPr>
        <w:pStyle w:val="BodyText"/>
      </w:pPr>
      <w:r>
        <w:t xml:space="preserve">** Ejemplos de pruebas:** flujo de datos biométricos, lista de categorías inferidas, resultados, acciones posteriores, análisis de excepciones, evaluación del RGPD, pruebas de equidad.</w:t>
      </w:r>
    </w:p>
    <w:bookmarkEnd w:id="1452"/>
    <w:bookmarkStart w:id="1453" w:name="X173408e3bdec0d5fc94bd3c25fa205737bc2946"/>
    <w:p>
      <w:pPr>
        <w:pStyle w:val="Heading2"/>
      </w:pPr>
      <w:r>
        <w:rPr>
          <w:rStyle w:val="SectionNumber"/>
        </w:rPr>
        <w:t xml:space="preserve">2.50</w:t>
      </w:r>
      <w:r>
        <w:tab/>
      </w:r>
      <w:r>
        <w:t xml:space="preserve">H. Identificación biométrica remota en tiempo real en espacios de acceso público para la aplicación de la ley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¿El sistema realiza una identificación biométrica remota?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¿La operación es en tiempo real en lugar de post-evento?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utiliza en un espacio accesible al público?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utiliza para hacer cumplir la ley?</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pretende uno de los objetivos legales estrictamente permitidos?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 documentada la necesidad estricta?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¿Están documentadas la gravedad, probabilidad y escala del daño?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evalúan los efectos en los derechos y libertades?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¿Están definidos los límites temporales, geográficos y personales?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 documentada la autorización judicial o administrativa independiente previa, sujeta únicamente al estrecho marco de emergencia?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han completado el registro, la evaluación de los derechos fundamentales, las condiciones de la legislación nacional, la explotación forestal y el examen posterior al uso?</w:t>
            </w:r>
          </w:p>
        </w:tc>
        <w:tc>
          <w:tcPr/>
          <w:p>
            <w:pPr>
              <w:pStyle w:val="Compact"/>
              <w:jc w:val="left"/>
            </w:pPr>
            <w:r>
              <w:t xml:space="preserve">- No, no.</w:t>
            </w:r>
          </w:p>
        </w:tc>
        <w:tc>
          <w:tcPr/>
          <w:p>
            <w:pPr>
              <w:pStyle w:val="Compact"/>
              <w:jc w:val="left"/>
            </w:pPr>
            <w:r>
              <w:t xml:space="preserve">- No, no.</w:t>
            </w:r>
          </w:p>
        </w:tc>
      </w:tr>
    </w:tbl>
    <w:p>
      <w:pPr>
        <w:pStyle w:val="BodyText"/>
      </w:pPr>
      <w:r>
        <w:t xml:space="preserve">** Ejemplos de evidencia:** concepto operativo, propósito, autorización, análisis de necesidad y proporcionalidad, gobernanza de la lista de vigilancia, pruebas de precisión, registros completos.</w:t>
      </w:r>
    </w:p>
    <w:bookmarkEnd w:id="1453"/>
    <w:bookmarkStart w:id="1454" w:name="X7567f7353784af43cca811891fc07b14d4ea47d"/>
    <w:p>
      <w:pPr>
        <w:pStyle w:val="Heading2"/>
      </w:pPr>
      <w:r>
        <w:rPr>
          <w:rStyle w:val="SectionNumber"/>
        </w:rPr>
        <w:t xml:space="preserve">2.51</w:t>
      </w:r>
      <w:r>
        <w:tab/>
      </w:r>
      <w:r>
        <w:t xml:space="preserve">I. Prohibiciones adicionales introducidas por el Reglamento (UE) 2026/1744</w:t>
      </w:r>
    </w:p>
    <w:p>
      <w:pPr>
        <w:pStyle w:val="FirstParagraph"/>
      </w:pPr>
      <w:r>
        <w:t xml:space="preserve">** Control de la fecha de aplicación:** Evalúe la adopción y la aplicación por separado. Use el texto oficial enmendado y verifique la fecha aplicable</w:t>
      </w:r>
      <w:r>
        <w:t xml:space="preserve"> </w:t>
      </w:r>
      <w:r>
        <w:rPr>
          <w:bCs/>
          <w:b/>
        </w:rPr>
        <w:t xml:space="preserve">2 de diciembre de 2026</w:t>
      </w:r>
      <w:r>
        <w:t xml:space="preserve"> </w:t>
      </w:r>
      <w:r>
        <w:t xml:space="preserve">antes de confiar en esta lista de verificación.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¿El sistema genera contenido sexual explícito o íntimo no consensuado que involucre a una persona identificable?</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 sistema genera material sobre el abuso sexual de los niños en el marco de la redacción modificada de la ley?</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analizan por separado las dos categorías prohibidas?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documenta el consentimiento, la identidad, la edad, el material de origen, el propósito de la producción y el uso indebido previsible cuando procede?</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¿Incluye el producto controles técnicos, contractuales, de notificación y de ejecución que impidan la generación prohibida?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 bloqueado el uso en lugar de limitarse a advertir cuando se cumple la prohibición legal?</w:t>
            </w:r>
          </w:p>
        </w:tc>
        <w:tc>
          <w:tcPr/>
          <w:p>
            <w:pPr>
              <w:pStyle w:val="Compact"/>
              <w:jc w:val="left"/>
            </w:pPr>
            <w:r>
              <w:t xml:space="preserve">- No, no.</w:t>
            </w:r>
          </w:p>
        </w:tc>
        <w:tc>
          <w:tcPr/>
          <w:p>
            <w:pPr>
              <w:pStyle w:val="Compact"/>
              <w:jc w:val="left"/>
            </w:pPr>
            <w:r>
              <w:t xml:space="preserve">- No, no.</w:t>
            </w:r>
          </w:p>
        </w:tc>
      </w:tr>
    </w:tbl>
    <w:p>
      <w:pPr>
        <w:pStyle w:val="BodyText"/>
      </w:pPr>
      <w:r>
        <w:t xml:space="preserve">** Ejemplos de pruebas:** controles de políticas de uso, pruebas de modelos y filtros, registros de consentimiento cuando proceda, controles de edad e identidad, registros de salida bloqueada, respuesta a incidentes.</w:t>
      </w:r>
    </w:p>
    <w:bookmarkEnd w:id="1454"/>
    <w:bookmarkStart w:id="1455" w:name="X82cd42f1b758be9bbfb9e6737a5f53b0d58e488"/>
    <w:p>
      <w:pPr>
        <w:pStyle w:val="Heading2"/>
      </w:pPr>
      <w:r>
        <w:rPr>
          <w:rStyle w:val="SectionNumber"/>
        </w:rPr>
        <w:t xml:space="preserve">2.52</w:t>
      </w:r>
      <w:r>
        <w:tab/>
      </w:r>
      <w:r>
        <w:t xml:space="preserve">J. Examen de la proxy, la repurposición y la elusión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¿El diseño logra indirectamente un resultado prohibido a través de proxies, funciones combinadas, integración de flujo de trabajo o uso descendente?</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¿La configuración, el ajuste, las plantillas, los complementos, los agentes o las instrucciones del usuario podrían permitir una práctica prohibida?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¿Podría un piloto legal ser reutilizado en un contexto de despliegue prohibido?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¿Ha restringido contractualmente el proveedor los usos prohibidos y ha proporcionado controles técnicos aplicables?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detectan, registran, investigan y bloquean los intentos de solución?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pueden aplicar técnicamente restricciones geográficas, de usuario, de datos o de características?</w:t>
            </w:r>
          </w:p>
        </w:tc>
        <w:tc>
          <w:tcPr/>
          <w:p>
            <w:pPr>
              <w:pStyle w:val="Compact"/>
              <w:jc w:val="left"/>
            </w:pPr>
            <w:r>
              <w:t xml:space="preserve">- No, no.</w:t>
            </w:r>
          </w:p>
        </w:tc>
        <w:tc>
          <w:tcPr/>
          <w:p>
            <w:pPr>
              <w:pStyle w:val="Compact"/>
              <w:jc w:val="left"/>
            </w:pPr>
            <w:r>
              <w:t xml:space="preserve">- No, no.</w:t>
            </w:r>
          </w:p>
        </w:tc>
      </w:tr>
    </w:tbl>
    <w:bookmarkEnd w:id="1455"/>
    <w:bookmarkStart w:id="1456" w:name="pruebas-examinadas"/>
    <w:p>
      <w:pPr>
        <w:pStyle w:val="Heading2"/>
      </w:pPr>
      <w:r>
        <w:rPr>
          <w:rStyle w:val="SectionNumber"/>
        </w:rPr>
        <w:t xml:space="preserve">2.53</w:t>
      </w:r>
      <w:r>
        <w:tab/>
      </w:r>
      <w:r>
        <w:t xml:space="preserve">Pruebas examinadas</w:t>
      </w:r>
    </w:p>
    <w:p>
      <w:pPr>
        <w:numPr>
          <w:ilvl w:val="0"/>
          <w:numId w:val="1505"/>
        </w:numPr>
        <w:pStyle w:val="Compact"/>
      </w:pPr>
      <w:r>
        <w:t xml:space="preserve">declaración de finalidad prevista;</w:t>
      </w:r>
    </w:p>
    <w:p>
      <w:pPr>
        <w:numPr>
          <w:ilvl w:val="0"/>
          <w:numId w:val="1505"/>
        </w:numPr>
        <w:pStyle w:val="Compact"/>
      </w:pPr>
      <w:r>
        <w:t xml:space="preserve">evaluación del uso real y razonablemente previsible;</w:t>
      </w:r>
    </w:p>
    <w:p>
      <w:pPr>
        <w:numPr>
          <w:ilvl w:val="0"/>
          <w:numId w:val="1505"/>
        </w:numPr>
        <w:pStyle w:val="Compact"/>
      </w:pPr>
      <w:r>
        <w:t xml:space="preserve">documentación de sistema, modelo, rapidez, herramienta y agente;</w:t>
      </w:r>
    </w:p>
    <w:p>
      <w:pPr>
        <w:numPr>
          <w:ilvl w:val="0"/>
          <w:numId w:val="1505"/>
        </w:numPr>
        <w:pStyle w:val="Compact"/>
      </w:pPr>
      <w:r>
        <w:t xml:space="preserve">fuentes de datos, linaje y lista de características;</w:t>
      </w:r>
    </w:p>
    <w:p>
      <w:pPr>
        <w:numPr>
          <w:ilvl w:val="0"/>
          <w:numId w:val="1505"/>
        </w:numPr>
        <w:pStyle w:val="Compact"/>
      </w:pPr>
      <w:r>
        <w:t xml:space="preserve">interfaces de usuario, instrucciones, flujos de trabajo y demostraciones;</w:t>
      </w:r>
    </w:p>
    <w:p>
      <w:pPr>
        <w:numPr>
          <w:ilvl w:val="0"/>
          <w:numId w:val="1505"/>
        </w:numPr>
        <w:pStyle w:val="Compact"/>
      </w:pPr>
      <w:r>
        <w:t xml:space="preserve">la documentación del proveedor, los derechos de prueba, los contratos y los avisos de cambio;</w:t>
      </w:r>
    </w:p>
    <w:p>
      <w:pPr>
        <w:numPr>
          <w:ilvl w:val="0"/>
          <w:numId w:val="1505"/>
        </w:numPr>
        <w:pStyle w:val="Compact"/>
      </w:pPr>
      <w:r>
        <w:t xml:space="preserve">ensayos independientes y comportamiento observado;</w:t>
      </w:r>
    </w:p>
    <w:p>
      <w:pPr>
        <w:numPr>
          <w:ilvl w:val="0"/>
          <w:numId w:val="1505"/>
        </w:numPr>
        <w:pStyle w:val="Compact"/>
      </w:pPr>
      <w:r>
        <w:t xml:space="preserve">contexto de despliegue y análisis de la población afectada;</w:t>
      </w:r>
    </w:p>
    <w:p>
      <w:pPr>
        <w:numPr>
          <w:ilvl w:val="0"/>
          <w:numId w:val="1505"/>
        </w:numPr>
        <w:pStyle w:val="Compact"/>
      </w:pPr>
      <w:r>
        <w:t xml:space="preserve">análisis jurídico y de los derechos fundamentales;</w:t>
      </w:r>
    </w:p>
    <w:p>
      <w:pPr>
        <w:numPr>
          <w:ilvl w:val="0"/>
          <w:numId w:val="1505"/>
        </w:numPr>
        <w:pStyle w:val="Compact"/>
      </w:pPr>
      <w:r>
        <w:t xml:space="preserve">excepciones, autorizaciones, necesidad y registros de proporcionalidad;</w:t>
      </w:r>
    </w:p>
    <w:p>
      <w:pPr>
        <w:numPr>
          <w:ilvl w:val="0"/>
          <w:numId w:val="1505"/>
        </w:numPr>
        <w:pStyle w:val="Compact"/>
      </w:pPr>
      <w:r>
        <w:t xml:space="preserve">seguimiento, mal uso, proxy, repurposing, y controles de elusión.</w:t>
      </w:r>
    </w:p>
    <w:bookmarkEnd w:id="1456"/>
    <w:bookmarkStart w:id="1457" w:name="decisión-1"/>
    <w:p>
      <w:pPr>
        <w:pStyle w:val="Heading2"/>
      </w:pPr>
      <w:r>
        <w:rPr>
          <w:rStyle w:val="SectionNumber"/>
        </w:rPr>
        <w:t xml:space="preserve">2.54</w:t>
      </w:r>
      <w:r>
        <w:tab/>
      </w:r>
      <w:r>
        <w:t xml:space="preserve">Decisión</w:t>
      </w:r>
    </w:p>
    <w:p>
      <w:pPr>
        <w:numPr>
          <w:ilvl w:val="0"/>
          <w:numId w:val="1506"/>
        </w:numPr>
        <w:pStyle w:val="Compact"/>
      </w:pPr>
      <w:r>
        <w:t xml:space="preserve">☐ Ninguna práctica prohibida identificada sobre hechos verificados</w:t>
      </w:r>
    </w:p>
    <w:p>
      <w:pPr>
        <w:numPr>
          <w:ilvl w:val="0"/>
          <w:numId w:val="1506"/>
        </w:numPr>
        <w:pStyle w:val="Compact"/>
      </w:pPr>
      <w:r>
        <w:t xml:space="preserve">☐ Se requieren pruebas adicionales</w:t>
      </w:r>
    </w:p>
    <w:p>
      <w:pPr>
        <w:numPr>
          <w:ilvl w:val="0"/>
          <w:numId w:val="1506"/>
        </w:numPr>
        <w:pStyle w:val="Compact"/>
      </w:pPr>
      <w:r>
        <w:t xml:space="preserve">☐ Se requiere una revisión legal calificada</w:t>
      </w:r>
    </w:p>
    <w:p>
      <w:pPr>
        <w:numPr>
          <w:ilvl w:val="0"/>
          <w:numId w:val="1506"/>
        </w:numPr>
        <w:pStyle w:val="Compact"/>
      </w:pPr>
      <w:r>
        <w:t xml:space="preserve">☐ El uso debe ser rediseñado o restringido</w:t>
      </w:r>
    </w:p>
    <w:p>
      <w:pPr>
        <w:numPr>
          <w:ilvl w:val="0"/>
          <w:numId w:val="1506"/>
        </w:numPr>
        <w:pStyle w:val="Compact"/>
      </w:pPr>
      <w:r>
        <w:t xml:space="preserve">☐ Se prohíbe el despliegue</w:t>
      </w:r>
    </w:p>
    <w:p>
      <w:pPr>
        <w:numPr>
          <w:ilvl w:val="0"/>
          <w:numId w:val="1506"/>
        </w:numPr>
        <w:pStyle w:val="Compact"/>
      </w:pPr>
      <w:r>
        <w:t xml:space="preserve">☐ Despliegue existente suspendido, retirado o desmantelado</w:t>
      </w:r>
    </w:p>
    <w:p>
      <w:pPr>
        <w:pStyle w:val="FirstParagraph"/>
      </w:pPr>
      <w:r>
        <w:rPr>
          <w:bCs/>
          <w:b/>
        </w:rPr>
        <w:t xml:space="preserve">Punto de artículo y elementos exactos evaluados:</w:t>
      </w:r>
      <w:r>
        <w:t xml:space="preserve"> </w:t>
      </w:r>
      <w:r>
        <w:t xml:space="preserve">** Justificación de la decisión:</w:t>
      </w:r>
      <w:r>
        <w:rPr>
          <w:bCs/>
          <w:b/>
        </w:rPr>
        <w:t xml:space="preserve"> </w:t>
      </w:r>
      <w:r>
        <w:t xml:space="preserve"> </w:t>
      </w:r>
      <w:r>
        <w:t xml:space="preserve">Excepción, limitación o autorización reclamada:</w:t>
      </w:r>
      <w:r>
        <w:rPr>
          <w:bCs/>
          <w:b/>
        </w:rPr>
        <w:t xml:space="preserve"> </w:t>
      </w:r>
      <w:r>
        <w:t xml:space="preserve">Pruebas de apoyo:</w:t>
      </w:r>
      <w:r>
        <w:rPr>
          <w:bCs/>
          <w:b/>
        </w:rPr>
        <w:t xml:space="preserve"> </w:t>
      </w:r>
      <w:r>
        <w:t xml:space="preserve"> </w:t>
      </w:r>
      <w:r>
        <w:t xml:space="preserve">Restricciones o rediseño requerido:</w:t>
      </w:r>
      <w:r>
        <w:rPr>
          <w:bCs/>
          <w:b/>
        </w:rPr>
        <w:t xml:space="preserve"> </w:t>
      </w:r>
      <w:r>
        <w:t xml:space="preserve">Incertidumbre residual:**</w:t>
      </w:r>
    </w:p>
    <w:bookmarkEnd w:id="1457"/>
    <w:bookmarkStart w:id="1458" w:name="detonantes-de-escalada-obligatorios-1"/>
    <w:p>
      <w:pPr>
        <w:pStyle w:val="Heading2"/>
      </w:pPr>
      <w:r>
        <w:rPr>
          <w:rStyle w:val="SectionNumber"/>
        </w:rPr>
        <w:t xml:space="preserve">2.55</w:t>
      </w:r>
      <w:r>
        <w:tab/>
      </w:r>
      <w:r>
        <w:t xml:space="preserve">Detonantes de escalada obligatorios</w:t>
      </w:r>
    </w:p>
    <w:p>
      <w:pPr>
        <w:pStyle w:val="FirstParagraph"/>
      </w:pPr>
      <w:r>
        <w:t xml:space="preserve">Incrementar y no aprobar cuando:</w:t>
      </w:r>
    </w:p>
    <w:p>
      <w:pPr>
        <w:numPr>
          <w:ilvl w:val="0"/>
          <w:numId w:val="1507"/>
        </w:numPr>
        <w:pStyle w:val="Compact"/>
      </w:pPr>
      <w:r>
        <w:t xml:space="preserve">ningún elemento legal puede resolverse a partir de hechos verificados;</w:t>
      </w:r>
    </w:p>
    <w:p>
      <w:pPr>
        <w:numPr>
          <w:ilvl w:val="0"/>
          <w:numId w:val="1507"/>
        </w:numPr>
        <w:pStyle w:val="Compact"/>
      </w:pPr>
      <w:r>
        <w:t xml:space="preserve">una excepción, limitación, autorización o salvaguardia reclamadas carecen de pruebas;</w:t>
      </w:r>
    </w:p>
    <w:p>
      <w:pPr>
        <w:numPr>
          <w:ilvl w:val="0"/>
          <w:numId w:val="1507"/>
        </w:numPr>
        <w:pStyle w:val="Compact"/>
      </w:pPr>
      <w:r>
        <w:t xml:space="preserve">el proveedor no revelará la funcionalidad pertinente, las fuentes de datos ni las limitaciones observadas;</w:t>
      </w:r>
    </w:p>
    <w:p>
      <w:pPr>
        <w:numPr>
          <w:ilvl w:val="0"/>
          <w:numId w:val="1507"/>
        </w:numPr>
        <w:pStyle w:val="Compact"/>
      </w:pPr>
      <w:r>
        <w:t xml:space="preserve">las descripciones de comercialización entran en conflicto con la capacidad observada;</w:t>
      </w:r>
    </w:p>
    <w:p>
      <w:pPr>
        <w:numPr>
          <w:ilvl w:val="0"/>
          <w:numId w:val="1507"/>
        </w:numPr>
        <w:pStyle w:val="Compact"/>
      </w:pPr>
      <w:r>
        <w:t xml:space="preserve">niños, trabajadores, estudiantes, migrantes, sospechosos de delitos u otros grupos vulnerables se ven afectados;</w:t>
      </w:r>
    </w:p>
    <w:p>
      <w:pPr>
        <w:numPr>
          <w:ilvl w:val="0"/>
          <w:numId w:val="1507"/>
        </w:numPr>
        <w:pStyle w:val="Compact"/>
      </w:pPr>
      <w:r>
        <w:t xml:space="preserve">la legislación nacional puede ser más estricta o imponer condiciones separadas;</w:t>
      </w:r>
    </w:p>
    <w:p>
      <w:pPr>
        <w:numPr>
          <w:ilvl w:val="0"/>
          <w:numId w:val="1507"/>
        </w:numPr>
        <w:pStyle w:val="Compact"/>
      </w:pPr>
      <w:r>
        <w:t xml:space="preserve">el sistema podría reutilizarse en una práctica prohibida;</w:t>
      </w:r>
    </w:p>
    <w:p>
      <w:pPr>
        <w:numPr>
          <w:ilvl w:val="0"/>
          <w:numId w:val="1507"/>
        </w:numPr>
        <w:pStyle w:val="Compact"/>
      </w:pPr>
      <w:r>
        <w:t xml:space="preserve">las restricciones técnicas no pueden bloquear de manera fiable el uso prohibido;</w:t>
      </w:r>
    </w:p>
    <w:p>
      <w:pPr>
        <w:numPr>
          <w:ilvl w:val="0"/>
          <w:numId w:val="1507"/>
        </w:numPr>
        <w:pStyle w:val="Compact"/>
      </w:pPr>
      <w:r>
        <w:t xml:space="preserve">un cambio material afecta al propósito, contexto, población, datos, geografía, capacidad, rol de actor o uso de salida.</w:t>
      </w:r>
    </w:p>
    <w:bookmarkEnd w:id="1458"/>
    <w:bookmarkStart w:id="1459" w:name="controles-necesarios"/>
    <w:p>
      <w:pPr>
        <w:pStyle w:val="Heading2"/>
      </w:pPr>
      <w:r>
        <w:rPr>
          <w:rStyle w:val="SectionNumber"/>
        </w:rPr>
        <w:t xml:space="preserve">2.56</w:t>
      </w:r>
      <w:r>
        <w:tab/>
      </w:r>
      <w:r>
        <w:t xml:space="preserve">Controles necesarios</w:t>
      </w:r>
    </w:p>
    <w:p>
      <w:pPr>
        <w:numPr>
          <w:ilvl w:val="0"/>
          <w:numId w:val="1508"/>
        </w:numPr>
        <w:pStyle w:val="Compact"/>
      </w:pPr>
      <w:r>
        <w:t xml:space="preserve">Registrar la base jurídica exacta, las conclusiones fácticas y la justificación de la decisión.</w:t>
      </w:r>
    </w:p>
    <w:p>
      <w:pPr>
        <w:numPr>
          <w:ilvl w:val="0"/>
          <w:numId w:val="1508"/>
        </w:numPr>
        <w:pStyle w:val="Compact"/>
      </w:pPr>
      <w:r>
        <w:t xml:space="preserve">Aplicar restricciones técnicas, contractuales, organizativas y de acceso.</w:t>
      </w:r>
    </w:p>
    <w:p>
      <w:pPr>
        <w:numPr>
          <w:ilvl w:val="0"/>
          <w:numId w:val="1508"/>
        </w:numPr>
        <w:pStyle w:val="Compact"/>
      </w:pPr>
      <w:r>
        <w:t xml:space="preserve">Bloquear configuraciones, flujos de trabajo, usuarios, jurisdicciones y salidas prohibidas.</w:t>
      </w:r>
    </w:p>
    <w:p>
      <w:pPr>
        <w:numPr>
          <w:ilvl w:val="0"/>
          <w:numId w:val="1508"/>
        </w:numPr>
        <w:pStyle w:val="Compact"/>
      </w:pPr>
      <w:r>
        <w:t xml:space="preserve">Evitar la repurposición no autorizada y detectar intentos de elusión.</w:t>
      </w:r>
    </w:p>
    <w:p>
      <w:pPr>
        <w:numPr>
          <w:ilvl w:val="0"/>
          <w:numId w:val="1508"/>
        </w:numPr>
        <w:pStyle w:val="Compact"/>
      </w:pPr>
      <w:r>
        <w:t xml:space="preserve">Capacitar a desarrolladores, proveedores, usuarios, aprobadores, apoyo y personal de incidentes.</w:t>
      </w:r>
    </w:p>
    <w:p>
      <w:pPr>
        <w:numPr>
          <w:ilvl w:val="0"/>
          <w:numId w:val="1508"/>
        </w:numPr>
        <w:pStyle w:val="Compact"/>
      </w:pPr>
      <w:r>
        <w:t xml:space="preserve">Monitoree el uso indebido, las soluciones, los cambios de material y las actualizaciones del proveedor.</w:t>
      </w:r>
    </w:p>
    <w:p>
      <w:pPr>
        <w:numPr>
          <w:ilvl w:val="0"/>
          <w:numId w:val="1508"/>
        </w:numPr>
        <w:pStyle w:val="Compact"/>
      </w:pPr>
      <w:r>
        <w:t xml:space="preserve">Preservar el rechazo, la suspensión, la retirada, el desmantelamiento, las pruebas y las pruebas de incidentes.</w:t>
      </w:r>
    </w:p>
    <w:p>
      <w:pPr>
        <w:numPr>
          <w:ilvl w:val="0"/>
          <w:numId w:val="1508"/>
        </w:numPr>
        <w:pStyle w:val="Compact"/>
      </w:pPr>
      <w:r>
        <w:t xml:space="preserve">Reevalua después de cambios en el propósito, datos, características, geografía, proveedor, rol de actor, población afectada o ley.</w:t>
      </w:r>
    </w:p>
    <w:bookmarkEnd w:id="1459"/>
    <w:bookmarkStart w:id="1460" w:name="X170c2de0e6904a4ecfec24ae8af5d175e8b00bd"/>
    <w:p>
      <w:pPr>
        <w:pStyle w:val="Heading2"/>
      </w:pPr>
      <w:r>
        <w:rPr>
          <w:rStyle w:val="SectionNumber"/>
        </w:rPr>
        <w:t xml:space="preserve">2.57</w:t>
      </w:r>
      <w:r>
        <w:tab/>
      </w:r>
      <w:r>
        <w:t xml:space="preserve">Ejemplo de servicios de viajes de GlobalWay</w:t>
      </w:r>
    </w:p>
    <w:p>
      <w:pPr>
        <w:pStyle w:val="FirstParagraph"/>
      </w:pPr>
      <w:r>
        <w:t xml:space="preserve">GlobalWay revisa una herramienta de</w:t>
      </w:r>
      <w:r>
        <w:t xml:space="preserve"> </w:t>
      </w:r>
      <w:r>
        <w:t xml:space="preserve">“</w:t>
      </w:r>
      <w:r>
        <w:t xml:space="preserve">engagement</w:t>
      </w:r>
      <w:r>
        <w:t xml:space="preserve">”</w:t>
      </w:r>
      <w:r>
        <w:t xml:space="preserve"> </w:t>
      </w:r>
      <w:r>
        <w:t xml:space="preserve">de empleados que afirma medir la fatiga y el sentimiento de voz y vídeo. Las pruebas muestran que infiere estados emocionales en un contexto laboral. GlobalWay suspende el piloto, preserva la evidencia del proveedor y prueba, y aumenta para una revisión legal calificada. La garantía general de cumplimiento del proveedor es rechazada como insuficiente porque la capacidad observada y los hechos de implementación controlan el análisis.</w:t>
      </w:r>
    </w:p>
    <w:bookmarkEnd w:id="1460"/>
    <w:bookmarkStart w:id="1461" w:name="homologación-1"/>
    <w:p>
      <w:pPr>
        <w:pStyle w:val="Heading2"/>
      </w:pPr>
      <w:r>
        <w:rPr>
          <w:rStyle w:val="SectionNumber"/>
        </w:rPr>
        <w:t xml:space="preserve">2.58</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Revisor jurídico cualificado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Revisor del 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Revisor técnico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Revisor de privacidad, recursos humanos y seguridad,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rPr>
          <w:bCs/>
          <w:b/>
        </w:rPr>
        <w:t xml:space="preserve">Condiciones:</w:t>
      </w:r>
      <w:r>
        <w:t xml:space="preserve"> </w:t>
      </w:r>
      <w:r>
        <w:rPr>
          <w:bCs/>
          <w:b/>
        </w:rPr>
        <w:t xml:space="preserve">Acciones y fechas de vencimiento:</w:t>
      </w:r>
      <w:r>
        <w:t xml:space="preserve"> </w:t>
      </w:r>
      <w:r>
        <w:rPr>
          <w:bCs/>
          <w:b/>
        </w:rPr>
        <w:t xml:space="preserve">Próxima fecha de revisión o activación:</w:t>
      </w:r>
      <w:r>
        <w:t xml:space="preserve"> </w:t>
      </w:r>
      <w:r>
        <w:rPr>
          <w:bCs/>
          <w:b/>
        </w:rPr>
        <w:t xml:space="preserve">Repositorio de pruebas:</w:t>
      </w:r>
      <w:r>
        <w:t xml:space="preserve"> </w:t>
      </w:r>
      <w:r>
        <w:t xml:space="preserve">** Versión de evaluación:**</w:t>
      </w:r>
    </w:p>
    <w:bookmarkEnd w:id="1461"/>
    <w:bookmarkStart w:id="1462" w:name="referencias-jurídicas-primarias-110"/>
    <w:p>
      <w:pPr>
        <w:pStyle w:val="Heading2"/>
      </w:pPr>
      <w:r>
        <w:rPr>
          <w:rStyle w:val="SectionNumber"/>
        </w:rPr>
        <w:t xml:space="preserve">2.59</w:t>
      </w:r>
      <w:r>
        <w:tab/>
      </w:r>
      <w:r>
        <w:t xml:space="preserve">Referencias jurídicas primarias</w:t>
      </w:r>
    </w:p>
    <w:p>
      <w:pPr>
        <w:numPr>
          <w:ilvl w:val="0"/>
          <w:numId w:val="1509"/>
        </w:numPr>
        <w:pStyle w:val="Compact"/>
      </w:pPr>
      <w:r>
        <w:t xml:space="preserve">Reglamento (UE) 2024/1689, en su versión modificada: artículo 5 y todas las definiciones, excepciones, salvaguardias, fechas efectivas y condiciones nacionales aplicables.</w:t>
      </w:r>
    </w:p>
    <w:p>
      <w:pPr>
        <w:numPr>
          <w:ilvl w:val="0"/>
          <w:numId w:val="1509"/>
        </w:numPr>
        <w:pStyle w:val="Compact"/>
      </w:pPr>
      <w:r>
        <w:t xml:space="preserve">Reglamento (UE) 2026/1744, en su caso.</w:t>
      </w:r>
    </w:p>
    <w:p>
      <w:pPr>
        <w:numPr>
          <w:ilvl w:val="0"/>
          <w:numId w:val="1509"/>
        </w:numPr>
        <w:pStyle w:val="Compact"/>
      </w:pPr>
      <w:r>
        <w:t xml:space="preserve">Reglamento (UE) 2016/679 y empleo, igualdad, accesibilidad, procedimiento penal, protección del consumidor, protección de la infancia, ciberseguridad, seguridad de los productos y legislación nacional aplicables.</w:t>
      </w:r>
    </w:p>
    <w:p>
      <w:pPr>
        <w:numPr>
          <w:ilvl w:val="0"/>
          <w:numId w:val="1509"/>
        </w:numPr>
        <w:pStyle w:val="Compact"/>
      </w:pPr>
      <w:r>
        <w:t xml:space="preserve">Los textos oficiales consolidados actuales controlan esta lista de verificación y todos los resúmenes anteriores.</w:t>
      </w:r>
    </w:p>
    <w:bookmarkEnd w:id="1462"/>
    <w:bookmarkStart w:id="1463" w:name="X3cb42bdad37223098d1fe5d48eafe9fa1d69e52"/>
    <w:p>
      <w:pPr>
        <w:pStyle w:val="Heading2"/>
      </w:pPr>
      <w:r>
        <w:rPr>
          <w:rStyle w:val="SectionNumber"/>
        </w:rPr>
        <w:t xml:space="preserve">2.60</w:t>
      </w:r>
      <w:r>
        <w:tab/>
      </w:r>
      <w:r>
        <w:t xml:space="preserve">Apéndice E — Hoja de trabajo de clasificación de alto riesgo</w:t>
      </w:r>
    </w:p>
    <w:p>
      <w:pPr>
        <w:pStyle w:val="BlockText"/>
      </w:pPr>
      <w:r>
        <w:rPr>
          <w:bCs/>
          <w:b/>
        </w:rPr>
        <w:t xml:space="preserve">Situación jurídica:</w:t>
      </w:r>
      <w:r>
        <w:t xml:space="preserve"> </w:t>
      </w:r>
      <w:r>
        <w:t xml:space="preserve">Maestro inglés corregido. Este archivo controla el idioma anterior del Apéndice E. La clasificación debe basarse en la actual Ley de IA de la UE consolidada, la conducta real del actor, el propósito del sistema, la ruta correspondiente del Anexo y la fecha de aplicación aplicable. Se requiere una revisión legal calificada para clasificaciones inciertas o materialmente consecuentes.</w:t>
      </w:r>
    </w:p>
    <w:bookmarkEnd w:id="1463"/>
    <w:bookmarkStart w:id="1464" w:name="finalidad-21"/>
    <w:p>
      <w:pPr>
        <w:pStyle w:val="Heading2"/>
      </w:pPr>
      <w:r>
        <w:rPr>
          <w:rStyle w:val="SectionNumber"/>
        </w:rPr>
        <w:t xml:space="preserve">2.61</w:t>
      </w:r>
      <w:r>
        <w:tab/>
      </w:r>
      <w:r>
        <w:t xml:space="preserve">Finalidad</w:t>
      </w:r>
    </w:p>
    <w:p>
      <w:pPr>
        <w:pStyle w:val="FirstParagraph"/>
      </w:pPr>
      <w:r>
        <w:t xml:space="preserve">Utilice esta hoja de trabajo para determinar si un sistema de IA es de alto riesgo con arreglo al artículo 6 y al anexo I o al anexo III, si se alega una excepción del apartado 3 del artículo 6, si la elaboración de perfiles impide confiar en esa excepción y qué consecuencias jurídicas y operativas se derivan.</w:t>
      </w:r>
    </w:p>
    <w:p>
      <w:pPr>
        <w:pStyle w:val="BodyText"/>
      </w:pPr>
      <w:r>
        <w:t xml:space="preserve">Completar la evaluación antes del despliegue de la producción o la colocación en el mercado y repetirla después de cambios materiales, repurposing, nuevas jurisdicciones, nuevas poblaciones afectadas, cambios en la supervisión humana, cambios en los proveedores o desarrollos legales.</w:t>
      </w:r>
    </w:p>
    <w:bookmarkEnd w:id="1464"/>
    <w:bookmarkStart w:id="1465" w:name="registro-de-cuotas"/>
    <w:p>
      <w:pPr>
        <w:pStyle w:val="Heading2"/>
      </w:pPr>
      <w:r>
        <w:rPr>
          <w:rStyle w:val="SectionNumber"/>
        </w:rPr>
        <w:t xml:space="preserve">2.62</w:t>
      </w:r>
      <w:r>
        <w:tab/>
      </w:r>
      <w:r>
        <w:t xml:space="preserve">1. Registro de cuotas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Nombre del sistema</w:t>
            </w:r>
          </w:p>
        </w:tc>
        <w:tc>
          <w:tcPr/>
          <w:p>
            <w:pPr>
              <w:pStyle w:val="Compact"/>
              <w:jc w:val="left"/>
            </w:pPr>
            <w:r>
              <w:t xml:space="preserve">- No, no.</w:t>
            </w:r>
          </w:p>
        </w:tc>
      </w:tr>
      <w:tr>
        <w:tc>
          <w:tcPr/>
          <w:p>
            <w:pPr>
              <w:pStyle w:val="Compact"/>
              <w:jc w:val="left"/>
            </w:pPr>
            <w:r>
              <w:t xml:space="preserve">ID de inventario</w:t>
            </w:r>
          </w:p>
        </w:tc>
        <w:tc>
          <w:tcPr/>
          <w:p>
            <w:pPr>
              <w:pStyle w:val="Compact"/>
              <w:jc w:val="left"/>
            </w:pPr>
            <w:r>
              <w:t xml:space="preserve">- No, no.</w:t>
            </w:r>
          </w:p>
        </w:tc>
      </w:tr>
      <w:tr>
        <w:tc>
          <w:tcPr/>
          <w:p>
            <w:pPr>
              <w:pStyle w:val="Compact"/>
              <w:jc w:val="left"/>
            </w:pPr>
            <w:r>
              <w:t xml:space="preserve">Entidad jurídica evaluada</w:t>
            </w:r>
          </w:p>
        </w:tc>
        <w:tc>
          <w:tcPr/>
          <w:p>
            <w:pPr>
              <w:pStyle w:val="Compact"/>
              <w:jc w:val="left"/>
            </w:pPr>
            <w:r>
              <w:t xml:space="preserve">- No, no.</w:t>
            </w:r>
          </w:p>
        </w:tc>
      </w:tr>
      <w:tr>
        <w:tc>
          <w:tcPr/>
          <w:p>
            <w:pPr>
              <w:pStyle w:val="Compact"/>
              <w:jc w:val="left"/>
            </w:pPr>
            <w:r>
              <w:t xml:space="preserve">Función o funciones de actor</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r>
      <w:tr>
        <w:tc>
          <w:tcPr/>
          <w:p>
            <w:pPr>
              <w:pStyle w:val="Compact"/>
              <w:jc w:val="left"/>
            </w:pPr>
            <w:r>
              <w:t xml:space="preserve">Propietario técnico/producto</w:t>
            </w:r>
          </w:p>
        </w:tc>
        <w:tc>
          <w:tcPr/>
          <w:p>
            <w:pPr>
              <w:pStyle w:val="Compact"/>
              <w:jc w:val="left"/>
            </w:pPr>
            <w:r>
              <w:t xml:space="preserve">- No, no.</w:t>
            </w:r>
          </w:p>
        </w:tc>
      </w:tr>
      <w:tr>
        <w:tc>
          <w:tcPr/>
          <w:p>
            <w:pPr>
              <w:pStyle w:val="Compact"/>
              <w:jc w:val="left"/>
            </w:pPr>
            <w:r>
              <w:t xml:space="preserve">Proveedor/vendor</w:t>
            </w:r>
          </w:p>
        </w:tc>
        <w:tc>
          <w:tcPr/>
          <w:p>
            <w:pPr>
              <w:pStyle w:val="Compact"/>
              <w:jc w:val="left"/>
            </w:pPr>
            <w:r>
              <w:t xml:space="preserve">- No, no.</w:t>
            </w:r>
          </w:p>
        </w:tc>
      </w:tr>
      <w:tr>
        <w:tc>
          <w:tcPr/>
          <w:p>
            <w:pPr>
              <w:pStyle w:val="Compact"/>
              <w:jc w:val="left"/>
            </w:pPr>
            <w:r>
              <w:t xml:space="preserve">Integración de productos</w:t>
            </w:r>
          </w:p>
        </w:tc>
        <w:tc>
          <w:tcPr/>
          <w:p>
            <w:pPr>
              <w:pStyle w:val="Compact"/>
              <w:jc w:val="left"/>
            </w:pPr>
            <w:r>
              <w:t xml:space="preserve">- No, no.</w:t>
            </w:r>
          </w:p>
        </w:tc>
      </w:tr>
      <w:tr>
        <w:tc>
          <w:tcPr/>
          <w:p>
            <w:pPr>
              <w:pStyle w:val="Compact"/>
              <w:jc w:val="left"/>
            </w:pPr>
            <w:r>
              <w:t xml:space="preserve">Versión, configuración, avisos, herramientas y datos evaluados</w:t>
            </w:r>
          </w:p>
        </w:tc>
        <w:tc>
          <w:tcPr/>
          <w:p>
            <w:pPr>
              <w:pStyle w:val="Compact"/>
              <w:jc w:val="left"/>
            </w:pPr>
            <w:r>
              <w:t xml:space="preserve">- No, no.</w:t>
            </w:r>
          </w:p>
        </w:tc>
      </w:tr>
      <w:tr>
        <w:tc>
          <w:tcPr/>
          <w:p>
            <w:pPr>
              <w:pStyle w:val="Compact"/>
              <w:jc w:val="left"/>
            </w:pPr>
            <w:r>
              <w:t xml:space="preserve">Finalidad prevista</w:t>
            </w:r>
          </w:p>
        </w:tc>
        <w:tc>
          <w:tcPr/>
          <w:p>
            <w:pPr>
              <w:pStyle w:val="Compact"/>
              <w:jc w:val="left"/>
            </w:pPr>
            <w:r>
              <w:t xml:space="preserve">- No, no.</w:t>
            </w:r>
          </w:p>
        </w:tc>
      </w:tr>
      <w:tr>
        <w:tc>
          <w:tcPr/>
          <w:p>
            <w:pPr>
              <w:pStyle w:val="Compact"/>
              <w:jc w:val="left"/>
            </w:pPr>
            <w:r>
              <w:t xml:space="preserve">Uso real o propuesto</w:t>
            </w:r>
          </w:p>
        </w:tc>
        <w:tc>
          <w:tcPr/>
          <w:p>
            <w:pPr>
              <w:pStyle w:val="Compact"/>
              <w:jc w:val="left"/>
            </w:pPr>
            <w:r>
              <w:t xml:space="preserve">- No, no.</w:t>
            </w:r>
          </w:p>
        </w:tc>
      </w:tr>
      <w:tr>
        <w:tc>
          <w:tcPr/>
          <w:p>
            <w:pPr>
              <w:pStyle w:val="Compact"/>
              <w:jc w:val="left"/>
            </w:pPr>
            <w:r>
              <w:t xml:space="preserve">Usuarios y personas afectadas</w:t>
            </w:r>
          </w:p>
        </w:tc>
        <w:tc>
          <w:tcPr/>
          <w:p>
            <w:pPr>
              <w:pStyle w:val="Compact"/>
              <w:jc w:val="left"/>
            </w:pPr>
            <w:r>
              <w:t xml:space="preserve">- No, no.</w:t>
            </w:r>
          </w:p>
        </w:tc>
      </w:tr>
      <w:tr>
        <w:tc>
          <w:tcPr/>
          <w:p>
            <w:pPr>
              <w:pStyle w:val="Compact"/>
              <w:jc w:val="left"/>
            </w:pPr>
            <w:r>
              <w:t xml:space="preserve">Competencias</w:t>
            </w:r>
          </w:p>
        </w:tc>
        <w:tc>
          <w:tcPr/>
          <w:p>
            <w:pPr>
              <w:pStyle w:val="Compact"/>
              <w:jc w:val="left"/>
            </w:pPr>
            <w:r>
              <w:t xml:space="preserve">- No, no.</w:t>
            </w:r>
          </w:p>
        </w:tc>
      </w:tr>
      <w:tr>
        <w:tc>
          <w:tcPr/>
          <w:p>
            <w:pPr>
              <w:pStyle w:val="Compact"/>
              <w:jc w:val="left"/>
            </w:pPr>
            <w:r>
              <w:t xml:space="preserve">Titular de la evaluación y fecha</w:t>
            </w:r>
          </w:p>
        </w:tc>
        <w:tc>
          <w:tcPr/>
          <w:p>
            <w:pPr>
              <w:pStyle w:val="Compact"/>
              <w:jc w:val="left"/>
            </w:pPr>
            <w:r>
              <w:t xml:space="preserve">- No, no.</w:t>
            </w:r>
          </w:p>
        </w:tc>
      </w:tr>
      <w:tr>
        <w:tc>
          <w:tcPr/>
          <w:p>
            <w:pPr>
              <w:pStyle w:val="Compact"/>
              <w:jc w:val="left"/>
            </w:pPr>
            <w:r>
              <w:t xml:space="preserve">Revisor jurídico</w:t>
            </w:r>
          </w:p>
        </w:tc>
        <w:tc>
          <w:tcPr/>
          <w:p>
            <w:pPr>
              <w:pStyle w:val="Compact"/>
              <w:jc w:val="left"/>
            </w:pPr>
            <w:r>
              <w:t xml:space="preserve">- No, no.</w:t>
            </w:r>
          </w:p>
        </w:tc>
      </w:tr>
      <w:tr>
        <w:tc>
          <w:tcPr/>
          <w:p>
            <w:pPr>
              <w:pStyle w:val="Compact"/>
              <w:jc w:val="left"/>
            </w:pPr>
            <w:r>
              <w:t xml:space="preserve">Fuente jurídica y fecha consolidadas actuales</w:t>
            </w:r>
          </w:p>
        </w:tc>
        <w:tc>
          <w:tcPr/>
          <w:p>
            <w:pPr>
              <w:pStyle w:val="Compact"/>
              <w:jc w:val="left"/>
            </w:pPr>
            <w:r>
              <w:t xml:space="preserve">- No, no.</w:t>
            </w:r>
          </w:p>
        </w:tc>
      </w:tr>
    </w:tbl>
    <w:bookmarkEnd w:id="1465"/>
    <w:bookmarkStart w:id="1466" w:name="Xb6b8989c0ef866ca9d63c9cc3926ff944f093d4"/>
    <w:p>
      <w:pPr>
        <w:pStyle w:val="Heading2"/>
      </w:pPr>
      <w:r>
        <w:rPr>
          <w:rStyle w:val="SectionNumber"/>
        </w:rPr>
        <w:t xml:space="preserve">2.63</w:t>
      </w:r>
      <w:r>
        <w:tab/>
      </w:r>
      <w:r>
        <w:t xml:space="preserve">2. Análisis de la finalidad prevista y el contexto de las decisiones</w:t>
      </w:r>
    </w:p>
    <w:p>
      <w:pPr>
        <w:pStyle w:val="FirstParagraph"/>
      </w:pPr>
      <w:r>
        <w:t xml:space="preserve">Documento:</w:t>
      </w:r>
    </w:p>
    <w:p>
      <w:pPr>
        <w:numPr>
          <w:ilvl w:val="0"/>
          <w:numId w:val="1510"/>
        </w:numPr>
        <w:pStyle w:val="Compact"/>
      </w:pPr>
      <w:r>
        <w:t xml:space="preserve">la finalidad prevista aprobada;</w:t>
      </w:r>
    </w:p>
    <w:p>
      <w:pPr>
        <w:numPr>
          <w:ilvl w:val="0"/>
          <w:numId w:val="1510"/>
        </w:numPr>
        <w:pStyle w:val="Compact"/>
      </w:pPr>
      <w:r>
        <w:t xml:space="preserve">uso real y razonablemente previsible;</w:t>
      </w:r>
    </w:p>
    <w:p>
      <w:pPr>
        <w:numPr>
          <w:ilvl w:val="0"/>
          <w:numId w:val="1510"/>
        </w:numPr>
        <w:pStyle w:val="Compact"/>
      </w:pPr>
      <w:r>
        <w:t xml:space="preserve">la empresa o el proceso público apoyado;</w:t>
      </w:r>
    </w:p>
    <w:p>
      <w:pPr>
        <w:numPr>
          <w:ilvl w:val="0"/>
          <w:numId w:val="1510"/>
        </w:numPr>
        <w:pStyle w:val="Compact"/>
      </w:pPr>
      <w:r>
        <w:t xml:space="preserve">decisiones, recomendaciones, predicciones, clasificaciones, clasificaciones o acciones producidas;</w:t>
      </w:r>
    </w:p>
    <w:p>
      <w:pPr>
        <w:numPr>
          <w:ilvl w:val="0"/>
          <w:numId w:val="1510"/>
        </w:numPr>
        <w:pStyle w:val="Compact"/>
      </w:pPr>
      <w:r>
        <w:t xml:space="preserve">si el sistema toma, influye materialmente, prepara, apoya o simplemente registra una decisión;</w:t>
      </w:r>
    </w:p>
    <w:p>
      <w:pPr>
        <w:numPr>
          <w:ilvl w:val="0"/>
          <w:numId w:val="1510"/>
        </w:numPr>
        <w:pStyle w:val="Compact"/>
      </w:pPr>
      <w:r>
        <w:t xml:space="preserve">usuarios, responsables de la toma de decisiones, personas afectadas y grupos vulnerables;</w:t>
      </w:r>
    </w:p>
    <w:p>
      <w:pPr>
        <w:numPr>
          <w:ilvl w:val="0"/>
          <w:numId w:val="1510"/>
        </w:numPr>
        <w:pStyle w:val="Compact"/>
      </w:pPr>
      <w:r>
        <w:t xml:space="preserve">consecuencias de error, sesgo, retraso, mal uso, falta de disponibilidad o manipulación;</w:t>
      </w:r>
    </w:p>
    <w:p>
      <w:pPr>
        <w:numPr>
          <w:ilvl w:val="0"/>
          <w:numId w:val="1510"/>
        </w:numPr>
        <w:pStyle w:val="Compact"/>
      </w:pPr>
      <w:r>
        <w:t xml:space="preserve">autoridad de revisión humana, tiempo, competencia y capacidad para anular;</w:t>
      </w:r>
    </w:p>
    <w:p>
      <w:pPr>
        <w:numPr>
          <w:ilvl w:val="0"/>
          <w:numId w:val="1510"/>
        </w:numPr>
        <w:pStyle w:val="Compact"/>
      </w:pPr>
      <w:r>
        <w:t xml:space="preserve">si el uso afecta al empleo, la educación, el crédito, los seguros, los servicios esenciales, la salud, la seguridad, la aplicación de la ley, la migración, la justicia, los procesos democráticos u otra oportunidad o derecho material.</w:t>
      </w:r>
    </w:p>
    <w:bookmarkEnd w:id="1466"/>
    <w:bookmarkStart w:id="1467" w:name="Xf03f0d5786d2f86b33cf852b91552e4efaf4ec1"/>
    <w:p>
      <w:pPr>
        <w:pStyle w:val="Heading2"/>
      </w:pPr>
      <w:r>
        <w:rPr>
          <w:rStyle w:val="SectionNumber"/>
        </w:rPr>
        <w:t xml:space="preserve">2.64</w:t>
      </w:r>
      <w:r>
        <w:tab/>
      </w:r>
      <w:r>
        <w:t xml:space="preserve">3) Vía del apartado 1 del artículo 6 y del anexo 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¿Es el propio sistema de IA un producto cubierto por la legislación del anexo I?</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 un componente de seguridad de un producto cubierto por la legislación del anexo I?</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 obligado el producto a someterse a una evaluación de conformidad de terceros con arreglo a la legislación aplicable del anexo I?</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¿Qué entidad jurídica es el proveedor o fabricante de producto pertinente?</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¿Qué legislación sobre productos, ruta de conformidad y requisitos de los organismos notificados se aplican?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 fallo del componente IA crea un riesgo para la salud o la seguridad del material?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¿Qué fecha de aplicación, regla del sistema heredado o controles transitorios de las disposiciones?</w:t>
            </w:r>
          </w:p>
        </w:tc>
        <w:tc>
          <w:tcPr/>
          <w:p>
            <w:pPr>
              <w:pStyle w:val="Compact"/>
              <w:jc w:val="left"/>
            </w:pPr>
            <w:r>
              <w:t xml:space="preserve">- No, no.</w:t>
            </w:r>
          </w:p>
        </w:tc>
        <w:tc>
          <w:tcPr/>
          <w:p>
            <w:pPr>
              <w:pStyle w:val="Compact"/>
              <w:jc w:val="left"/>
            </w:pPr>
            <w:r>
              <w:t xml:space="preserve">- No, no.</w:t>
            </w:r>
          </w:p>
        </w:tc>
      </w:tr>
    </w:tbl>
    <w:p>
      <w:pPr>
        <w:pStyle w:val="BodyText"/>
      </w:pPr>
      <w:r>
        <w:rPr>
          <w:bCs/>
          <w:b/>
        </w:rPr>
        <w:t xml:space="preserve">Artículo 6, apartado 1, conclusión:</w:t>
      </w:r>
      <w:r>
        <w:t xml:space="preserve"> </w:t>
      </w:r>
      <w:r>
        <w:t xml:space="preserve">** Legislación aplicable del anexo I:</w:t>
      </w:r>
      <w:r>
        <w:rPr>
          <w:bCs/>
          <w:b/>
        </w:rPr>
        <w:t xml:space="preserve"> </w:t>
      </w:r>
      <w:r>
        <w:t xml:space="preserve"> </w:t>
      </w:r>
      <w:r>
        <w:t xml:space="preserve">Consecuencias para la conformidad:**</w:t>
      </w:r>
    </w:p>
    <w:bookmarkEnd w:id="1467"/>
    <w:bookmarkStart w:id="1468" w:name="X9e0bec0ab01f5970120a3119a88832efa3dd174"/>
    <w:p>
      <w:pPr>
        <w:pStyle w:val="Heading2"/>
      </w:pPr>
      <w:r>
        <w:rPr>
          <w:rStyle w:val="SectionNumber"/>
        </w:rPr>
        <w:t xml:space="preserve">2.65</w:t>
      </w:r>
      <w:r>
        <w:tab/>
      </w:r>
      <w:r>
        <w:t xml:space="preserve">4) Vía del apartado 2 del artículo 6 y del anexo III</w:t>
      </w:r>
    </w:p>
    <w:p>
      <w:pPr>
        <w:pStyle w:val="FirstParagraph"/>
      </w:pPr>
      <w:r>
        <w:t xml:space="preserve">Para cada categoría del anexo III, anote el punto exacto, el uso previsto, las personas afectadas, la decisión o el proceso influidos, las pruebas y la conclusión.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Zona del anexo III</w:t>
            </w:r>
          </w:p>
        </w:tc>
        <w:tc>
          <w:tcPr/>
          <w:p>
            <w:pPr>
              <w:pStyle w:val="Compact"/>
              <w:jc w:val="left"/>
            </w:pPr>
            <w:r>
              <w:t xml:space="preserve">¿En el alcance?</w:t>
            </w:r>
          </w:p>
        </w:tc>
        <w:tc>
          <w:tcPr/>
          <w:p>
            <w:pPr>
              <w:pStyle w:val="Compact"/>
              <w:jc w:val="left"/>
            </w:pPr>
            <w:r>
              <w:t xml:space="preserve">Punto exacto</w:t>
            </w:r>
          </w:p>
        </w:tc>
        <w:tc>
          <w:tcPr/>
          <w:p>
            <w:pPr>
              <w:pStyle w:val="Compact"/>
              <w:jc w:val="left"/>
            </w:pPr>
            <w:r>
              <w:t xml:space="preserve">Uso previsto y personas afectadas</w:t>
            </w:r>
          </w:p>
        </w:tc>
        <w:tc>
          <w:tcPr/>
          <w:p>
            <w:pPr>
              <w:pStyle w:val="Compact"/>
              <w:jc w:val="left"/>
            </w:pPr>
            <w:r>
              <w:t xml:space="preserve">Justificación y pruebas</w:t>
            </w:r>
          </w:p>
        </w:tc>
      </w:tr>
      <w:tr>
        <w:tc>
          <w:tcPr/>
          <w:p>
            <w:pPr>
              <w:pStyle w:val="Compact"/>
              <w:jc w:val="left"/>
            </w:pPr>
            <w:r>
              <w:t xml:space="preserve">Biometría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Infraestructura crítica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Educación y formación profesional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Empleo, contratación, gestión de trabajadores o acceso al empleo por cuenta propia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Servicios y beneficios públicos y privados esenciales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Aplicación de la ley</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Migración, asilo y control fronterizo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Administración de justicia y procesos democráticos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No infiere la situación del anexo III de una etiqueta sectorial por sí sola. Coincide con el uso previsto en la categoría y el punto exactos de la lista.</w:t>
      </w:r>
    </w:p>
    <w:bookmarkEnd w:id="1468"/>
    <w:bookmarkStart w:id="1469" w:name="Xe63038c6d490dc7b433de5549f3aa36466f8f20"/>
    <w:p>
      <w:pPr>
        <w:pStyle w:val="Heading2"/>
      </w:pPr>
      <w:r>
        <w:rPr>
          <w:rStyle w:val="SectionNumber"/>
        </w:rPr>
        <w:t xml:space="preserve">2.66</w:t>
      </w:r>
      <w:r>
        <w:tab/>
      </w:r>
      <w:r>
        <w:t xml:space="preserve">5. Análisis de la influencia de los materiales y la revisión humana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Pregunta</w:t>
            </w:r>
          </w:p>
        </w:tc>
        <w:tc>
          <w:tcPr/>
          <w:p>
            <w:pPr>
              <w:pStyle w:val="Compact"/>
              <w:jc w:val="left"/>
            </w:pPr>
            <w:r>
              <w:t xml:space="preserve">Respuesta y pruebas</w:t>
            </w:r>
          </w:p>
        </w:tc>
      </w:tr>
      <w:tr>
        <w:tc>
          <w:tcPr/>
          <w:p>
            <w:pPr>
              <w:pStyle w:val="Compact"/>
              <w:jc w:val="left"/>
            </w:pPr>
            <w:r>
              <w:t xml:space="preserve">¿El sistema toma o influye materialmente en una decisión?</w:t>
            </w:r>
          </w:p>
        </w:tc>
        <w:tc>
          <w:tcPr/>
          <w:p>
            <w:pPr>
              <w:pStyle w:val="Compact"/>
              <w:jc w:val="left"/>
            </w:pPr>
            <w:r>
              <w:t xml:space="preserve">- No, no.</w:t>
            </w:r>
          </w:p>
        </w:tc>
      </w:tr>
      <w:tr>
        <w:tc>
          <w:tcPr/>
          <w:p>
            <w:pPr>
              <w:pStyle w:val="Compact"/>
              <w:jc w:val="left"/>
            </w:pPr>
            <w:r>
              <w:t xml:space="preserve">¿Se presenta el producto como una recomendación, pero se sigue habitualmente?</w:t>
            </w:r>
          </w:p>
        </w:tc>
        <w:tc>
          <w:tcPr/>
          <w:p>
            <w:pPr>
              <w:pStyle w:val="Compact"/>
              <w:jc w:val="left"/>
            </w:pPr>
            <w:r>
              <w:t xml:space="preserve">- No, no.</w:t>
            </w:r>
          </w:p>
        </w:tc>
      </w:tr>
      <w:tr>
        <w:tc>
          <w:tcPr/>
          <w:p>
            <w:pPr>
              <w:pStyle w:val="Compact"/>
              <w:jc w:val="left"/>
            </w:pPr>
            <w:r>
              <w:t xml:space="preserve">¿Se realiza una revisión humana significativa antes de que la decisión entre en vigor?</w:t>
            </w:r>
          </w:p>
        </w:tc>
        <w:tc>
          <w:tcPr/>
          <w:p>
            <w:pPr>
              <w:pStyle w:val="Compact"/>
              <w:jc w:val="left"/>
            </w:pPr>
            <w:r>
              <w:t xml:space="preserve">- No, no.</w:t>
            </w:r>
          </w:p>
        </w:tc>
      </w:tr>
      <w:tr>
        <w:tc>
          <w:tcPr/>
          <w:p>
            <w:pPr>
              <w:pStyle w:val="Compact"/>
              <w:jc w:val="left"/>
            </w:pPr>
            <w:r>
              <w:t xml:space="preserve">¿Puede el revisor entender la base, las limitaciones y la incertidumbre de la salida?</w:t>
            </w:r>
          </w:p>
        </w:tc>
        <w:tc>
          <w:tcPr/>
          <w:p>
            <w:pPr>
              <w:pStyle w:val="Compact"/>
              <w:jc w:val="left"/>
            </w:pPr>
            <w:r>
              <w:t xml:space="preserve">- No, no.</w:t>
            </w:r>
          </w:p>
        </w:tc>
      </w:tr>
      <w:tr>
        <w:tc>
          <w:tcPr/>
          <w:p>
            <w:pPr>
              <w:pStyle w:val="Compact"/>
              <w:jc w:val="left"/>
            </w:pPr>
            <w:r>
              <w:t xml:space="preserve">¿Puede el revisor desafiar, ignorar, anular o detener el sistema sin penalización o sesgo de automatización?</w:t>
            </w:r>
          </w:p>
        </w:tc>
        <w:tc>
          <w:tcPr/>
          <w:p>
            <w:pPr>
              <w:pStyle w:val="Compact"/>
              <w:jc w:val="left"/>
            </w:pPr>
            <w:r>
              <w:t xml:space="preserve">- No, no.</w:t>
            </w:r>
          </w:p>
        </w:tc>
      </w:tr>
      <w:tr>
        <w:tc>
          <w:tcPr/>
          <w:p>
            <w:pPr>
              <w:pStyle w:val="Compact"/>
              <w:jc w:val="left"/>
            </w:pPr>
            <w:r>
              <w:t xml:space="preserve">¿Se dispone de tiempo suficiente, personal, competencia e información para su examen?</w:t>
            </w:r>
          </w:p>
        </w:tc>
        <w:tc>
          <w:tcPr/>
          <w:p>
            <w:pPr>
              <w:pStyle w:val="Compact"/>
              <w:jc w:val="left"/>
            </w:pPr>
            <w:r>
              <w:t xml:space="preserve">- No, no.</w:t>
            </w:r>
          </w:p>
        </w:tc>
      </w:tr>
      <w:tr>
        <w:tc>
          <w:tcPr/>
          <w:p>
            <w:pPr>
              <w:pStyle w:val="Compact"/>
              <w:jc w:val="left"/>
            </w:pPr>
            <w:r>
              <w:t xml:space="preserve">¿Las personas afectadas están expuestas a consecuencias jurídicas, económicas, de seguridad, de acceso a los servicios, de empleo, educativas o de derechos fundamentales?</w:t>
            </w:r>
          </w:p>
        </w:tc>
        <w:tc>
          <w:tcPr/>
          <w:p>
            <w:pPr>
              <w:pStyle w:val="Compact"/>
              <w:jc w:val="left"/>
            </w:pPr>
            <w:r>
              <w:t xml:space="preserve">- No, no.</w:t>
            </w:r>
          </w:p>
        </w:tc>
      </w:tr>
      <w:tr>
        <w:tc>
          <w:tcPr/>
          <w:p>
            <w:pPr>
              <w:pStyle w:val="Compact"/>
              <w:jc w:val="left"/>
            </w:pPr>
            <w:r>
              <w:t xml:space="preserve">¿Se registran y supervisan las anulaciones, apelaciones y desacuerdos?</w:t>
            </w:r>
          </w:p>
        </w:tc>
        <w:tc>
          <w:tcPr/>
          <w:p>
            <w:pPr>
              <w:pStyle w:val="Compact"/>
              <w:jc w:val="left"/>
            </w:pPr>
            <w:r>
              <w:t xml:space="preserve">- No, no.</w:t>
            </w:r>
          </w:p>
        </w:tc>
      </w:tr>
    </w:tbl>
    <w:p>
      <w:pPr>
        <w:pStyle w:val="BodyText"/>
      </w:pPr>
      <w:r>
        <w:t xml:space="preserve">La participación humana no elimina automáticamente la condición de alto riesgo.</w:t>
      </w:r>
    </w:p>
    <w:bookmarkEnd w:id="1469"/>
    <w:bookmarkStart w:id="1470" w:name="Xf7c2e363989bf7d611222748e033b506164ac71"/>
    <w:p>
      <w:pPr>
        <w:pStyle w:val="Heading2"/>
      </w:pPr>
      <w:r>
        <w:rPr>
          <w:rStyle w:val="SectionNumber"/>
        </w:rPr>
        <w:t xml:space="preserve">2.67</w:t>
      </w:r>
      <w:r>
        <w:tab/>
      </w:r>
      <w:r>
        <w:t xml:space="preserve">6. Análisis de las excepciones del apartado 3 del artículo 6</w:t>
      </w:r>
    </w:p>
    <w:p>
      <w:pPr>
        <w:pStyle w:val="FirstParagraph"/>
      </w:pPr>
      <w:r>
        <w:t xml:space="preserve">Un sistema que figura en la lista del anexo III no se excluye simplemente porque un ser humano participe o el proveedor caracterice la función como administrativa.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Ensayo</w:t>
            </w:r>
          </w:p>
        </w:tc>
        <w:tc>
          <w:tcPr/>
          <w:p>
            <w:pPr>
              <w:pStyle w:val="Compact"/>
              <w:jc w:val="left"/>
            </w:pPr>
            <w:r>
              <w:t xml:space="preserve">Respuesta</w:t>
            </w:r>
          </w:p>
        </w:tc>
        <w:tc>
          <w:tcPr/>
          <w:p>
            <w:pPr>
              <w:pStyle w:val="Compact"/>
              <w:jc w:val="left"/>
            </w:pPr>
            <w:r>
              <w:t xml:space="preserve">Pruebas</w:t>
            </w:r>
          </w:p>
        </w:tc>
      </w:tr>
      <w:tr>
        <w:tc>
          <w:tcPr/>
          <w:p>
            <w:pPr>
              <w:pStyle w:val="Compact"/>
              <w:jc w:val="left"/>
            </w:pPr>
            <w:r>
              <w:t xml:space="preserve">¿El sistema plantea un riesgo significativo de daño a la salud, la seguridad o los derechos fundamentales?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¿Influye materialmente en el resultado de la toma de decisiones?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limita el sistema a una tarea de procedimiento limitada?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 Mejora el resultado de una actividad humana previamente completada sin reemplazar o influir materialmente en ese resultado?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¿Detecta patrones de toma de decisiones o desviaciones sin reemplazar o influir en la evaluación humana previa?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 Realiza una tarea preparatoria que no influye materialmente en el resultado?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 sistema realiza perfiles de personas naturales?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¿Son todos hechos, salvaguardias y limitaciones confiables estables en la producción?</w:t>
            </w:r>
          </w:p>
        </w:tc>
        <w:tc>
          <w:tcPr/>
          <w:p>
            <w:pPr>
              <w:pStyle w:val="Compact"/>
              <w:jc w:val="left"/>
            </w:pPr>
            <w:r>
              <w:t xml:space="preserve">- No, no.</w:t>
            </w:r>
          </w:p>
        </w:tc>
        <w:tc>
          <w:tcPr/>
          <w:p>
            <w:pPr>
              <w:pStyle w:val="Compact"/>
              <w:jc w:val="left"/>
            </w:pPr>
            <w:r>
              <w:t xml:space="preserve">- No, no.</w:t>
            </w:r>
          </w:p>
        </w:tc>
      </w:tr>
    </w:tbl>
    <w:p>
      <w:pPr>
        <w:pStyle w:val="BodyText"/>
      </w:pPr>
      <w:r>
        <w:rPr>
          <w:bCs/>
          <w:b/>
        </w:rPr>
        <w:t xml:space="preserve">Advertencia:</w:t>
      </w:r>
      <w:r>
        <w:t xml:space="preserve"> </w:t>
      </w:r>
      <w:r>
        <w:t xml:space="preserve">Cuando el sistema realice perfiles de personas físicas con arreglo a la norma legal, no se basará en la excepción del apartado 3 del artículo 6 sin confirmación legal cualificada.</w:t>
      </w:r>
    </w:p>
    <w:p>
      <w:pPr>
        <w:pStyle w:val="BodyText"/>
      </w:pPr>
      <w:r>
        <w:rPr>
          <w:bCs/>
          <w:b/>
        </w:rPr>
        <w:t xml:space="preserve">Base de excepción:</w:t>
      </w:r>
      <w:r>
        <w:t xml:space="preserve"> </w:t>
      </w:r>
      <w:r>
        <w:t xml:space="preserve">** Hechos que respaldan la excepción:</w:t>
      </w:r>
      <w:r>
        <w:rPr>
          <w:bCs/>
          <w:b/>
        </w:rPr>
        <w:t xml:space="preserve"> </w:t>
      </w:r>
      <w:r>
        <w:t xml:space="preserve"> </w:t>
      </w:r>
      <w:r>
        <w:t xml:space="preserve">Riesgo residual y salvaguardias:</w:t>
      </w:r>
      <w:r>
        <w:rPr>
          <w:bCs/>
          <w:b/>
        </w:rPr>
        <w:t xml:space="preserve"> </w:t>
      </w:r>
      <w:r>
        <w:t xml:space="preserve">Conclusión jurídica**</w:t>
      </w:r>
    </w:p>
    <w:bookmarkEnd w:id="1470"/>
    <w:bookmarkStart w:id="1472" w:name="conclusión-sobre-la-clasificación"/>
    <w:p>
      <w:pPr>
        <w:pStyle w:val="Heading2"/>
      </w:pPr>
      <w:r>
        <w:rPr>
          <w:rStyle w:val="SectionNumber"/>
        </w:rPr>
        <w:t xml:space="preserve">2.68</w:t>
      </w:r>
      <w:r>
        <w:tab/>
      </w:r>
      <w:r>
        <w:t xml:space="preserve">7. Conclusión sobre la clasificación</w:t>
      </w:r>
    </w:p>
    <w:p>
      <w:pPr>
        <w:numPr>
          <w:ilvl w:val="0"/>
          <w:numId w:val="1511"/>
        </w:numPr>
        <w:pStyle w:val="Compact"/>
      </w:pPr>
      <w:r>
        <w:t xml:space="preserve">☐ Alto riesgo con arreglo al artículo 6, apartado 1,/anexo I</w:t>
      </w:r>
    </w:p>
    <w:p>
      <w:pPr>
        <w:numPr>
          <w:ilvl w:val="0"/>
          <w:numId w:val="1511"/>
        </w:numPr>
        <w:pStyle w:val="Compact"/>
      </w:pPr>
      <w:r>
        <w:t xml:space="preserve">☐ Alto riesgo con arreglo al artículo 6, apartado 2, del anexo III</w:t>
      </w:r>
    </w:p>
    <w:p>
      <w:pPr>
        <w:numPr>
          <w:ilvl w:val="0"/>
          <w:numId w:val="1511"/>
        </w:numPr>
        <w:pStyle w:val="Compact"/>
      </w:pPr>
      <w:r>
        <w:t xml:space="preserve">☐ Sistema del anexo III que cumple todas las condiciones de excepción documentadas del apartado 3 del artículo 6</w:t>
      </w:r>
    </w:p>
    <w:p>
      <w:pPr>
        <w:numPr>
          <w:ilvl w:val="0"/>
          <w:numId w:val="1511"/>
        </w:numPr>
        <w:pStyle w:val="Compact"/>
      </w:pPr>
      <w:r>
        <w:t xml:space="preserve">☐ No hay alto riesgo en los hechos verificados</w:t>
      </w:r>
    </w:p>
    <w:p>
      <w:pPr>
        <w:numPr>
          <w:ilvl w:val="0"/>
          <w:numId w:val="1511"/>
        </w:numPr>
        <w:pStyle w:val="Compact"/>
      </w:pPr>
      <w:r>
        <w:t xml:space="preserve">☐ Fuera del ámbito de aplicación actual</w:t>
      </w:r>
    </w:p>
    <w:p>
      <w:pPr>
        <w:numPr>
          <w:ilvl w:val="0"/>
          <w:numId w:val="1511"/>
        </w:numPr>
        <w:pStyle w:val="Compact"/>
      </w:pPr>
      <w:r>
        <w:t xml:space="preserve">☐ Incierto: se requieren pruebas adicionales</w:t>
      </w:r>
    </w:p>
    <w:p>
      <w:pPr>
        <w:numPr>
          <w:ilvl w:val="0"/>
          <w:numId w:val="1511"/>
        </w:numPr>
        <w:pStyle w:val="Compact"/>
      </w:pPr>
      <w:r>
        <w:t xml:space="preserve">☐ Incierto: se requiere una revisión legal cualificada</w:t>
      </w:r>
    </w:p>
    <w:bookmarkStart w:id="1471" w:name="justificación-definitiva"/>
    <w:p>
      <w:pPr>
        <w:pStyle w:val="Heading3"/>
      </w:pPr>
      <w:r>
        <w:rPr>
          <w:rStyle w:val="SectionNumber"/>
        </w:rPr>
        <w:t xml:space="preserve">2.68.1</w:t>
      </w:r>
      <w:r>
        <w:tab/>
      </w:r>
      <w:r>
        <w:t xml:space="preserve">Justificación definitiva</w:t>
      </w:r>
    </w:p>
    <w:p>
      <w:pPr>
        <w:pStyle w:val="FirstParagraph"/>
      </w:pPr>
      <w:r>
        <w:t xml:space="preserve">Documente la ruta jurídica exacta, los hechos, el propósito previsto, el papel de actor, las personas afectadas, la fecha de aplicación, las suposiciones, las incertidumbres y las pruebas que respaldan la conclusión.</w:t>
      </w:r>
    </w:p>
    <w:bookmarkEnd w:id="1471"/>
    <w:bookmarkEnd w:id="1472"/>
    <w:bookmarkStart w:id="1473" w:name="cartografía-de-consecuencias"/>
    <w:p>
      <w:pPr>
        <w:pStyle w:val="Heading2"/>
      </w:pPr>
      <w:r>
        <w:rPr>
          <w:rStyle w:val="SectionNumber"/>
        </w:rPr>
        <w:t xml:space="preserve">2.69</w:t>
      </w:r>
      <w:r>
        <w:tab/>
      </w:r>
      <w:r>
        <w:t xml:space="preserve">8. Cartografía de consecuencias</w:t>
      </w:r>
    </w:p>
    <w:p>
      <w:pPr>
        <w:pStyle w:val="FirstParagraph"/>
      </w:pPr>
      <w:r>
        <w:t xml:space="preserve">Registrar los derechos aplicables por actor y fecha.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Obligación</w:t>
            </w:r>
          </w:p>
        </w:tc>
        <w:tc>
          <w:tcPr/>
          <w:p>
            <w:pPr>
              <w:pStyle w:val="Compact"/>
              <w:jc w:val="left"/>
            </w:pPr>
            <w:r>
              <w:t xml:space="preserve">Actor</w:t>
            </w:r>
          </w:p>
        </w:tc>
        <w:tc>
          <w:tcPr/>
          <w:p>
            <w:pPr>
              <w:pStyle w:val="Compact"/>
              <w:jc w:val="left"/>
            </w:pPr>
            <w:r>
              <w:t xml:space="preserve">¿Se aplica?</w:t>
            </w:r>
          </w:p>
        </w:tc>
        <w:tc>
          <w:tcPr/>
          <w:p>
            <w:pPr>
              <w:pStyle w:val="Compact"/>
              <w:jc w:val="left"/>
            </w:pPr>
            <w:r>
              <w:t xml:space="preserve">Fecha de aplicación</w:t>
            </w:r>
          </w:p>
        </w:tc>
        <w:tc>
          <w:tcPr/>
          <w:p>
            <w:pPr>
              <w:pStyle w:val="Compact"/>
              <w:jc w:val="left"/>
            </w:pPr>
            <w:r>
              <w:t xml:space="preserve">Propietario</w:t>
            </w:r>
          </w:p>
        </w:tc>
        <w:tc>
          <w:tcPr/>
          <w:p>
            <w:pPr>
              <w:pStyle w:val="Compact"/>
              <w:jc w:val="left"/>
            </w:pPr>
            <w:r>
              <w:t xml:space="preserve">Pruebas/situación</w:t>
            </w:r>
          </w:p>
        </w:tc>
      </w:tr>
      <w:tr>
        <w:tc>
          <w:tcPr/>
          <w:p>
            <w:pPr>
              <w:pStyle w:val="Compact"/>
              <w:jc w:val="left"/>
            </w:pPr>
            <w:r>
              <w:t xml:space="preserve">Sistema de gestión de la calidad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 de gestión de riesgos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Gobernanza de los datos y los datos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Documentación técnica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Registro y mantenimiento de registros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Transparencia e instrucciones de uso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Supervisión humana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Precisión, robustez, ciberseguridad y resiliencia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Evaluación de la 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Participación del organismo notificado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Declaración UE de 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Marcado CE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Inscripción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Monitorización y retención de log del deployer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Información o consulta al trabajador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Evaluación de impacto sobre los derechos fundamentales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Evaluación de impacto de la protección de datos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Seguimiento posterior a la comercialización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Notificación de incidentes graves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Acción correctiva, restricción, retirada o retirada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Cooperación y acceso de las autoridades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473"/>
    <w:bookmarkStart w:id="1474" w:name="seguimiento-necesario"/>
    <w:p>
      <w:pPr>
        <w:pStyle w:val="Heading2"/>
      </w:pPr>
      <w:r>
        <w:rPr>
          <w:rStyle w:val="SectionNumber"/>
        </w:rPr>
        <w:t xml:space="preserve">2.70</w:t>
      </w:r>
      <w:r>
        <w:tab/>
      </w:r>
      <w:r>
        <w:t xml:space="preserve">9. Seguimiento necesario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Situación</w:t>
            </w:r>
          </w:p>
        </w:tc>
        <w:tc>
          <w:tcPr/>
          <w:p>
            <w:pPr>
              <w:pStyle w:val="Compact"/>
              <w:jc w:val="left"/>
            </w:pPr>
            <w:r>
              <w:t xml:space="preserve">Pruebas de cierre</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Ninguna decisión de preparación interna podrá sustituir a una evaluación de la conformidad, registro, declaración, marcado CE, proceso del organismo notificado, decisión de la autoridad o aprobación sectorial legalmente requerida.</w:t>
      </w:r>
    </w:p>
    <w:bookmarkEnd w:id="1474"/>
    <w:bookmarkStart w:id="1475" w:name="detonadores-de-la-revisión-1"/>
    <w:p>
      <w:pPr>
        <w:pStyle w:val="Heading2"/>
      </w:pPr>
      <w:r>
        <w:rPr>
          <w:rStyle w:val="SectionNumber"/>
        </w:rPr>
        <w:t xml:space="preserve">2.71</w:t>
      </w:r>
      <w:r>
        <w:tab/>
      </w:r>
      <w:r>
        <w:t xml:space="preserve">10. Detonadores de la revisión</w:t>
      </w:r>
    </w:p>
    <w:p>
      <w:pPr>
        <w:pStyle w:val="FirstParagraph"/>
      </w:pPr>
      <w:r>
        <w:t xml:space="preserve">Volver a evaluar después de:</w:t>
      </w:r>
    </w:p>
    <w:p>
      <w:pPr>
        <w:numPr>
          <w:ilvl w:val="0"/>
          <w:numId w:val="1512"/>
        </w:numPr>
        <w:pStyle w:val="Compact"/>
      </w:pPr>
      <w:r>
        <w:t xml:space="preserve">cambio de destino o de uso real;</w:t>
      </w:r>
    </w:p>
    <w:p>
      <w:pPr>
        <w:numPr>
          <w:ilvl w:val="0"/>
          <w:numId w:val="1512"/>
        </w:numPr>
        <w:pStyle w:val="Compact"/>
      </w:pPr>
      <w:r>
        <w:t xml:space="preserve">función de actor, marca, colocación de su propio nombre o cambio de entidad jurídica;</w:t>
      </w:r>
    </w:p>
    <w:p>
      <w:pPr>
        <w:numPr>
          <w:ilvl w:val="0"/>
          <w:numId w:val="1512"/>
        </w:numPr>
        <w:pStyle w:val="Compact"/>
      </w:pPr>
      <w:r>
        <w:t xml:space="preserve">modelo, versión, datos, rapidez, herramienta, flujo de trabajo, interfaz o cambio de autonomía;</w:t>
      </w:r>
    </w:p>
    <w:p>
      <w:pPr>
        <w:numPr>
          <w:ilvl w:val="0"/>
          <w:numId w:val="1512"/>
        </w:numPr>
        <w:pStyle w:val="Compact"/>
      </w:pPr>
      <w:r>
        <w:t xml:space="preserve">nuevo proveedor, proveedor, subprocesador o componente de código abierto;</w:t>
      </w:r>
    </w:p>
    <w:p>
      <w:pPr>
        <w:numPr>
          <w:ilvl w:val="0"/>
          <w:numId w:val="1512"/>
        </w:numPr>
        <w:pStyle w:val="Compact"/>
      </w:pPr>
      <w:r>
        <w:t xml:space="preserve">cambios en la supervisión humana, la dotación de personal, la autoridad o el proceso de decisión;</w:t>
      </w:r>
    </w:p>
    <w:p>
      <w:pPr>
        <w:numPr>
          <w:ilvl w:val="0"/>
          <w:numId w:val="1512"/>
        </w:numPr>
        <w:pStyle w:val="Compact"/>
      </w:pPr>
      <w:r>
        <w:t xml:space="preserve">nueva población, sector, producto o jurisdicción afectados;</w:t>
      </w:r>
    </w:p>
    <w:p>
      <w:pPr>
        <w:numPr>
          <w:ilvl w:val="0"/>
          <w:numId w:val="1512"/>
        </w:numPr>
        <w:pStyle w:val="Compact"/>
      </w:pPr>
      <w:r>
        <w:t xml:space="preserve">incidentes, quejas, sesgos, problemas de auditoría o falta de criterio de aceptación;</w:t>
      </w:r>
    </w:p>
    <w:p>
      <w:pPr>
        <w:numPr>
          <w:ilvl w:val="0"/>
          <w:numId w:val="1512"/>
        </w:numPr>
        <w:pStyle w:val="Compact"/>
      </w:pPr>
      <w:r>
        <w:t xml:space="preserve">modificaciones sustanciales o repurposing;</w:t>
      </w:r>
    </w:p>
    <w:p>
      <w:pPr>
        <w:numPr>
          <w:ilvl w:val="0"/>
          <w:numId w:val="1512"/>
        </w:numPr>
        <w:pStyle w:val="Compact"/>
      </w:pPr>
      <w:r>
        <w:t xml:space="preserve">modificación de la ruta de conformidad o de la legislación sobre productos;</w:t>
      </w:r>
    </w:p>
    <w:p>
      <w:pPr>
        <w:numPr>
          <w:ilvl w:val="0"/>
          <w:numId w:val="1512"/>
        </w:numPr>
        <w:pStyle w:val="Compact"/>
      </w:pPr>
      <w:r>
        <w:t xml:space="preserve">cambio legal, regulatorio, de ejecución, autoridad, estándar o código.</w:t>
      </w:r>
    </w:p>
    <w:bookmarkEnd w:id="1475"/>
    <w:bookmarkStart w:id="1476" w:name="Xa69bd244596a540031e998fc3b5abeeea43e465"/>
    <w:p>
      <w:pPr>
        <w:pStyle w:val="Heading2"/>
      </w:pPr>
      <w:r>
        <w:rPr>
          <w:rStyle w:val="SectionNumber"/>
        </w:rPr>
        <w:t xml:space="preserve">2.72</w:t>
      </w:r>
      <w:r>
        <w:tab/>
      </w:r>
      <w:r>
        <w:t xml:space="preserve">Ejemplo de servicios de viajes de GlobalWay</w:t>
      </w:r>
    </w:p>
    <w:p>
      <w:pPr>
        <w:pStyle w:val="FirstParagraph"/>
      </w:pPr>
      <w:r>
        <w:t xml:space="preserve">GlobalWay evalúa un sistema de asignación de empleados utilizado para clasificar a los trabajadores para asignaciones. El uso previsto se asigna a una categoría de empleo del Anexo III. Aunque los gerentes aprueban las asignaciones finales, las pruebas muestran que el ranking influye materialmente en las decisiones y rara vez se anula. El proveedor también realiza perfiles. GlobalWay clasifica el sistema como de alto riesgo, bloquea la liberación hasta que se mapean las funciones de proveedor e implementación aplicables, e inicia la documentación, pruebas, supervisión, FRIA/DPIA, conformidad, monitoreo y trabajo de reparación de proveedores.</w:t>
      </w:r>
    </w:p>
    <w:bookmarkEnd w:id="1476"/>
    <w:bookmarkStart w:id="1477" w:name="homologación-2"/>
    <w:p>
      <w:pPr>
        <w:pStyle w:val="Heading2"/>
      </w:pPr>
      <w:r>
        <w:rPr>
          <w:rStyle w:val="SectionNumber"/>
        </w:rPr>
        <w:t xml:space="preserve">2.73</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Revisor jurídico cualificado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Cumplimiento/riesgo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técnico/producto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 de los productos o especialista en el sector,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rPr>
          <w:bCs/>
          <w:b/>
        </w:rPr>
        <w:t xml:space="preserve">Supuestos e incertidumbre:</w:t>
      </w:r>
      <w:r>
        <w:t xml:space="preserve"> </w:t>
      </w:r>
      <w:r>
        <w:t xml:space="preserve">** Referencias de pruebas:</w:t>
      </w:r>
      <w:r>
        <w:rPr>
          <w:bCs/>
          <w:b/>
        </w:rPr>
        <w:t xml:space="preserve"> </w:t>
      </w:r>
      <w:r>
        <w:t xml:space="preserve">Condiciones o restricciones:</w:t>
      </w:r>
      <w:r>
        <w:rPr>
          <w:bCs/>
          <w:b/>
        </w:rPr>
        <w:t xml:space="preserve"> </w:t>
      </w:r>
      <w:r>
        <w:t xml:space="preserve">Pedido/fecha de la próxima revisión:</w:t>
      </w:r>
      <w:r>
        <w:rPr>
          <w:bCs/>
          <w:b/>
        </w:rPr>
        <w:t xml:space="preserve"> </w:t>
      </w:r>
      <w:r>
        <w:t xml:space="preserve"> </w:t>
      </w:r>
      <w:r>
        <w:t xml:space="preserve">Versión de evaluación:**</w:t>
      </w:r>
    </w:p>
    <w:bookmarkEnd w:id="1477"/>
    <w:bookmarkStart w:id="1478" w:name="referencias-jurídicas-primarias-111"/>
    <w:p>
      <w:pPr>
        <w:pStyle w:val="Heading2"/>
      </w:pPr>
      <w:r>
        <w:rPr>
          <w:rStyle w:val="SectionNumber"/>
        </w:rPr>
        <w:t xml:space="preserve">2.74</w:t>
      </w:r>
      <w:r>
        <w:tab/>
      </w:r>
      <w:r>
        <w:t xml:space="preserve">Referencias jurídicas primarias</w:t>
      </w:r>
    </w:p>
    <w:p>
      <w:pPr>
        <w:numPr>
          <w:ilvl w:val="0"/>
          <w:numId w:val="1513"/>
        </w:numPr>
        <w:pStyle w:val="Compact"/>
      </w:pPr>
      <w:r>
        <w:t xml:space="preserve">Reglamento (UE) 2024/1689, en su versión modificada: artículo 6, anexo I, anexo III, definiciones pertinentes, obligaciones de los agentes, requisitos de alto riesgo, conformidad, registro, seguimiento, incidente, medidas correctoras y disposiciones de ejecución.</w:t>
      </w:r>
    </w:p>
    <w:p>
      <w:pPr>
        <w:numPr>
          <w:ilvl w:val="0"/>
          <w:numId w:val="1513"/>
        </w:numPr>
        <w:pStyle w:val="Compact"/>
      </w:pPr>
      <w:r>
        <w:t xml:space="preserve">Reglamento (UE) 2026/1744, en su caso, incluido el calendario modificado y el tratamiento transitorio.</w:t>
      </w:r>
    </w:p>
    <w:p>
      <w:pPr>
        <w:numPr>
          <w:ilvl w:val="0"/>
          <w:numId w:val="1513"/>
        </w:numPr>
        <w:pStyle w:val="Compact"/>
      </w:pPr>
      <w:r>
        <w:t xml:space="preserve">Legislación aplicable sobre productos del anexo I y legislación nacional o sectorial.</w:t>
      </w:r>
    </w:p>
    <w:p>
      <w:pPr>
        <w:numPr>
          <w:ilvl w:val="0"/>
          <w:numId w:val="1513"/>
        </w:numPr>
        <w:pStyle w:val="Compact"/>
      </w:pPr>
      <w:r>
        <w:t xml:space="preserve">El actual texto consolidado de EUR-Lex y las fuentes oficiales de Derecho de productos controlan los resúmenes internos.</w:t>
      </w:r>
    </w:p>
    <w:bookmarkEnd w:id="1478"/>
    <w:bookmarkStart w:id="1479" w:name="X4b609caa729544251a66a53be4f06e1ac34ecb5"/>
    <w:p>
      <w:pPr>
        <w:pStyle w:val="Heading2"/>
      </w:pPr>
      <w:r>
        <w:rPr>
          <w:rStyle w:val="SectionNumber"/>
        </w:rPr>
        <w:t xml:space="preserve">2.75</w:t>
      </w:r>
      <w:r>
        <w:tab/>
      </w:r>
      <w:r>
        <w:t xml:space="preserve">Apéndice F — Hoja de trabajo sobre evaluación de funciones</w:t>
      </w:r>
    </w:p>
    <w:p>
      <w:pPr>
        <w:pStyle w:val="BlockText"/>
      </w:pPr>
      <w:r>
        <w:rPr>
          <w:bCs/>
          <w:b/>
        </w:rPr>
        <w:t xml:space="preserve">Situación legal:</w:t>
      </w:r>
      <w:r>
        <w:t xml:space="preserve"> </w:t>
      </w:r>
      <w:r>
        <w:t xml:space="preserve">master inglés corregido para consolidación. Este archivo controla el idioma anterior del Apéndice F en conflicto. La clasificación del rol debe reflejar la conducta real, la actividad del mercado, la marca, la modificación, la integración y el control operativo, no solo las etiquetas contractuales.</w:t>
      </w:r>
    </w:p>
    <w:bookmarkEnd w:id="1479"/>
    <w:bookmarkStart w:id="1480" w:name="finalidad-22"/>
    <w:p>
      <w:pPr>
        <w:pStyle w:val="Heading2"/>
      </w:pPr>
      <w:r>
        <w:rPr>
          <w:rStyle w:val="SectionNumber"/>
        </w:rPr>
        <w:t xml:space="preserve">2.76</w:t>
      </w:r>
      <w:r>
        <w:tab/>
      </w:r>
      <w:r>
        <w:t xml:space="preserve">Finalidad</w:t>
      </w:r>
    </w:p>
    <w:p>
      <w:pPr>
        <w:pStyle w:val="FirstParagraph"/>
      </w:pPr>
      <w:r>
        <w:t xml:space="preserve">Utilice esta hoja de trabajo para determinar el papel de cada entidad legal para un sistema de IA, modelo GPAI, integración de productos y jurisdicción. La clasificación de roles impulsa las obligaciones aplicables, requisitos de evidencia, contratos, responsabilidad, actividades de conformidad, monitoreo, deberes de incidentes y relaciones de autoridad.</w:t>
      </w:r>
    </w:p>
    <w:p>
      <w:pPr>
        <w:pStyle w:val="BodyText"/>
      </w:pPr>
      <w:r>
        <w:t xml:space="preserve">Una entidad puede tener múltiples roles al mismo tiempo o diferentes roles en diferentes jurisdicciones, productos, versiones o transacciones.</w:t>
      </w:r>
    </w:p>
    <w:bookmarkEnd w:id="1480"/>
    <w:bookmarkStart w:id="1481" w:name="información-sobre-la-evaluación"/>
    <w:p>
      <w:pPr>
        <w:pStyle w:val="Heading2"/>
      </w:pPr>
      <w:r>
        <w:rPr>
          <w:rStyle w:val="SectionNumber"/>
        </w:rPr>
        <w:t xml:space="preserve">2.77</w:t>
      </w:r>
      <w:r>
        <w:tab/>
      </w:r>
      <w:r>
        <w:t xml:space="preserve">1. Información sobre la evaluación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Sistema o modelo</w:t>
            </w:r>
          </w:p>
        </w:tc>
        <w:tc>
          <w:tcPr/>
          <w:p>
            <w:pPr>
              <w:pStyle w:val="Compact"/>
              <w:jc w:val="left"/>
            </w:pPr>
            <w:r>
              <w:t xml:space="preserve">- No, no.</w:t>
            </w:r>
          </w:p>
        </w:tc>
      </w:tr>
      <w:tr>
        <w:tc>
          <w:tcPr/>
          <w:p>
            <w:pPr>
              <w:pStyle w:val="Compact"/>
              <w:jc w:val="left"/>
            </w:pPr>
            <w:r>
              <w:t xml:space="preserve">ID de inventario</w:t>
            </w:r>
          </w:p>
        </w:tc>
        <w:tc>
          <w:tcPr/>
          <w:p>
            <w:pPr>
              <w:pStyle w:val="Compact"/>
              <w:jc w:val="left"/>
            </w:pPr>
            <w:r>
              <w:t xml:space="preserve">- No, no.</w:t>
            </w:r>
          </w:p>
        </w:tc>
      </w:tr>
      <w:tr>
        <w:tc>
          <w:tcPr/>
          <w:p>
            <w:pPr>
              <w:pStyle w:val="Compact"/>
              <w:jc w:val="left"/>
            </w:pPr>
            <w:r>
              <w:t xml:space="preserve">Versión/configuración evaluada</w:t>
            </w:r>
          </w:p>
        </w:tc>
        <w:tc>
          <w:tcPr/>
          <w:p>
            <w:pPr>
              <w:pStyle w:val="Compact"/>
              <w:jc w:val="left"/>
            </w:pPr>
            <w:r>
              <w:t xml:space="preserve">- No, no.</w:t>
            </w:r>
          </w:p>
        </w:tc>
      </w:tr>
      <w:tr>
        <w:tc>
          <w:tcPr/>
          <w:p>
            <w:pPr>
              <w:pStyle w:val="Compact"/>
              <w:jc w:val="left"/>
            </w:pPr>
            <w:r>
              <w:t xml:space="preserve">Entidad jurídica evaluada</w:t>
            </w:r>
          </w:p>
        </w:tc>
        <w:tc>
          <w:tcPr/>
          <w:p>
            <w:pPr>
              <w:pStyle w:val="Compact"/>
              <w:jc w:val="left"/>
            </w:pPr>
            <w:r>
              <w:t xml:space="preserve">- No, no.</w:t>
            </w:r>
          </w:p>
        </w:tc>
      </w:tr>
      <w:tr>
        <w:tc>
          <w:tcPr/>
          <w:p>
            <w:pPr>
              <w:pStyle w:val="Compact"/>
              <w:jc w:val="left"/>
            </w:pPr>
            <w:r>
              <w:t xml:space="preserve">Entidades jurídicas conexas</w:t>
            </w:r>
          </w:p>
        </w:tc>
        <w:tc>
          <w:tcPr/>
          <w:p>
            <w:pPr>
              <w:pStyle w:val="Compact"/>
              <w:jc w:val="left"/>
            </w:pPr>
            <w:r>
              <w:t xml:space="preserve">- No, no.</w:t>
            </w:r>
          </w:p>
        </w:tc>
      </w:tr>
      <w:tr>
        <w:tc>
          <w:tcPr/>
          <w:p>
            <w:pPr>
              <w:pStyle w:val="Compact"/>
              <w:jc w:val="left"/>
            </w:pPr>
            <w:r>
              <w:t xml:space="preserve">Competencia</w:t>
            </w:r>
          </w:p>
        </w:tc>
        <w:tc>
          <w:tcPr/>
          <w:p>
            <w:pPr>
              <w:pStyle w:val="Compact"/>
              <w:jc w:val="left"/>
            </w:pPr>
            <w:r>
              <w:t xml:space="preserve">- No, no.</w:t>
            </w:r>
          </w:p>
        </w:tc>
      </w:tr>
      <w:tr>
        <w:tc>
          <w:tcPr/>
          <w:p>
            <w:pPr>
              <w:pStyle w:val="Compact"/>
              <w:jc w:val="left"/>
            </w:pPr>
            <w:r>
              <w:t xml:space="preserve">Finalidad prevista</w:t>
            </w:r>
          </w:p>
        </w:tc>
        <w:tc>
          <w:tcPr/>
          <w:p>
            <w:pPr>
              <w:pStyle w:val="Compact"/>
              <w:jc w:val="left"/>
            </w:pPr>
            <w:r>
              <w:t xml:space="preserve">- No, no.</w:t>
            </w:r>
          </w:p>
        </w:tc>
      </w:tr>
      <w:tr>
        <w:tc>
          <w:tcPr/>
          <w:p>
            <w:pPr>
              <w:pStyle w:val="Compact"/>
              <w:jc w:val="left"/>
            </w:pPr>
            <w:r>
              <w:t xml:space="preserve">Uso real o propuesto</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r>
      <w:tr>
        <w:tc>
          <w:tcPr/>
          <w:p>
            <w:pPr>
              <w:pStyle w:val="Compact"/>
              <w:jc w:val="left"/>
            </w:pPr>
            <w:r>
              <w:t xml:space="preserve">Propietario técnico</w:t>
            </w:r>
          </w:p>
        </w:tc>
        <w:tc>
          <w:tcPr/>
          <w:p>
            <w:pPr>
              <w:pStyle w:val="Compact"/>
              <w:jc w:val="left"/>
            </w:pPr>
            <w:r>
              <w:t xml:space="preserve">- No, no.</w:t>
            </w:r>
          </w:p>
        </w:tc>
      </w:tr>
      <w:tr>
        <w:tc>
          <w:tcPr/>
          <w:p>
            <w:pPr>
              <w:pStyle w:val="Compact"/>
              <w:jc w:val="left"/>
            </w:pPr>
            <w:r>
              <w:t xml:space="preserve">Actores ascendentes y descendentes</w:t>
            </w:r>
          </w:p>
        </w:tc>
        <w:tc>
          <w:tcPr/>
          <w:p>
            <w:pPr>
              <w:pStyle w:val="Compact"/>
              <w:jc w:val="left"/>
            </w:pPr>
            <w:r>
              <w:t xml:space="preserve">- No, no.</w:t>
            </w:r>
          </w:p>
        </w:tc>
      </w:tr>
      <w:tr>
        <w:tc>
          <w:tcPr/>
          <w:p>
            <w:pPr>
              <w:pStyle w:val="Compact"/>
              <w:jc w:val="left"/>
            </w:pPr>
            <w:r>
              <w:t xml:space="preserve">Integración de productos o servicios</w:t>
            </w:r>
          </w:p>
        </w:tc>
        <w:tc>
          <w:tcPr/>
          <w:p>
            <w:pPr>
              <w:pStyle w:val="Compact"/>
              <w:jc w:val="left"/>
            </w:pPr>
            <w:r>
              <w:t xml:space="preserve">- No, no.</w:t>
            </w:r>
          </w:p>
        </w:tc>
      </w:tr>
      <w:tr>
        <w:tc>
          <w:tcPr/>
          <w:p>
            <w:pPr>
              <w:pStyle w:val="Compact"/>
              <w:jc w:val="left"/>
            </w:pPr>
            <w:r>
              <w:t xml:space="preserve">Titular de la evaluación y fecha</w:t>
            </w:r>
          </w:p>
        </w:tc>
        <w:tc>
          <w:tcPr/>
          <w:p>
            <w:pPr>
              <w:pStyle w:val="Compact"/>
              <w:jc w:val="left"/>
            </w:pPr>
            <w:r>
              <w:t xml:space="preserve">- No, no.</w:t>
            </w:r>
          </w:p>
        </w:tc>
      </w:tr>
      <w:tr>
        <w:tc>
          <w:tcPr/>
          <w:p>
            <w:pPr>
              <w:pStyle w:val="Compact"/>
              <w:jc w:val="left"/>
            </w:pPr>
            <w:r>
              <w:t xml:space="preserve">Revisor jurídico</w:t>
            </w:r>
          </w:p>
        </w:tc>
        <w:tc>
          <w:tcPr/>
          <w:p>
            <w:pPr>
              <w:pStyle w:val="Compact"/>
              <w:jc w:val="left"/>
            </w:pPr>
            <w:r>
              <w:t xml:space="preserve">- No, no.</w:t>
            </w:r>
          </w:p>
        </w:tc>
      </w:tr>
      <w:tr>
        <w:tc>
          <w:tcPr/>
          <w:p>
            <w:pPr>
              <w:pStyle w:val="Compact"/>
              <w:jc w:val="left"/>
            </w:pPr>
            <w:r>
              <w:t xml:space="preserve">Fuente jurídica oficial/versión</w:t>
            </w:r>
          </w:p>
        </w:tc>
        <w:tc>
          <w:tcPr/>
          <w:p>
            <w:pPr>
              <w:pStyle w:val="Compact"/>
              <w:jc w:val="left"/>
            </w:pPr>
            <w:r>
              <w:t xml:space="preserve">- No, no.</w:t>
            </w:r>
          </w:p>
        </w:tc>
      </w:tr>
    </w:tbl>
    <w:bookmarkEnd w:id="1481"/>
    <w:bookmarkStart w:id="1482" w:name="mapa-de-la-cadena-de-valor"/>
    <w:p>
      <w:pPr>
        <w:pStyle w:val="Heading2"/>
      </w:pPr>
      <w:r>
        <w:rPr>
          <w:rStyle w:val="SectionNumber"/>
        </w:rPr>
        <w:t xml:space="preserve">2.78</w:t>
      </w:r>
      <w:r>
        <w:tab/>
      </w:r>
      <w:r>
        <w:t xml:space="preserve">2. Mapa de la cadena de valor</w:t>
      </w:r>
    </w:p>
    <w:p>
      <w:pPr>
        <w:pStyle w:val="FirstParagraph"/>
      </w:pPr>
      <w:r>
        <w:t xml:space="preserve">Identificar quién desarrolla, encarga, marca, mercado, pone en el mercado, pone en servicio, importa, distribuye, integra, despliega, modifica, monitorea, apoya, suspende, recuerda o retira el sistema o modelo.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Actividad</w:t>
            </w:r>
          </w:p>
        </w:tc>
        <w:tc>
          <w:tcPr/>
          <w:p>
            <w:pPr>
              <w:pStyle w:val="Compact"/>
              <w:jc w:val="left"/>
            </w:pPr>
            <w:r>
              <w:t xml:space="preserve">Entidad</w:t>
            </w:r>
          </w:p>
        </w:tc>
        <w:tc>
          <w:tcPr/>
          <w:p>
            <w:pPr>
              <w:pStyle w:val="Compact"/>
              <w:jc w:val="left"/>
            </w:pPr>
            <w:r>
              <w:t xml:space="preserve">Competencia</w:t>
            </w:r>
          </w:p>
        </w:tc>
        <w:tc>
          <w:tcPr/>
          <w:p>
            <w:pPr>
              <w:pStyle w:val="Compact"/>
              <w:jc w:val="left"/>
            </w:pPr>
            <w:r>
              <w:t xml:space="preserve">Posición contractual</w:t>
            </w:r>
          </w:p>
        </w:tc>
        <w:tc>
          <w:tcPr/>
          <w:p>
            <w:pPr>
              <w:pStyle w:val="Compact"/>
              <w:jc w:val="left"/>
            </w:pPr>
            <w:r>
              <w:t xml:space="preserve">Conducta real</w:t>
            </w:r>
          </w:p>
        </w:tc>
        <w:tc>
          <w:tcPr/>
          <w:p>
            <w:pPr>
              <w:pStyle w:val="Compact"/>
              <w:jc w:val="left"/>
            </w:pPr>
            <w:r>
              <w:t xml:space="preserve">Pruebas</w:t>
            </w:r>
          </w:p>
        </w:tc>
      </w:tr>
      <w:tr>
        <w:tc>
          <w:tcPr/>
          <w:p>
            <w:pPr>
              <w:pStyle w:val="Compact"/>
              <w:jc w:val="left"/>
            </w:pPr>
            <w:r>
              <w:t xml:space="preserve">Desarrollo o encargo de desarrollo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Disposición modelo del GPAI</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Suministro de sistemas de 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Marca o colocación de su propio nombre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Colocación en el mercado de Unión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Puesta en servicio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Importar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Distribución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Integración de productos o componentes de seguridad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Despliegue y utilización operacional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Configuración y control de acceso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Afinación, modificación o repurposición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Control de datos, prompt, herramienta o agente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Vigilancia y apoyo en caso de incidentes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Comunicaciones de la autoridad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Suspensión, retirada, retirada o salida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482"/>
    <w:bookmarkStart w:id="1491" w:name="pruebas-de-la-función"/>
    <w:p>
      <w:pPr>
        <w:pStyle w:val="Heading2"/>
      </w:pPr>
      <w:r>
        <w:rPr>
          <w:rStyle w:val="SectionNumber"/>
        </w:rPr>
        <w:t xml:space="preserve">2.79</w:t>
      </w:r>
      <w:r>
        <w:tab/>
      </w:r>
      <w:r>
        <w:t xml:space="preserve">3. Pruebas de la función</w:t>
      </w:r>
    </w:p>
    <w:bookmarkStart w:id="1483" w:name="proveedor-de-un-sistema-de-ia"/>
    <w:p>
      <w:pPr>
        <w:pStyle w:val="Heading3"/>
      </w:pPr>
      <w:r>
        <w:rPr>
          <w:rStyle w:val="SectionNumber"/>
        </w:rPr>
        <w:t xml:space="preserve">2.79.1</w:t>
      </w:r>
      <w:r>
        <w:tab/>
      </w:r>
      <w:r>
        <w:t xml:space="preserve">Proveedor de un sistema de 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Desarrolla o ha desarrollado el sistema de IA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Lo comercializa bajo su nombre o marca comercial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Lo pone en servicio bajo su nombre o marca comercial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Adquiere obligaciones de proveedor a través de la colocación de marca propia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Realiza una modificación sustancial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Cambios en la finalidad prevista de manera jurídicamente material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Integra componentes en un sistema que proporciona bajo su propia responsabilidad</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Controla la documentación del proveedor, la liberación, la conformidad, el registro o las obligaciones post-comercialización</w:t>
            </w:r>
          </w:p>
        </w:tc>
        <w:tc>
          <w:tcPr/>
          <w:p>
            <w:pPr>
              <w:pStyle w:val="Compact"/>
              <w:jc w:val="left"/>
            </w:pPr>
            <w:r>
              <w:t xml:space="preserve">- No, no.</w:t>
            </w:r>
          </w:p>
        </w:tc>
        <w:tc>
          <w:tcPr/>
          <w:p>
            <w:pPr>
              <w:pStyle w:val="Compact"/>
              <w:jc w:val="left"/>
            </w:pPr>
            <w:r>
              <w:t xml:space="preserve">- No, no.</w:t>
            </w:r>
          </w:p>
        </w:tc>
      </w:tr>
    </w:tbl>
    <w:bookmarkEnd w:id="1483"/>
    <w:bookmarkStart w:id="1484" w:name="proveedor-de-un-modelo-gpai"/>
    <w:p>
      <w:pPr>
        <w:pStyle w:val="Heading3"/>
      </w:pPr>
      <w:r>
        <w:rPr>
          <w:rStyle w:val="SectionNumber"/>
        </w:rPr>
        <w:t xml:space="preserve">2.79.2</w:t>
      </w:r>
      <w:r>
        <w:tab/>
      </w:r>
      <w:r>
        <w:t xml:space="preserve">Proveedor de un modelo GPAI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Desarrolla o ha desarrollado el modelo GPAI</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Coloca el modelo GPAI en el mercado de la Unión bajo su nombre o marca comercial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Controla la documentación del proveedor de modelos e información posterior</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Controla la política de conformidad con los derechos de autor y el resumen de contenidos de formación, cuando proceda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Controla las funciones de evaluación, mitigación, ciberseguridad, incidentes o notificación de riesgos sistémicos, cuando proceda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Realiza cambios que pueden crear o transferir las responsabilidades del proveedor de GPAI</w:t>
            </w:r>
          </w:p>
        </w:tc>
        <w:tc>
          <w:tcPr/>
          <w:p>
            <w:pPr>
              <w:pStyle w:val="Compact"/>
              <w:jc w:val="left"/>
            </w:pPr>
            <w:r>
              <w:t xml:space="preserve">- No, no.</w:t>
            </w:r>
          </w:p>
        </w:tc>
        <w:tc>
          <w:tcPr/>
          <w:p>
            <w:pPr>
              <w:pStyle w:val="Compact"/>
              <w:jc w:val="left"/>
            </w:pPr>
            <w:r>
              <w:t xml:space="preserve">- No, no.</w:t>
            </w:r>
          </w:p>
        </w:tc>
      </w:tr>
    </w:tbl>
    <w:bookmarkEnd w:id="1484"/>
    <w:bookmarkStart w:id="1485" w:name="proveedor-de-aguas-abajo"/>
    <w:p>
      <w:pPr>
        <w:pStyle w:val="Heading3"/>
      </w:pPr>
      <w:r>
        <w:rPr>
          <w:rStyle w:val="SectionNumber"/>
        </w:rPr>
        <w:t xml:space="preserve">2.79.3</w:t>
      </w:r>
      <w:r>
        <w:tab/>
      </w:r>
      <w:r>
        <w:t xml:space="preserve">Proveedor de aguas abajo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Integra un modelo GPAI en un sistema de IA que desarrolla o proporciona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Controla el propósito, el diseño, la liberación o la marca del sistema descendente</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basa en la documentación previa para cumplir las obligaciones posteriores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Afina, adapta o combina los modelos de una manera que cambia las responsabilidades</w:t>
            </w:r>
          </w:p>
        </w:tc>
        <w:tc>
          <w:tcPr/>
          <w:p>
            <w:pPr>
              <w:pStyle w:val="Compact"/>
              <w:jc w:val="left"/>
            </w:pPr>
            <w:r>
              <w:t xml:space="preserve">- No, no.</w:t>
            </w:r>
          </w:p>
        </w:tc>
        <w:tc>
          <w:tcPr/>
          <w:p>
            <w:pPr>
              <w:pStyle w:val="Compact"/>
              <w:jc w:val="left"/>
            </w:pPr>
            <w:r>
              <w:t xml:space="preserve">- No, no.</w:t>
            </w:r>
          </w:p>
        </w:tc>
      </w:tr>
    </w:tbl>
    <w:bookmarkEnd w:id="1485"/>
    <w:bookmarkStart w:id="1486" w:name="deployer-1"/>
    <w:p>
      <w:pPr>
        <w:pStyle w:val="Heading3"/>
      </w:pPr>
      <w:r>
        <w:rPr>
          <w:rStyle w:val="SectionNumber"/>
        </w:rPr>
        <w:t xml:space="preserve">2.79.4</w:t>
      </w:r>
      <w:r>
        <w:tab/>
      </w:r>
      <w:r>
        <w:t xml:space="preserve">Deployer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Utiliza el sistema bajo su autoridad</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Lo utiliza en un contexto profesional u organizacional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Controla la configuración operativa, el acceso, el flujo de trabajo o la supervisión humana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Utiliza salidas para tomar o influenciar decisiones que afecten a trabajadores, solicitantes, clientes, viajeros u otros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Monitoriza la operación, retiene registros o responde a incidentes en el contexto del despliegue</w:t>
            </w:r>
          </w:p>
        </w:tc>
        <w:tc>
          <w:tcPr/>
          <w:p>
            <w:pPr>
              <w:pStyle w:val="Compact"/>
              <w:jc w:val="left"/>
            </w:pPr>
            <w:r>
              <w:t xml:space="preserve">- No, no.</w:t>
            </w:r>
          </w:p>
        </w:tc>
        <w:tc>
          <w:tcPr/>
          <w:p>
            <w:pPr>
              <w:pStyle w:val="Compact"/>
              <w:jc w:val="left"/>
            </w:pPr>
            <w:r>
              <w:t xml:space="preserve">- No, no.</w:t>
            </w:r>
          </w:p>
        </w:tc>
      </w:tr>
    </w:tbl>
    <w:bookmarkEnd w:id="1486"/>
    <w:bookmarkStart w:id="1487" w:name="importador"/>
    <w:p>
      <w:pPr>
        <w:pStyle w:val="Heading3"/>
      </w:pPr>
      <w:r>
        <w:rPr>
          <w:rStyle w:val="SectionNumber"/>
        </w:rPr>
        <w:t xml:space="preserve">2.79.5</w:t>
      </w:r>
      <w:r>
        <w:tab/>
      </w:r>
      <w:r>
        <w:t xml:space="preserve">Importador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Está establecido o situado en la Unión según lo dispuesto en la definición legal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Comercialización en la Unión de un sistema que lleve el nombre o la marca comercial de un proveedor no perteneciente a la Unión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Realiza tareas de verificación previa al mercado, documentación, registro o cooperación con las autoridades asociadas con la importación</w:t>
            </w:r>
          </w:p>
        </w:tc>
        <w:tc>
          <w:tcPr/>
          <w:p>
            <w:pPr>
              <w:pStyle w:val="Compact"/>
              <w:jc w:val="left"/>
            </w:pPr>
            <w:r>
              <w:t xml:space="preserve">- No, no.</w:t>
            </w:r>
          </w:p>
        </w:tc>
        <w:tc>
          <w:tcPr/>
          <w:p>
            <w:pPr>
              <w:pStyle w:val="Compact"/>
              <w:jc w:val="left"/>
            </w:pPr>
            <w:r>
              <w:t xml:space="preserve">- No, no.</w:t>
            </w:r>
          </w:p>
        </w:tc>
      </w:tr>
    </w:tbl>
    <w:bookmarkEnd w:id="1487"/>
    <w:bookmarkStart w:id="1488" w:name="distribuidor"/>
    <w:p>
      <w:pPr>
        <w:pStyle w:val="Heading3"/>
      </w:pPr>
      <w:r>
        <w:rPr>
          <w:rStyle w:val="SectionNumber"/>
        </w:rPr>
        <w:t xml:space="preserve">2.79.6</w:t>
      </w:r>
      <w:r>
        <w:tab/>
      </w:r>
      <w:r>
        <w:t xml:space="preserve">Distribuidor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Hace disponible un sistema de IA en el mercado de la Unión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No es ni el proveedor ni el importador de esa actividad</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Controla la distribución de la cadena de suministro, la disponibilidad, el almacenamiento o la provisión continua</w:t>
            </w:r>
          </w:p>
        </w:tc>
        <w:tc>
          <w:tcPr/>
          <w:p>
            <w:pPr>
              <w:pStyle w:val="Compact"/>
              <w:jc w:val="left"/>
            </w:pPr>
            <w:r>
              <w:t xml:space="preserve">- No, no.</w:t>
            </w:r>
          </w:p>
        </w:tc>
        <w:tc>
          <w:tcPr/>
          <w:p>
            <w:pPr>
              <w:pStyle w:val="Compact"/>
              <w:jc w:val="left"/>
            </w:pPr>
            <w:r>
              <w:t xml:space="preserve">- No, no.</w:t>
            </w:r>
          </w:p>
        </w:tc>
      </w:tr>
    </w:tbl>
    <w:bookmarkEnd w:id="1488"/>
    <w:bookmarkStart w:id="1489" w:name="representante-autorizado-1"/>
    <w:p>
      <w:pPr>
        <w:pStyle w:val="Heading3"/>
      </w:pPr>
      <w:r>
        <w:rPr>
          <w:rStyle w:val="SectionNumber"/>
        </w:rPr>
        <w:t xml:space="preserve">2.79.7</w:t>
      </w:r>
      <w:r>
        <w:tab/>
      </w:r>
      <w:r>
        <w:t xml:space="preserve">Representante autorizado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Está establecido en la Unión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Ha aceptado un mandato escrito del proveedor</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Sólo realiza las tareas encomendadas especificadas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Mantiene la documentación necesaria o coopera con las autoridades en el marco del mandato</w:t>
            </w:r>
          </w:p>
        </w:tc>
        <w:tc>
          <w:tcPr/>
          <w:p>
            <w:pPr>
              <w:pStyle w:val="Compact"/>
              <w:jc w:val="left"/>
            </w:pPr>
            <w:r>
              <w:t xml:space="preserve">- No, no.</w:t>
            </w:r>
          </w:p>
        </w:tc>
        <w:tc>
          <w:tcPr/>
          <w:p>
            <w:pPr>
              <w:pStyle w:val="Compact"/>
              <w:jc w:val="left"/>
            </w:pPr>
            <w:r>
              <w:t xml:space="preserve">- No, no.</w:t>
            </w:r>
          </w:p>
        </w:tc>
      </w:tr>
    </w:tbl>
    <w:bookmarkEnd w:id="1489"/>
    <w:bookmarkStart w:id="1490" w:name="fabricante-del-producto-1"/>
    <w:p>
      <w:pPr>
        <w:pStyle w:val="Heading3"/>
      </w:pPr>
      <w:r>
        <w:rPr>
          <w:rStyle w:val="SectionNumber"/>
        </w:rPr>
        <w:t xml:space="preserve">2.79.8</w:t>
      </w:r>
      <w:r>
        <w:tab/>
      </w:r>
      <w:r>
        <w:t xml:space="preserve">Fabricante del producto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Sí/No/Incierto</w:t>
            </w:r>
          </w:p>
        </w:tc>
        <w:tc>
          <w:tcPr/>
          <w:p>
            <w:pPr>
              <w:pStyle w:val="Compact"/>
              <w:jc w:val="left"/>
            </w:pPr>
            <w:r>
              <w:t xml:space="preserve">Evidencia y justificación</w:t>
            </w:r>
          </w:p>
        </w:tc>
      </w:tr>
      <w:tr>
        <w:tc>
          <w:tcPr/>
          <w:p>
            <w:pPr>
              <w:pStyle w:val="Compact"/>
              <w:jc w:val="left"/>
            </w:pPr>
            <w:r>
              <w:t xml:space="preserve">Integra la IA en un producto regulado o componente de seguridad</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Comercializa o pone el producto resultante en servicio bajo su nombre o marca comercial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Posee responsabilidades de conformidad en virtud de la legislación aplicable sobre productos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Controla la liberación del producto, la documentación de seguridad o la interacción del organismo notificado</w:t>
            </w:r>
          </w:p>
        </w:tc>
        <w:tc>
          <w:tcPr/>
          <w:p>
            <w:pPr>
              <w:pStyle w:val="Compact"/>
              <w:jc w:val="left"/>
            </w:pPr>
            <w:r>
              <w:t xml:space="preserve">- No, no.</w:t>
            </w:r>
          </w:p>
        </w:tc>
        <w:tc>
          <w:tcPr/>
          <w:p>
            <w:pPr>
              <w:pStyle w:val="Compact"/>
              <w:jc w:val="left"/>
            </w:pPr>
            <w:r>
              <w:t xml:space="preserve">- No, no.</w:t>
            </w:r>
          </w:p>
        </w:tc>
      </w:tr>
    </w:tbl>
    <w:bookmarkEnd w:id="1490"/>
    <w:bookmarkEnd w:id="1491"/>
    <w:bookmarkStart w:id="1492" w:name="Xf889cb3d79ba6091bd183de5ee65182c3855da6"/>
    <w:p>
      <w:pPr>
        <w:pStyle w:val="Heading2"/>
      </w:pPr>
      <w:r>
        <w:rPr>
          <w:rStyle w:val="SectionNumber"/>
        </w:rPr>
        <w:t xml:space="preserve">2.80</w:t>
      </w:r>
      <w:r>
        <w:tab/>
      </w:r>
      <w:r>
        <w:t xml:space="preserve">4. Transferencia de funciones del proveedor y activación de cambios</w:t>
      </w:r>
    </w:p>
    <w:p>
      <w:pPr>
        <w:pStyle w:val="FirstParagraph"/>
      </w:pPr>
      <w:r>
        <w:t xml:space="preserve">Escalar cada</w:t>
      </w:r>
      <w:r>
        <w:t xml:space="preserve"> </w:t>
      </w:r>
      <w:r>
        <w:rPr>
          <w:bCs/>
          <w:b/>
        </w:rPr>
        <w:t xml:space="preserve">Sí</w:t>
      </w:r>
      <w:r>
        <w:t xml:space="preserve"> </w:t>
      </w:r>
      <w:r>
        <w:t xml:space="preserve">o</w:t>
      </w:r>
      <w:r>
        <w:t xml:space="preserve"> </w:t>
      </w:r>
      <w:r>
        <w:rPr>
          <w:bCs/>
          <w:b/>
        </w:rPr>
        <w:t xml:space="preserve">Incierto</w:t>
      </w:r>
      <w:r>
        <w:t xml:space="preserve"> </w:t>
      </w:r>
      <w:r>
        <w:t xml:space="preserve">respuesta.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Activador</w:t>
            </w:r>
          </w:p>
        </w:tc>
        <w:tc>
          <w:tcPr/>
          <w:p>
            <w:pPr>
              <w:pStyle w:val="Compact"/>
              <w:jc w:val="left"/>
            </w:pPr>
            <w:r>
              <w:t xml:space="preserve">Respuesta</w:t>
            </w:r>
          </w:p>
        </w:tc>
        <w:tc>
          <w:tcPr/>
          <w:p>
            <w:pPr>
              <w:pStyle w:val="Compact"/>
              <w:jc w:val="left"/>
            </w:pPr>
            <w:r>
              <w:t xml:space="preserve">Pruebas</w:t>
            </w:r>
          </w:p>
        </w:tc>
        <w:tc>
          <w:tcPr/>
          <w:p>
            <w:pPr>
              <w:pStyle w:val="Compact"/>
              <w:jc w:val="left"/>
            </w:pPr>
            <w:r>
              <w:t xml:space="preserve">Posibles consecuencias</w:t>
            </w:r>
          </w:p>
        </w:tc>
        <w:tc>
          <w:tcPr/>
          <w:p>
            <w:pPr>
              <w:pStyle w:val="Compact"/>
              <w:jc w:val="left"/>
            </w:pPr>
            <w:r>
              <w:t xml:space="preserve">Conclusión jurídica</w:t>
            </w:r>
          </w:p>
        </w:tc>
      </w:tr>
      <w:tr>
        <w:tc>
          <w:tcPr/>
          <w:p>
            <w:pPr>
              <w:pStyle w:val="Compact"/>
              <w:jc w:val="left"/>
            </w:pPr>
            <w:r>
              <w:t xml:space="preserve">Nombre propio o marca propia colocación o servicio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Modificación sustancial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Cambio de propósito previsto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Integración de nuevos productos o componentes de seguridad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Nuevo afiliado, importador, distribuidor, representante o jurisdicción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Marca de material, marca blanca, reventa, contrato o cambio de control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Afinación, combinación de modelos, nuevas herramientas, agentes o autonomía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Retirada del proveedor, reemplazo de modelo o versión no soportada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492"/>
    <w:bookmarkStart w:id="1493" w:name="la-realidad-contractual-y-operacional"/>
    <w:p>
      <w:pPr>
        <w:pStyle w:val="Heading2"/>
      </w:pPr>
      <w:r>
        <w:rPr>
          <w:rStyle w:val="SectionNumber"/>
        </w:rPr>
        <w:t xml:space="preserve">2.81</w:t>
      </w:r>
      <w:r>
        <w:tab/>
      </w:r>
      <w:r>
        <w:t xml:space="preserve">5. La realidad contractual y operacional</w:t>
      </w:r>
    </w:p>
    <w:p>
      <w:pPr>
        <w:pStyle w:val="FirstParagraph"/>
      </w:pPr>
      <w:r>
        <w:t xml:space="preserve">Documento que realmente controla:</w:t>
      </w:r>
    </w:p>
    <w:p>
      <w:pPr>
        <w:numPr>
          <w:ilvl w:val="0"/>
          <w:numId w:val="1514"/>
        </w:numPr>
        <w:pStyle w:val="Compact"/>
      </w:pPr>
      <w:r>
        <w:t xml:space="preserve">fines previstos y usos prohibidos;</w:t>
      </w:r>
    </w:p>
    <w:p>
      <w:pPr>
        <w:numPr>
          <w:ilvl w:val="0"/>
          <w:numId w:val="1514"/>
        </w:numPr>
        <w:pStyle w:val="Compact"/>
      </w:pPr>
      <w:r>
        <w:t xml:space="preserve">selección de modelos y sistemas;</w:t>
      </w:r>
    </w:p>
    <w:p>
      <w:pPr>
        <w:numPr>
          <w:ilvl w:val="0"/>
          <w:numId w:val="1514"/>
        </w:numPr>
        <w:pStyle w:val="Compact"/>
      </w:pPr>
      <w:r>
        <w:t xml:space="preserve">la marca y la comercialización;</w:t>
      </w:r>
    </w:p>
    <w:p>
      <w:pPr>
        <w:numPr>
          <w:ilvl w:val="0"/>
          <w:numId w:val="1514"/>
        </w:numPr>
        <w:pStyle w:val="Compact"/>
      </w:pPr>
      <w:r>
        <w:t xml:space="preserve">formación, afinación, recuperación y datos operativos;</w:t>
      </w:r>
    </w:p>
    <w:p>
      <w:pPr>
        <w:numPr>
          <w:ilvl w:val="0"/>
          <w:numId w:val="1514"/>
        </w:numPr>
        <w:pStyle w:val="Compact"/>
      </w:pPr>
      <w:r>
        <w:t xml:space="preserve">avisos, herramientas, agentes, interfaces y configuración;</w:t>
      </w:r>
    </w:p>
    <w:p>
      <w:pPr>
        <w:numPr>
          <w:ilvl w:val="0"/>
          <w:numId w:val="1514"/>
        </w:numPr>
        <w:pStyle w:val="Compact"/>
      </w:pPr>
      <w:r>
        <w:t xml:space="preserve">acceso de los usuarios y poblaciones afectadas;</w:t>
      </w:r>
    </w:p>
    <w:p>
      <w:pPr>
        <w:numPr>
          <w:ilvl w:val="0"/>
          <w:numId w:val="1514"/>
        </w:numPr>
        <w:pStyle w:val="Compact"/>
      </w:pPr>
      <w:r>
        <w:t xml:space="preserve">documentación técnica, validación y publicación;</w:t>
      </w:r>
    </w:p>
    <w:p>
      <w:pPr>
        <w:numPr>
          <w:ilvl w:val="0"/>
          <w:numId w:val="1514"/>
        </w:numPr>
        <w:pStyle w:val="Compact"/>
      </w:pPr>
      <w:r>
        <w:t xml:space="preserve">supervisión humana, apelaciones y tramitación de quejas;</w:t>
      </w:r>
    </w:p>
    <w:p>
      <w:pPr>
        <w:numPr>
          <w:ilvl w:val="0"/>
          <w:numId w:val="1514"/>
        </w:numPr>
        <w:pStyle w:val="Compact"/>
      </w:pPr>
      <w:r>
        <w:t xml:space="preserve">seguimiento, registros, incidentes y notificaciones;</w:t>
      </w:r>
    </w:p>
    <w:p>
      <w:pPr>
        <w:numPr>
          <w:ilvl w:val="0"/>
          <w:numId w:val="1514"/>
        </w:numPr>
        <w:pStyle w:val="Compact"/>
      </w:pPr>
      <w:r>
        <w:t xml:space="preserve">evaluación de la conformidad, registro, declaración y marcado CE, cuando proceda;</w:t>
      </w:r>
    </w:p>
    <w:p>
      <w:pPr>
        <w:numPr>
          <w:ilvl w:val="0"/>
          <w:numId w:val="1514"/>
        </w:numPr>
        <w:pStyle w:val="Compact"/>
      </w:pPr>
      <w:r>
        <w:t xml:space="preserve">suspensión, retroceso, retirada, retirada y salida;</w:t>
      </w:r>
    </w:p>
    <w:p>
      <w:pPr>
        <w:numPr>
          <w:ilvl w:val="0"/>
          <w:numId w:val="1514"/>
        </w:numPr>
        <w:pStyle w:val="Compact"/>
      </w:pPr>
      <w:r>
        <w:t xml:space="preserve">retención de pruebas y respuesta de la autoridad.</w:t>
      </w:r>
    </w:p>
    <w:p>
      <w:pPr>
        <w:pStyle w:val="FirstParagraph"/>
      </w:pPr>
      <w:r>
        <w:t xml:space="preserve">En los casos en que el contrato y el conflicto real se producen, se intensifica y se basa la conclusión de la función en los hechos jurídicos aplicables.</w:t>
      </w:r>
    </w:p>
    <w:bookmarkEnd w:id="1493"/>
    <w:bookmarkStart w:id="1494" w:name="conclusión-sobre-las-funciones-múltiples"/>
    <w:p>
      <w:pPr>
        <w:pStyle w:val="Heading2"/>
      </w:pPr>
      <w:r>
        <w:rPr>
          <w:rStyle w:val="SectionNumber"/>
        </w:rPr>
        <w:t xml:space="preserve">2.82</w:t>
      </w:r>
      <w:r>
        <w:tab/>
      </w:r>
      <w:r>
        <w:t xml:space="preserve">6. Conclusión sobre las funciones múltiples</w:t>
      </w:r>
    </w:p>
    <w:p>
      <w:pPr>
        <w:pStyle w:val="FirstParagraph"/>
      </w:pPr>
      <w:r>
        <w:t xml:space="preserve">Registrar cada rol por separado por entidad, jurisdicción, versión y actividad.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Entidad</w:t>
            </w:r>
          </w:p>
        </w:tc>
        <w:tc>
          <w:tcPr/>
          <w:p>
            <w:pPr>
              <w:pStyle w:val="Compact"/>
              <w:jc w:val="left"/>
            </w:pPr>
            <w:r>
              <w:t xml:space="preserve">Competencia</w:t>
            </w:r>
          </w:p>
        </w:tc>
        <w:tc>
          <w:tcPr/>
          <w:p>
            <w:pPr>
              <w:pStyle w:val="Compact"/>
              <w:jc w:val="left"/>
            </w:pPr>
            <w:r>
              <w:t xml:space="preserve">Función del sistema/modelo</w:t>
            </w:r>
          </w:p>
        </w:tc>
        <w:tc>
          <w:tcPr/>
          <w:p>
            <w:pPr>
              <w:pStyle w:val="Compact"/>
              <w:jc w:val="left"/>
            </w:pPr>
            <w:r>
              <w:t xml:space="preserve">Fundamento de los hechos</w:t>
            </w:r>
          </w:p>
        </w:tc>
        <w:tc>
          <w:tcPr/>
          <w:p>
            <w:pPr>
              <w:pStyle w:val="Compact"/>
              <w:jc w:val="left"/>
            </w:pPr>
            <w:r>
              <w:t xml:space="preserve">Obligaciones aplicables</w:t>
            </w:r>
          </w:p>
        </w:tc>
        <w:tc>
          <w:tcPr/>
          <w:p>
            <w:pPr>
              <w:pStyle w:val="Compact"/>
              <w:jc w:val="left"/>
            </w:pPr>
            <w:r>
              <w:t xml:space="preserve">Propietario responsable</w:t>
            </w:r>
          </w:p>
        </w:tc>
        <w:tc>
          <w:tcPr/>
          <w:p>
            <w:pPr>
              <w:pStyle w:val="Compact"/>
              <w:jc w:val="left"/>
            </w:pPr>
            <w:r>
              <w:t xml:space="preserve">Approver</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494"/>
    <w:bookmarkStart w:id="1495" w:name="funciones-jurídicas-adicionales"/>
    <w:p>
      <w:pPr>
        <w:pStyle w:val="Heading2"/>
      </w:pPr>
      <w:r>
        <w:rPr>
          <w:rStyle w:val="SectionNumber"/>
        </w:rPr>
        <w:t xml:space="preserve">2.83</w:t>
      </w:r>
      <w:r>
        <w:tab/>
      </w:r>
      <w:r>
        <w:t xml:space="preserve">7. Funciones jurídicas adicionales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Régimen</w:t>
            </w:r>
          </w:p>
        </w:tc>
        <w:tc>
          <w:tcPr/>
          <w:p>
            <w:pPr>
              <w:pStyle w:val="Compact"/>
              <w:jc w:val="left"/>
            </w:pPr>
            <w:r>
              <w:t xml:space="preserve">Función</w:t>
            </w:r>
          </w:p>
        </w:tc>
        <w:tc>
          <w:tcPr/>
          <w:p>
            <w:pPr>
              <w:pStyle w:val="Compact"/>
              <w:jc w:val="left"/>
            </w:pPr>
            <w:r>
              <w:t xml:space="preserve">Entidad</w:t>
            </w:r>
          </w:p>
        </w:tc>
        <w:tc>
          <w:tcPr/>
          <w:p>
            <w:pPr>
              <w:pStyle w:val="Compact"/>
              <w:jc w:val="left"/>
            </w:pPr>
            <w:r>
              <w:t xml:space="preserve">Pruebas</w:t>
            </w:r>
          </w:p>
        </w:tc>
        <w:tc>
          <w:tcPr/>
          <w:p>
            <w:pPr>
              <w:pStyle w:val="Compact"/>
              <w:jc w:val="left"/>
            </w:pPr>
            <w:r>
              <w:t xml:space="preserve">Obligaciones/propietario</w:t>
            </w:r>
          </w:p>
        </w:tc>
      </w:tr>
      <w:tr>
        <w:tc>
          <w:tcPr/>
          <w:p>
            <w:pPr>
              <w:pStyle w:val="Compact"/>
              <w:jc w:val="left"/>
            </w:pPr>
            <w:r>
              <w:t xml:space="preserve">Protección de datos</w:t>
            </w:r>
          </w:p>
        </w:tc>
        <w:tc>
          <w:tcPr/>
          <w:p>
            <w:pPr>
              <w:pStyle w:val="Compact"/>
              <w:jc w:val="left"/>
            </w:pPr>
            <w:r>
              <w:t xml:space="preserve">Controlador / procesador / controlador conjunto / otros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Empleo</w:t>
            </w:r>
          </w:p>
        </w:tc>
        <w:tc>
          <w:tcPr/>
          <w:p>
            <w:pPr>
              <w:pStyle w:val="Compact"/>
              <w:jc w:val="left"/>
            </w:pPr>
            <w:r>
              <w:t xml:space="preserve">Empleador / agencia / proveedor de servicios / otros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Protección de los consumidores</w:t>
            </w:r>
          </w:p>
        </w:tc>
        <w:tc>
          <w:tcPr/>
          <w:p>
            <w:pPr>
              <w:pStyle w:val="Compact"/>
              <w:jc w:val="left"/>
            </w:pPr>
            <w:r>
              <w:t xml:space="preserve">Comerciante / plataforma / intermediario / otros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Ciberseguridad</w:t>
            </w:r>
          </w:p>
        </w:tc>
        <w:tc>
          <w:tcPr/>
          <w:p>
            <w:pPr>
              <w:pStyle w:val="Compact"/>
              <w:jc w:val="left"/>
            </w:pPr>
            <w:r>
              <w:t xml:space="preserve">Entidad esencial/importante, proveedor, operador de servicios, otros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 de los productos</w:t>
            </w:r>
          </w:p>
        </w:tc>
        <w:tc>
          <w:tcPr/>
          <w:p>
            <w:pPr>
              <w:pStyle w:val="Compact"/>
              <w:jc w:val="left"/>
            </w:pPr>
            <w:r>
              <w:t xml:space="preserve">Fabricante / importador / distribuidor / otros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Reglamentación sectorial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Propiedad intelectual</w:t>
            </w:r>
          </w:p>
        </w:tc>
        <w:tc>
          <w:tcPr/>
          <w:p>
            <w:pPr>
              <w:pStyle w:val="Compact"/>
              <w:jc w:val="left"/>
            </w:pPr>
            <w:r>
              <w:t xml:space="preserve">Licenciador / licenciatario / proveedor de contenidos / otros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Una función en virtud de otro régimen jurídico no determina automáticamente la función de la Ley de IA de la UE, pero las funciones deben coordinarse.</w:t>
      </w:r>
    </w:p>
    <w:bookmarkEnd w:id="1495"/>
    <w:bookmarkStart w:id="1496" w:name="Xc8fe4c1b2d2f171268f40330425f1982dc67cff"/>
    <w:p>
      <w:pPr>
        <w:pStyle w:val="Heading2"/>
      </w:pPr>
      <w:r>
        <w:rPr>
          <w:rStyle w:val="SectionNumber"/>
        </w:rPr>
        <w:t xml:space="preserve">2.84</w:t>
      </w:r>
      <w:r>
        <w:tab/>
      </w:r>
      <w:r>
        <w:t xml:space="preserve">8. Controles de contratos y modelos de funcionamiento</w:t>
      </w:r>
    </w:p>
    <w:p>
      <w:pPr>
        <w:pStyle w:val="FirstParagraph"/>
      </w:pPr>
      <w:r>
        <w:t xml:space="preserve">Confirmar que los contratos y procedimientos abordan:</w:t>
      </w:r>
    </w:p>
    <w:p>
      <w:pPr>
        <w:numPr>
          <w:ilvl w:val="0"/>
          <w:numId w:val="1515"/>
        </w:numPr>
        <w:pStyle w:val="Compact"/>
      </w:pPr>
      <w:r>
        <w:t xml:space="preserve">información técnica, modelo, sistema e información necesaria sobre el cumplimiento;</w:t>
      </w:r>
    </w:p>
    <w:p>
      <w:pPr>
        <w:numPr>
          <w:ilvl w:val="0"/>
          <w:numId w:val="1515"/>
        </w:numPr>
        <w:pStyle w:val="Compact"/>
      </w:pPr>
      <w:r>
        <w:t xml:space="preserve">los fines previstos, los usos prohibidos y las instrucciones de uso;</w:t>
      </w:r>
    </w:p>
    <w:p>
      <w:pPr>
        <w:numPr>
          <w:ilvl w:val="0"/>
          <w:numId w:val="1515"/>
        </w:numPr>
        <w:pStyle w:val="Compact"/>
      </w:pPr>
      <w:r>
        <w:t xml:space="preserve">asignación de funciones y notificación de acontecimientos que cambien las funciones;</w:t>
      </w:r>
    </w:p>
    <w:p>
      <w:pPr>
        <w:numPr>
          <w:ilvl w:val="0"/>
          <w:numId w:val="1515"/>
        </w:numPr>
        <w:pStyle w:val="Compact"/>
      </w:pPr>
      <w:r>
        <w:t xml:space="preserve">cambios de modelo, versión, datos, proveedor y funcionalidad;</w:t>
      </w:r>
    </w:p>
    <w:p>
      <w:pPr>
        <w:numPr>
          <w:ilvl w:val="0"/>
          <w:numId w:val="1515"/>
        </w:numPr>
        <w:pStyle w:val="Compact"/>
      </w:pPr>
      <w:r>
        <w:t xml:space="preserve">supervisión, quejas, incidentes, notificación y cooperación en materia de medidas correctoras;</w:t>
      </w:r>
    </w:p>
    <w:p>
      <w:pPr>
        <w:numPr>
          <w:ilvl w:val="0"/>
          <w:numId w:val="1515"/>
        </w:numPr>
        <w:pStyle w:val="Compact"/>
      </w:pPr>
      <w:r>
        <w:t xml:space="preserve">los derechos de auditoría, ensayo, garantía y acceso a pruebas;</w:t>
      </w:r>
    </w:p>
    <w:p>
      <w:pPr>
        <w:numPr>
          <w:ilvl w:val="0"/>
          <w:numId w:val="1515"/>
        </w:numPr>
        <w:pStyle w:val="Compact"/>
      </w:pPr>
      <w:r>
        <w:t xml:space="preserve">los plazos de comunicación y respuesta de las autoridades;</w:t>
      </w:r>
    </w:p>
    <w:p>
      <w:pPr>
        <w:numPr>
          <w:ilvl w:val="0"/>
          <w:numId w:val="1515"/>
        </w:numPr>
        <w:pStyle w:val="Compact"/>
      </w:pPr>
      <w:r>
        <w:t xml:space="preserve">documentación, registros, conservación, conservación y retención legal;</w:t>
      </w:r>
    </w:p>
    <w:p>
      <w:pPr>
        <w:numPr>
          <w:ilvl w:val="0"/>
          <w:numId w:val="1515"/>
        </w:numPr>
        <w:pStyle w:val="Compact"/>
      </w:pPr>
      <w:r>
        <w:t xml:space="preserve">suspensión, retroceso, retirada, retirada, desmantelamiento y salida;</w:t>
      </w:r>
    </w:p>
    <w:p>
      <w:pPr>
        <w:numPr>
          <w:ilvl w:val="0"/>
          <w:numId w:val="1515"/>
        </w:numPr>
        <w:pStyle w:val="Compact"/>
      </w:pPr>
      <w:r>
        <w:t xml:space="preserve">privacidad, seguridad, empleo, igualdad, consumo, productos y responsabilidades en materia de propiedad intelectual.</w:t>
      </w:r>
    </w:p>
    <w:bookmarkEnd w:id="1496"/>
    <w:bookmarkStart w:id="1497" w:name="amiguidad-y-escalada"/>
    <w:p>
      <w:pPr>
        <w:pStyle w:val="Heading2"/>
      </w:pPr>
      <w:r>
        <w:rPr>
          <w:rStyle w:val="SectionNumber"/>
        </w:rPr>
        <w:t xml:space="preserve">2.85</w:t>
      </w:r>
      <w:r>
        <w:tab/>
      </w:r>
      <w:r>
        <w:t xml:space="preserve">9. Amiguidad y escalada</w:t>
      </w:r>
    </w:p>
    <w:p>
      <w:pPr>
        <w:pStyle w:val="FirstParagraph"/>
      </w:pPr>
      <w:r>
        <w:rPr>
          <w:bCs/>
          <w:b/>
        </w:rPr>
        <w:t xml:space="preserve">Emisión no resuelta:</w:t>
      </w:r>
      <w:r>
        <w:t xml:space="preserve"> </w:t>
      </w:r>
      <w:r>
        <w:t xml:space="preserve">** interpretaciones alternativas:</w:t>
      </w:r>
      <w:r>
        <w:rPr>
          <w:bCs/>
          <w:b/>
        </w:rPr>
        <w:t xml:space="preserve"> </w:t>
      </w:r>
      <w:r>
        <w:t xml:space="preserve">Evidencia necesaria:</w:t>
      </w:r>
      <w:r>
        <w:rPr>
          <w:bCs/>
          <w:b/>
        </w:rPr>
        <w:t xml:space="preserve"> </w:t>
      </w:r>
      <w:r>
        <w:t xml:space="preserve"> </w:t>
      </w:r>
      <w:r>
        <w:t xml:space="preserve">Restricciones o controles provisionales:</w:t>
      </w:r>
      <w:r>
        <w:rPr>
          <w:bCs/>
          <w:b/>
        </w:rPr>
        <w:t xml:space="preserve"> </w:t>
      </w:r>
      <w:r>
        <w:t xml:space="preserve"> </w:t>
      </w:r>
      <w:r>
        <w:t xml:space="preserve">Propietario legal:</w:t>
      </w:r>
      <w:r>
        <w:rPr>
          <w:bCs/>
          <w:b/>
        </w:rPr>
        <w:t xml:space="preserve"> </w:t>
      </w:r>
      <w:r>
        <w:t xml:space="preserve"> </w:t>
      </w:r>
      <w:r>
        <w:t xml:space="preserve">Plazo para la resolución:</w:t>
      </w:r>
      <w:r>
        <w:rPr>
          <w:bCs/>
          <w:b/>
        </w:rPr>
        <w:t xml:space="preserve"> </w:t>
      </w:r>
      <w:r>
        <w:t xml:space="preserve"> </w:t>
      </w:r>
      <w:r>
        <w:t xml:space="preserve">Autoridad decisoria:**</w:t>
      </w:r>
    </w:p>
    <w:p>
      <w:pPr>
        <w:pStyle w:val="BodyText"/>
      </w:pPr>
      <w:r>
        <w:t xml:space="preserve">No permita que la incertidumbre del rol retrase la contención inmediata, la preservación de pruebas o el cumplimiento de obligaciones que claramente se aplican.</w:t>
      </w:r>
    </w:p>
    <w:bookmarkEnd w:id="1497"/>
    <w:bookmarkStart w:id="1498" w:name="detonadores-de-la-revisión-2"/>
    <w:p>
      <w:pPr>
        <w:pStyle w:val="Heading2"/>
      </w:pPr>
      <w:r>
        <w:rPr>
          <w:rStyle w:val="SectionNumber"/>
        </w:rPr>
        <w:t xml:space="preserve">2.86</w:t>
      </w:r>
      <w:r>
        <w:tab/>
      </w:r>
      <w:r>
        <w:t xml:space="preserve">10. Detonadores de la revisión</w:t>
      </w:r>
    </w:p>
    <w:p>
      <w:pPr>
        <w:pStyle w:val="FirstParagraph"/>
      </w:pPr>
      <w:r>
        <w:t xml:space="preserve">Volver a evaluar después de cualquier cambio en:</w:t>
      </w:r>
    </w:p>
    <w:p>
      <w:pPr>
        <w:numPr>
          <w:ilvl w:val="0"/>
          <w:numId w:val="1516"/>
        </w:numPr>
        <w:pStyle w:val="Compact"/>
      </w:pPr>
      <w:r>
        <w:t xml:space="preserve">entidad jurídica, estructura corporativa, adquisición o reestructuración;</w:t>
      </w:r>
    </w:p>
    <w:p>
      <w:pPr>
        <w:numPr>
          <w:ilvl w:val="0"/>
          <w:numId w:val="1516"/>
        </w:numPr>
        <w:pStyle w:val="Compact"/>
      </w:pPr>
      <w:r>
        <w:t xml:space="preserve">jurisdicción, comercialización, importador, distribuidor o representante;</w:t>
      </w:r>
    </w:p>
    <w:p>
      <w:pPr>
        <w:numPr>
          <w:ilvl w:val="0"/>
          <w:numId w:val="1516"/>
        </w:numPr>
        <w:pStyle w:val="Compact"/>
      </w:pPr>
      <w:r>
        <w:t xml:space="preserve">proveedor, modelo, sistema, componente de código abierto o licencia;</w:t>
      </w:r>
    </w:p>
    <w:p>
      <w:pPr>
        <w:numPr>
          <w:ilvl w:val="0"/>
          <w:numId w:val="1516"/>
        </w:numPr>
        <w:pStyle w:val="Compact"/>
      </w:pPr>
      <w:r>
        <w:t xml:space="preserve">la finalidad prevista, el uso real, la población afectada o el sector;</w:t>
      </w:r>
    </w:p>
    <w:p>
      <w:pPr>
        <w:numPr>
          <w:ilvl w:val="0"/>
          <w:numId w:val="1516"/>
        </w:numPr>
        <w:pStyle w:val="Compact"/>
      </w:pPr>
      <w:r>
        <w:t xml:space="preserve">marca, marca blanca, reventa o colocación de su propio nombre;</w:t>
      </w:r>
    </w:p>
    <w:p>
      <w:pPr>
        <w:numPr>
          <w:ilvl w:val="0"/>
          <w:numId w:val="1516"/>
        </w:numPr>
        <w:pStyle w:val="Compact"/>
      </w:pPr>
      <w:r>
        <w:t xml:space="preserve">integración de productos o estado de los componentes de seguridad;</w:t>
      </w:r>
    </w:p>
    <w:p>
      <w:pPr>
        <w:numPr>
          <w:ilvl w:val="0"/>
          <w:numId w:val="1516"/>
        </w:numPr>
        <w:pStyle w:val="Compact"/>
      </w:pPr>
      <w:r>
        <w:t xml:space="preserve">modificación sustancial, ajuste, herramientas, agentes o autonomía;</w:t>
      </w:r>
    </w:p>
    <w:p>
      <w:pPr>
        <w:numPr>
          <w:ilvl w:val="0"/>
          <w:numId w:val="1516"/>
        </w:numPr>
        <w:pStyle w:val="Compact"/>
      </w:pPr>
      <w:r>
        <w:t xml:space="preserve">el control operativo, la supervisión humana, la vigilancia o la respuesta a incidentes;</w:t>
      </w:r>
    </w:p>
    <w:p>
      <w:pPr>
        <w:numPr>
          <w:ilvl w:val="0"/>
          <w:numId w:val="1516"/>
        </w:numPr>
        <w:pStyle w:val="Compact"/>
      </w:pPr>
      <w:r>
        <w:t xml:space="preserve">contrato, proveedor, ruta de conformidad o ley aplicable.</w:t>
      </w:r>
    </w:p>
    <w:bookmarkEnd w:id="1498"/>
    <w:bookmarkStart w:id="1499" w:name="X34879a9e179bea0987aeecfa1ebef8d6e85fabb"/>
    <w:p>
      <w:pPr>
        <w:pStyle w:val="Heading2"/>
      </w:pPr>
      <w:r>
        <w:rPr>
          <w:rStyle w:val="SectionNumber"/>
        </w:rPr>
        <w:t xml:space="preserve">2.87</w:t>
      </w:r>
      <w:r>
        <w:tab/>
      </w:r>
      <w:r>
        <w:t xml:space="preserve">Ejemplo de servicios de viajes de GlobalWay</w:t>
      </w:r>
    </w:p>
    <w:p>
      <w:pPr>
        <w:pStyle w:val="FirstParagraph"/>
      </w:pPr>
      <w:r>
        <w:t xml:space="preserve">GlobalWay otorga licencias a un modelo GPAI de terceros e integralo en un sistema de asistencia a viajeros de marca y ofrecido a clientes corporativos bajo el nombre de GlobalWay. La compañía de aguas arriba sigue siendo el proveedor de modelos GPAI, mientras que GlobalWay puede ser el proveedor e implementador del sistema de IA de aguas abajo. GlobalWay documenta ambos roles, obtiene información del modelo de aguas arriba, asume funciones de documentación y monitoreo del sistema de aguas abajo, y activa una nueva revisión antes de ajustar o vender el sistema a través de un afiliado de la UE.</w:t>
      </w:r>
    </w:p>
    <w:bookmarkEnd w:id="1499"/>
    <w:bookmarkStart w:id="1500" w:name="homologación-3"/>
    <w:p>
      <w:pPr>
        <w:pStyle w:val="Heading2"/>
      </w:pPr>
      <w:r>
        <w:rPr>
          <w:rStyle w:val="SectionNumber"/>
        </w:rPr>
        <w:t xml:space="preserve">2.88</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Revisor jurídico cualificado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Gestión de adquisiciones y proveedores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técnico/producto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Revisor de seguridad de los productos o sector,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rPr>
          <w:bCs/>
          <w:b/>
        </w:rPr>
        <w:t xml:space="preserve">Conclusión y justificación de la causa:</w:t>
      </w:r>
      <w:r>
        <w:t xml:space="preserve"> </w:t>
      </w:r>
      <w:r>
        <w:t xml:space="preserve">** Interpretación no resuelta:</w:t>
      </w:r>
      <w:r>
        <w:rPr>
          <w:bCs/>
          <w:b/>
        </w:rPr>
        <w:t xml:space="preserve"> </w:t>
      </w:r>
      <w:r>
        <w:t xml:space="preserve"> </w:t>
      </w:r>
      <w:r>
        <w:t xml:space="preserve">Controles o restricciones provisionales:</w:t>
      </w:r>
      <w:r>
        <w:rPr>
          <w:bCs/>
          <w:b/>
        </w:rPr>
        <w:t xml:space="preserve"> </w:t>
      </w:r>
      <w:r>
        <w:t xml:space="preserve"> </w:t>
      </w:r>
      <w:r>
        <w:t xml:space="preserve">Referencias de pruebas:</w:t>
      </w:r>
      <w:r>
        <w:rPr>
          <w:bCs/>
          <w:b/>
        </w:rPr>
        <w:t xml:space="preserve"> </w:t>
      </w:r>
      <w:r>
        <w:t xml:space="preserve">Próxima fecha o fecha de la revisión:</w:t>
      </w:r>
      <w:r>
        <w:rPr>
          <w:bCs/>
          <w:b/>
        </w:rPr>
        <w:t xml:space="preserve"> </w:t>
      </w:r>
      <w:r>
        <w:t xml:space="preserve"> </w:t>
      </w:r>
      <w:r>
        <w:t xml:space="preserve">Versión de evaluación:**</w:t>
      </w:r>
    </w:p>
    <w:bookmarkEnd w:id="1500"/>
    <w:bookmarkStart w:id="1501" w:name="referencias-jurídicas-primarias-112"/>
    <w:p>
      <w:pPr>
        <w:pStyle w:val="Heading2"/>
      </w:pPr>
      <w:r>
        <w:rPr>
          <w:rStyle w:val="SectionNumber"/>
        </w:rPr>
        <w:t xml:space="preserve">2.89</w:t>
      </w:r>
      <w:r>
        <w:tab/>
      </w:r>
      <w:r>
        <w:t xml:space="preserve">Referencias jurídicas primarias</w:t>
      </w:r>
    </w:p>
    <w:p>
      <w:pPr>
        <w:numPr>
          <w:ilvl w:val="0"/>
          <w:numId w:val="1517"/>
        </w:numPr>
        <w:pStyle w:val="Compact"/>
      </w:pPr>
      <w:r>
        <w:t xml:space="preserve">Reglamento (UE) 2024/1689, en su versión modificada: definiciones y obligaciones aplicables a los proveedores, proveedores de GPAI, proveedores intermedios, despliegues, importadores, distribuidores, representantes autorizados, fabricantes de productos y agentes que adquieren obligaciones de proveedores mediante una conducta jurídicamente pertinente.</w:t>
      </w:r>
    </w:p>
    <w:p>
      <w:pPr>
        <w:numPr>
          <w:ilvl w:val="0"/>
          <w:numId w:val="1517"/>
        </w:numPr>
        <w:pStyle w:val="Compact"/>
      </w:pPr>
      <w:r>
        <w:t xml:space="preserve">Reglamento (UE) 2026/1744, en su caso.</w:t>
      </w:r>
    </w:p>
    <w:p>
      <w:pPr>
        <w:numPr>
          <w:ilvl w:val="0"/>
          <w:numId w:val="1517"/>
        </w:numPr>
        <w:pStyle w:val="Compact"/>
      </w:pPr>
      <w:r>
        <w:t xml:space="preserve">Legislación aplicable sobre productos del anexo I, Reglamento (UE) 2016/679, y legislación pertinente en materia de empleo, consumo, ciberseguridad, seguridad de los productos, propiedad intelectual y sector.</w:t>
      </w:r>
    </w:p>
    <w:p>
      <w:pPr>
        <w:numPr>
          <w:ilvl w:val="0"/>
          <w:numId w:val="1517"/>
        </w:numPr>
        <w:pStyle w:val="Compact"/>
      </w:pPr>
      <w:r>
        <w:t xml:space="preserve">Los textos oficiales consolidados actuales controlan las etiquetas contractuales y los resúmenes internos.</w:t>
      </w:r>
    </w:p>
    <w:bookmarkEnd w:id="1501"/>
    <w:bookmarkStart w:id="1502" w:name="X4ed1ab8e10211d2ff454d4227790366d5887631"/>
    <w:p>
      <w:pPr>
        <w:pStyle w:val="Heading2"/>
      </w:pPr>
      <w:r>
        <w:rPr>
          <w:rStyle w:val="SectionNumber"/>
        </w:rPr>
        <w:t xml:space="preserve">2.90</w:t>
      </w:r>
      <w:r>
        <w:tab/>
      </w:r>
      <w:r>
        <w:t xml:space="preserve">Apéndice G — Evaluación del impacto sobre los derechos fundamentales</w:t>
      </w:r>
    </w:p>
    <w:p>
      <w:pPr>
        <w:pStyle w:val="BlockText"/>
      </w:pPr>
      <w:r>
        <w:rPr>
          <w:bCs/>
          <w:b/>
        </w:rPr>
        <w:t xml:space="preserve">Estatus legal:</w:t>
      </w:r>
      <w:r>
        <w:t xml:space="preserve"> </w:t>
      </w:r>
      <w:r>
        <w:t xml:space="preserve">Maestro inglés corregido. Este archivo distingue la evaluación de impacto de derechos fundamentales del artículo 27 de una revisión de impacto de derechos voluntaria o requerida por la organización. Se requiere una revisión legal calificada para confirmar si se aplica el artículo 27, si existe una excepción y qué proceso de presentación o notificación de la autoridad está vigente.</w:t>
      </w:r>
    </w:p>
    <w:bookmarkEnd w:id="1502"/>
    <w:bookmarkStart w:id="1503" w:name="finalidad-23"/>
    <w:p>
      <w:pPr>
        <w:pStyle w:val="Heading2"/>
      </w:pPr>
      <w:r>
        <w:rPr>
          <w:rStyle w:val="SectionNumber"/>
        </w:rPr>
        <w:t xml:space="preserve">2.91</w:t>
      </w:r>
      <w:r>
        <w:tab/>
      </w:r>
      <w:r>
        <w:t xml:space="preserve">Finalidad</w:t>
      </w:r>
    </w:p>
    <w:p>
      <w:pPr>
        <w:pStyle w:val="FirstParagraph"/>
      </w:pPr>
      <w:r>
        <w:t xml:space="preserve">Utilice esta evaluación para identificar, evaluar, mitigar, documentar y monitorear los efectos reales o potenciales de un sistema de IA en la dignidad, autonomía, igualdad, privacidad, seguridad, acceso a oportunidades y servicios, condiciones de trabajo, debido proceso y remedio efectivo.</w:t>
      </w:r>
    </w:p>
    <w:p>
      <w:pPr>
        <w:pStyle w:val="BodyText"/>
      </w:pPr>
      <w:r>
        <w:t xml:space="preserve">La evaluación debe completarse antes de su primer uso cuando se aplique el artículo 27 y antes de su aprobación en el marco de la política de organización cuando se requiera un examen voluntario, y debe actualizarse cuando cambien los hechos materiales, los riesgos, las poblaciones, las salvaguardias o los requisitos legales.</w:t>
      </w:r>
    </w:p>
    <w:bookmarkEnd w:id="1503"/>
    <w:bookmarkStart w:id="1504" w:name="puerta-de-aplicabilidad"/>
    <w:p>
      <w:pPr>
        <w:pStyle w:val="Heading2"/>
      </w:pPr>
      <w:r>
        <w:rPr>
          <w:rStyle w:val="SectionNumber"/>
        </w:rPr>
        <w:t xml:space="preserve">2.92</w:t>
      </w:r>
      <w:r>
        <w:tab/>
      </w:r>
      <w:r>
        <w:t xml:space="preserve">1. Puerta de aplicabilidad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Respuesta</w:t>
            </w:r>
          </w:p>
        </w:tc>
        <w:tc>
          <w:tcPr/>
          <w:p>
            <w:pPr>
              <w:pStyle w:val="Compact"/>
              <w:jc w:val="left"/>
            </w:pPr>
            <w:r>
              <w:t xml:space="preserve">Evidencia o justificación</w:t>
            </w:r>
          </w:p>
        </w:tc>
      </w:tr>
      <w:tr>
        <w:tc>
          <w:tcPr/>
          <w:p>
            <w:pPr>
              <w:pStyle w:val="Compact"/>
              <w:jc w:val="left"/>
            </w:pPr>
            <w:r>
              <w:t xml:space="preserve">Entidad jurídica evaluada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Función de despliegue de la Ley de IA de la UE</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 e identificación del inventario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Versión/configuración evaluada</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Clasificación de alto riesgo y punto exacto del anexo III</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 el desplegante un organismo de derecho público?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 el implementador una entidad privada que presta servicios públicos?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 de otro modo cubierto por el artículo 27?</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aplica una excepción legal o un trato especial?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 artículo 27 es legalmente requerido, aplicado voluntariamente, contractualmente requerido, o requerido por la política organizacional?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¿Qué fecha de aplicación específica de la disposición y norma transitoria se aplican?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Fuente jurídica oficial actual</w:t>
            </w:r>
          </w:p>
        </w:tc>
        <w:tc>
          <w:tcPr/>
          <w:p>
            <w:pPr>
              <w:pStyle w:val="Compact"/>
              <w:jc w:val="left"/>
            </w:pPr>
            <w:r>
              <w:t xml:space="preserve">- No, no.</w:t>
            </w:r>
          </w:p>
        </w:tc>
        <w:tc>
          <w:tcPr/>
          <w:p>
            <w:pPr>
              <w:pStyle w:val="Compact"/>
              <w:jc w:val="left"/>
            </w:pPr>
            <w:r>
              <w:t xml:space="preserve">- No, no.</w:t>
            </w:r>
          </w:p>
        </w:tc>
      </w:tr>
    </w:tbl>
    <w:p>
      <w:pPr>
        <w:pStyle w:val="BodyText"/>
      </w:pPr>
      <w:r>
        <w:t xml:space="preserve">** Conclusión sobre la aplicabilidad:</w:t>
      </w:r>
      <w:r>
        <w:rPr>
          <w:bCs/>
          <w:b/>
        </w:rPr>
        <w:t xml:space="preserve"> </w:t>
      </w:r>
      <w:r>
        <w:t xml:space="preserve"> </w:t>
      </w:r>
      <w:r>
        <w:t xml:space="preserve">Revisor jurídico cualificado:</w:t>
      </w:r>
      <w:r>
        <w:rPr>
          <w:bCs/>
          <w:b/>
        </w:rPr>
        <w:t xml:space="preserve"> </w:t>
      </w:r>
      <w:r>
        <w:t xml:space="preserve">Incertidumbre o condiciones:**</w:t>
      </w:r>
    </w:p>
    <w:bookmarkEnd w:id="1504"/>
    <w:bookmarkStart w:id="1505" w:name="contexto-de-sistema-uso-y-despliegue"/>
    <w:p>
      <w:pPr>
        <w:pStyle w:val="Heading2"/>
      </w:pPr>
      <w:r>
        <w:rPr>
          <w:rStyle w:val="SectionNumber"/>
        </w:rPr>
        <w:t xml:space="preserve">2.93</w:t>
      </w:r>
      <w:r>
        <w:tab/>
      </w:r>
      <w:r>
        <w:t xml:space="preserve">2. Contexto de sistema, uso y despliegue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Sistema/modelo y versión</w:t>
            </w:r>
          </w:p>
        </w:tc>
        <w:tc>
          <w:tcPr/>
          <w:p>
            <w:pPr>
              <w:pStyle w:val="Compact"/>
              <w:jc w:val="left"/>
            </w:pPr>
            <w:r>
              <w:t xml:space="preserve">- No, no.</w:t>
            </w:r>
          </w:p>
        </w:tc>
      </w:tr>
      <w:tr>
        <w:tc>
          <w:tcPr/>
          <w:p>
            <w:pPr>
              <w:pStyle w:val="Compact"/>
              <w:jc w:val="left"/>
            </w:pPr>
            <w:r>
              <w:t xml:space="preserve">Finalidad prevista</w:t>
            </w:r>
          </w:p>
        </w:tc>
        <w:tc>
          <w:tcPr/>
          <w:p>
            <w:pPr>
              <w:pStyle w:val="Compact"/>
              <w:jc w:val="left"/>
            </w:pPr>
            <w:r>
              <w:t xml:space="preserve">- No, no.</w:t>
            </w:r>
          </w:p>
        </w:tc>
      </w:tr>
      <w:tr>
        <w:tc>
          <w:tcPr/>
          <w:p>
            <w:pPr>
              <w:pStyle w:val="Compact"/>
              <w:jc w:val="left"/>
            </w:pPr>
            <w:r>
              <w:t xml:space="preserve">Uso real o propuesto</w:t>
            </w:r>
          </w:p>
        </w:tc>
        <w:tc>
          <w:tcPr/>
          <w:p>
            <w:pPr>
              <w:pStyle w:val="Compact"/>
              <w:jc w:val="left"/>
            </w:pPr>
            <w:r>
              <w:t xml:space="preserve">- No, no.</w:t>
            </w:r>
          </w:p>
        </w:tc>
      </w:tr>
      <w:tr>
        <w:tc>
          <w:tcPr/>
          <w:p>
            <w:pPr>
              <w:pStyle w:val="Compact"/>
              <w:jc w:val="left"/>
            </w:pPr>
            <w:r>
              <w:t xml:space="preserve">Decisión o proceso apoyados</w:t>
            </w:r>
          </w:p>
        </w:tc>
        <w:tc>
          <w:tcPr/>
          <w:p>
            <w:pPr>
              <w:pStyle w:val="Compact"/>
              <w:jc w:val="left"/>
            </w:pPr>
            <w:r>
              <w:t xml:space="preserve">- No, no.</w:t>
            </w:r>
          </w:p>
        </w:tc>
      </w:tr>
      <w:tr>
        <w:tc>
          <w:tcPr/>
          <w:p>
            <w:pPr>
              <w:pStyle w:val="Compact"/>
              <w:jc w:val="left"/>
            </w:pPr>
            <w:r>
              <w:t xml:space="preserve">Período y frecuencia de uso</w:t>
            </w:r>
          </w:p>
        </w:tc>
        <w:tc>
          <w:tcPr/>
          <w:p>
            <w:pPr>
              <w:pStyle w:val="Compact"/>
              <w:jc w:val="left"/>
            </w:pPr>
            <w:r>
              <w:t xml:space="preserve">- No, no.</w:t>
            </w:r>
          </w:p>
        </w:tc>
      </w:tr>
      <w:tr>
        <w:tc>
          <w:tcPr/>
          <w:p>
            <w:pPr>
              <w:pStyle w:val="Compact"/>
              <w:jc w:val="left"/>
            </w:pPr>
            <w:r>
              <w:t xml:space="preserve">Competencias</w:t>
            </w:r>
          </w:p>
        </w:tc>
        <w:tc>
          <w:tcPr/>
          <w:p>
            <w:pPr>
              <w:pStyle w:val="Compact"/>
              <w:jc w:val="left"/>
            </w:pPr>
            <w:r>
              <w:t xml:space="preserve">- No, no.</w:t>
            </w:r>
          </w:p>
        </w:tc>
      </w:tr>
      <w:tr>
        <w:tc>
          <w:tcPr/>
          <w:p>
            <w:pPr>
              <w:pStyle w:val="Compact"/>
              <w:jc w:val="left"/>
            </w:pPr>
            <w:r>
              <w:t xml:space="preserve">Usuarios y responsables de la toma de decisiones</w:t>
            </w:r>
          </w:p>
        </w:tc>
        <w:tc>
          <w:tcPr/>
          <w:p>
            <w:pPr>
              <w:pStyle w:val="Compact"/>
              <w:jc w:val="left"/>
            </w:pPr>
            <w:r>
              <w:t xml:space="preserve">- No, no.</w:t>
            </w:r>
          </w:p>
        </w:tc>
      </w:tr>
      <w:tr>
        <w:tc>
          <w:tcPr/>
          <w:p>
            <w:pPr>
              <w:pStyle w:val="Compact"/>
              <w:jc w:val="left"/>
            </w:pPr>
            <w:r>
              <w:t xml:space="preserve">Categorías de personas físicas y grupos afectados</w:t>
            </w:r>
          </w:p>
        </w:tc>
        <w:tc>
          <w:tcPr/>
          <w:p>
            <w:pPr>
              <w:pStyle w:val="Compact"/>
              <w:jc w:val="left"/>
            </w:pPr>
            <w:r>
              <w:t xml:space="preserve">- No, no.</w:t>
            </w:r>
          </w:p>
        </w:tc>
      </w:tr>
      <w:tr>
        <w:tc>
          <w:tcPr/>
          <w:p>
            <w:pPr>
              <w:pStyle w:val="Compact"/>
              <w:jc w:val="left"/>
            </w:pPr>
            <w:r>
              <w:t xml:space="preserve">Grupos vulnerables, insuficientemente representados o protegidos</w:t>
            </w:r>
          </w:p>
        </w:tc>
        <w:tc>
          <w:tcPr/>
          <w:p>
            <w:pPr>
              <w:pStyle w:val="Compact"/>
              <w:jc w:val="left"/>
            </w:pPr>
            <w:r>
              <w:t xml:space="preserve">- No, no.</w:t>
            </w:r>
          </w:p>
        </w:tc>
      </w:tr>
      <w:tr>
        <w:tc>
          <w:tcPr/>
          <w:p>
            <w:pPr>
              <w:pStyle w:val="Compact"/>
              <w:jc w:val="left"/>
            </w:pPr>
            <w:r>
              <w:t xml:space="preserve">Escala, duración, reversibilidad y efecto acumulativo</w:t>
            </w:r>
          </w:p>
        </w:tc>
        <w:tc>
          <w:tcPr/>
          <w:p>
            <w:pPr>
              <w:pStyle w:val="Compact"/>
              <w:jc w:val="left"/>
            </w:pPr>
            <w:r>
              <w:t xml:space="preserve">- No, no.</w:t>
            </w:r>
          </w:p>
        </w:tc>
      </w:tr>
      <w:tr>
        <w:tc>
          <w:tcPr/>
          <w:p>
            <w:pPr>
              <w:pStyle w:val="Compact"/>
              <w:jc w:val="left"/>
            </w:pPr>
            <w:r>
              <w:t xml:space="preserve">Grado de automatización e implicación humana</w:t>
            </w:r>
          </w:p>
        </w:tc>
        <w:tc>
          <w:tcPr/>
          <w:p>
            <w:pPr>
              <w:pStyle w:val="Compact"/>
              <w:jc w:val="left"/>
            </w:pPr>
            <w:r>
              <w:t xml:space="preserve">- No, no.</w:t>
            </w:r>
          </w:p>
        </w:tc>
      </w:tr>
      <w:tr>
        <w:tc>
          <w:tcPr/>
          <w:p>
            <w:pPr>
              <w:pStyle w:val="Compact"/>
              <w:jc w:val="left"/>
            </w:pPr>
            <w:r>
              <w:t xml:space="preserve">Categorías y fuentes de datos</w:t>
            </w:r>
          </w:p>
        </w:tc>
        <w:tc>
          <w:tcPr/>
          <w:p>
            <w:pPr>
              <w:pStyle w:val="Compact"/>
              <w:jc w:val="left"/>
            </w:pPr>
            <w:r>
              <w:t xml:space="preserve">- No, no.</w:t>
            </w:r>
          </w:p>
        </w:tc>
      </w:tr>
      <w:tr>
        <w:tc>
          <w:tcPr/>
          <w:p>
            <w:pPr>
              <w:pStyle w:val="Compact"/>
              <w:jc w:val="left"/>
            </w:pPr>
            <w:r>
              <w:t xml:space="preserve">Proveedores y dependencias críticas</w:t>
            </w:r>
          </w:p>
        </w:tc>
        <w:tc>
          <w:tcPr/>
          <w:p>
            <w:pPr>
              <w:pStyle w:val="Compact"/>
              <w:jc w:val="left"/>
            </w:pPr>
            <w:r>
              <w:t xml:space="preserve">- No, no.</w:t>
            </w:r>
          </w:p>
        </w:tc>
      </w:tr>
      <w:tr>
        <w:tc>
          <w:tcPr/>
          <w:p>
            <w:pPr>
              <w:pStyle w:val="Compact"/>
              <w:jc w:val="left"/>
            </w:pPr>
            <w:r>
              <w:t xml:space="preserve">Uso indebido y repurposición previsibles</w:t>
            </w:r>
          </w:p>
        </w:tc>
        <w:tc>
          <w:tcPr/>
          <w:p>
            <w:pPr>
              <w:pStyle w:val="Compact"/>
              <w:jc w:val="left"/>
            </w:pPr>
            <w:r>
              <w:t xml:space="preserve">- No, no.</w:t>
            </w:r>
          </w:p>
        </w:tc>
      </w:tr>
      <w:tr>
        <w:tc>
          <w:tcPr/>
          <w:p>
            <w:pPr>
              <w:pStyle w:val="Compact"/>
              <w:jc w:val="left"/>
            </w:pPr>
            <w:r>
              <w:t xml:space="preserve">Variante existente que no es la AI</w:t>
            </w:r>
          </w:p>
        </w:tc>
        <w:tc>
          <w:tcPr/>
          <w:p>
            <w:pPr>
              <w:pStyle w:val="Compact"/>
              <w:jc w:val="left"/>
            </w:pPr>
            <w:r>
              <w:t xml:space="preserve">- No, no.</w:t>
            </w:r>
          </w:p>
        </w:tc>
      </w:tr>
    </w:tbl>
    <w:bookmarkEnd w:id="1505"/>
    <w:bookmarkStart w:id="1506" w:name="experiencia-de-las-personas-afectadas"/>
    <w:p>
      <w:pPr>
        <w:pStyle w:val="Heading2"/>
      </w:pPr>
      <w:r>
        <w:rPr>
          <w:rStyle w:val="SectionNumber"/>
        </w:rPr>
        <w:t xml:space="preserve">2.94</w:t>
      </w:r>
      <w:r>
        <w:tab/>
      </w:r>
      <w:r>
        <w:t xml:space="preserve">3. Experiencia de las personas afectadas</w:t>
      </w:r>
    </w:p>
    <w:p>
      <w:pPr>
        <w:pStyle w:val="FirstParagraph"/>
      </w:pPr>
      <w:r>
        <w:t xml:space="preserve">Describir:</w:t>
      </w:r>
    </w:p>
    <w:p>
      <w:pPr>
        <w:numPr>
          <w:ilvl w:val="0"/>
          <w:numId w:val="1518"/>
        </w:numPr>
        <w:pStyle w:val="Compact"/>
      </w:pPr>
      <w:r>
        <w:t xml:space="preserve">cómo se encuentra la gente con el sistema;</w:t>
      </w:r>
    </w:p>
    <w:p>
      <w:pPr>
        <w:numPr>
          <w:ilvl w:val="0"/>
          <w:numId w:val="1518"/>
        </w:numPr>
        <w:pStyle w:val="Compact"/>
      </w:pPr>
      <w:r>
        <w:t xml:space="preserve">si la participación es voluntaria, evitable o prácticamente inevitable;</w:t>
      </w:r>
    </w:p>
    <w:p>
      <w:pPr>
        <w:numPr>
          <w:ilvl w:val="0"/>
          <w:numId w:val="1518"/>
        </w:numPr>
        <w:pStyle w:val="Compact"/>
      </w:pPr>
      <w:r>
        <w:t xml:space="preserve">qué información y notificación reciben;</w:t>
      </w:r>
    </w:p>
    <w:p>
      <w:pPr>
        <w:numPr>
          <w:ilvl w:val="0"/>
          <w:numId w:val="1518"/>
        </w:numPr>
        <w:pStyle w:val="Compact"/>
      </w:pPr>
      <w:r>
        <w:t xml:space="preserve">si pueden obtener una revisión humana significativa;</w:t>
      </w:r>
    </w:p>
    <w:p>
      <w:pPr>
        <w:numPr>
          <w:ilvl w:val="0"/>
          <w:numId w:val="1518"/>
        </w:numPr>
        <w:pStyle w:val="Compact"/>
      </w:pPr>
      <w:r>
        <w:t xml:space="preserve">cómo pueden impugnar, apelar, quejarse, corregir datos o buscar remedio;</w:t>
      </w:r>
    </w:p>
    <w:p>
      <w:pPr>
        <w:numPr>
          <w:ilvl w:val="0"/>
          <w:numId w:val="1518"/>
        </w:numPr>
        <w:pStyle w:val="Compact"/>
      </w:pPr>
      <w:r>
        <w:t xml:space="preserve">si el idioma, la discapacidad, la edad, la cultura, la situación económica o el acceso digital afectan a su capacidad de entender o responder;</w:t>
      </w:r>
    </w:p>
    <w:p>
      <w:pPr>
        <w:numPr>
          <w:ilvl w:val="0"/>
          <w:numId w:val="1518"/>
        </w:numPr>
        <w:pStyle w:val="Compact"/>
      </w:pPr>
      <w:r>
        <w:t xml:space="preserve">si pueden invertirse los errores o los resultados adversos;</w:t>
      </w:r>
    </w:p>
    <w:p>
      <w:pPr>
        <w:numPr>
          <w:ilvl w:val="0"/>
          <w:numId w:val="1518"/>
        </w:numPr>
        <w:pStyle w:val="Compact"/>
      </w:pPr>
      <w:r>
        <w:t xml:space="preserve">si múltiples sistemas o decisiones generan un daño acumulativo.</w:t>
      </w:r>
    </w:p>
    <w:bookmarkEnd w:id="1506"/>
    <w:bookmarkStart w:id="1507" w:name="análisis-de-derechos-e-intereses"/>
    <w:p>
      <w:pPr>
        <w:pStyle w:val="Heading2"/>
      </w:pPr>
      <w:r>
        <w:rPr>
          <w:rStyle w:val="SectionNumber"/>
        </w:rPr>
        <w:t xml:space="preserve">2.95</w:t>
      </w:r>
      <w:r>
        <w:tab/>
      </w:r>
      <w:r>
        <w:t xml:space="preserve">4. Análisis de derechos e intereses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Derecho o interés</w:t>
            </w:r>
          </w:p>
        </w:tc>
        <w:tc>
          <w:tcPr/>
          <w:p>
            <w:pPr>
              <w:pStyle w:val="Compact"/>
              <w:jc w:val="left"/>
            </w:pPr>
            <w:r>
              <w:t xml:space="preserve">Vía de impacto</w:t>
            </w:r>
          </w:p>
        </w:tc>
        <w:tc>
          <w:tcPr/>
          <w:p>
            <w:pPr>
              <w:pStyle w:val="Compact"/>
              <w:jc w:val="left"/>
            </w:pPr>
            <w:r>
              <w:t xml:space="preserve">Personas/grupos afectados</w:t>
            </w:r>
          </w:p>
        </w:tc>
        <w:tc>
          <w:tcPr/>
          <w:p>
            <w:pPr>
              <w:pStyle w:val="Compact"/>
              <w:jc w:val="left"/>
            </w:pPr>
            <w:r>
              <w:t xml:space="preserve">Severidad</w:t>
            </w:r>
          </w:p>
        </w:tc>
        <w:tc>
          <w:tcPr/>
          <w:p>
            <w:pPr>
              <w:pStyle w:val="Compact"/>
              <w:jc w:val="left"/>
            </w:pPr>
            <w:r>
              <w:t xml:space="preserve">Probabilidad</w:t>
            </w:r>
          </w:p>
        </w:tc>
        <w:tc>
          <w:tcPr/>
          <w:p>
            <w:pPr>
              <w:pStyle w:val="Compact"/>
              <w:jc w:val="left"/>
            </w:pPr>
            <w:r>
              <w:t xml:space="preserve">Salvaguardia existente</w:t>
            </w:r>
          </w:p>
        </w:tc>
        <w:tc>
          <w:tcPr/>
          <w:p>
            <w:pPr>
              <w:pStyle w:val="Compact"/>
              <w:jc w:val="left"/>
            </w:pPr>
            <w:r>
              <w:t xml:space="preserve">Riesgo residual</w:t>
            </w:r>
          </w:p>
        </w:tc>
      </w:tr>
      <w:tr>
        <w:tc>
          <w:tcPr/>
          <w:p>
            <w:pPr>
              <w:pStyle w:val="Compact"/>
              <w:jc w:val="left"/>
            </w:pPr>
            <w:r>
              <w:t xml:space="preserve">Dignidad y autonomía humanas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Privacidad y protección de datos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Igualdad y no discriminación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Accesibilidad y derechos de las personas con discapacidad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Derechos del niño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Empleo y condiciones de trabajo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Educación y acceso a la formación profesional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Acceso a servicios públicos o privados esenciales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Protección de los consumidores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Libertad de expresión e información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Libertad de reunión o de asociación,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 debido proceso, el recurso efectivo y un procedimiento justo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Salud y seguridad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Otros derechos aplicables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07"/>
    <w:bookmarkStart w:id="1508" w:name="vías-de-impacto"/>
    <w:p>
      <w:pPr>
        <w:pStyle w:val="Heading2"/>
      </w:pPr>
      <w:r>
        <w:rPr>
          <w:rStyle w:val="SectionNumber"/>
        </w:rPr>
        <w:t xml:space="preserve">2.96</w:t>
      </w:r>
      <w:r>
        <w:tab/>
      </w:r>
      <w:r>
        <w:t xml:space="preserve">5. Vías de impacto</w:t>
      </w:r>
    </w:p>
    <w:p>
      <w:pPr>
        <w:pStyle w:val="FirstParagraph"/>
      </w:pPr>
      <w:r>
        <w:t xml:space="preserve">Evaluar los riesgos derivados de:</w:t>
      </w:r>
    </w:p>
    <w:p>
      <w:pPr>
        <w:numPr>
          <w:ilvl w:val="0"/>
          <w:numId w:val="1519"/>
        </w:numPr>
        <w:pStyle w:val="Compact"/>
      </w:pPr>
      <w:r>
        <w:t xml:space="preserve">productos inexactos, poco fiables, fabricados o inestables;</w:t>
      </w:r>
    </w:p>
    <w:p>
      <w:pPr>
        <w:numPr>
          <w:ilvl w:val="0"/>
          <w:numId w:val="1519"/>
        </w:numPr>
        <w:pStyle w:val="Compact"/>
      </w:pPr>
      <w:r>
        <w:t xml:space="preserve">datos sesgados, subrepresentación o disparidades en los resultados de subgrupos;</w:t>
      </w:r>
    </w:p>
    <w:p>
      <w:pPr>
        <w:numPr>
          <w:ilvl w:val="0"/>
          <w:numId w:val="1519"/>
        </w:numPr>
        <w:pStyle w:val="Compact"/>
      </w:pPr>
      <w:r>
        <w:t xml:space="preserve">discriminación indirecta o desventaja acumulativa;</w:t>
      </w:r>
    </w:p>
    <w:p>
      <w:pPr>
        <w:numPr>
          <w:ilvl w:val="0"/>
          <w:numId w:val="1519"/>
        </w:numPr>
        <w:pStyle w:val="Compact"/>
      </w:pPr>
      <w:r>
        <w:t xml:space="preserve">sesgo de automatización, estampación de caucho o supervisión humana inadecuada;</w:t>
      </w:r>
    </w:p>
    <w:p>
      <w:pPr>
        <w:numPr>
          <w:ilvl w:val="0"/>
          <w:numId w:val="1519"/>
        </w:numPr>
        <w:pStyle w:val="Compact"/>
      </w:pPr>
      <w:r>
        <w:t xml:space="preserve">razonamiento opaco, notificación insuficiente o explicaciones inaccesibles;</w:t>
      </w:r>
    </w:p>
    <w:p>
      <w:pPr>
        <w:numPr>
          <w:ilvl w:val="0"/>
          <w:numId w:val="1519"/>
        </w:numPr>
        <w:pStyle w:val="Compact"/>
      </w:pPr>
      <w:r>
        <w:t xml:space="preserve">incapacidad para impugnar, corregir, apelar u obtener una intervención humana oportuna;</w:t>
      </w:r>
    </w:p>
    <w:p>
      <w:pPr>
        <w:numPr>
          <w:ilvl w:val="0"/>
          <w:numId w:val="1519"/>
        </w:numPr>
        <w:pStyle w:val="Compact"/>
      </w:pPr>
      <w:r>
        <w:t xml:space="preserve">vigilancia excesiva, supervisión, recopilación de datos o aumento de funciones;</w:t>
      </w:r>
    </w:p>
    <w:p>
      <w:pPr>
        <w:numPr>
          <w:ilvl w:val="0"/>
          <w:numId w:val="1519"/>
        </w:numPr>
        <w:pStyle w:val="Compact"/>
      </w:pPr>
      <w:r>
        <w:t xml:space="preserve">compromiso de seguridad, fuga de datos, inyección rápida o mal uso;</w:t>
      </w:r>
    </w:p>
    <w:p>
      <w:pPr>
        <w:numPr>
          <w:ilvl w:val="0"/>
          <w:numId w:val="1519"/>
        </w:numPr>
        <w:pStyle w:val="Compact"/>
      </w:pPr>
      <w:r>
        <w:t xml:space="preserve">cambio del propósito previsto, repurposición o expansión no autorizada de la población;</w:t>
      </w:r>
    </w:p>
    <w:p>
      <w:pPr>
        <w:numPr>
          <w:ilvl w:val="0"/>
          <w:numId w:val="1519"/>
        </w:numPr>
        <w:pStyle w:val="Compact"/>
      </w:pPr>
      <w:r>
        <w:t xml:space="preserve">el proveedor, el modelo, la documentación o las limitaciones de acceso a la auditoría;</w:t>
      </w:r>
    </w:p>
    <w:p>
      <w:pPr>
        <w:numPr>
          <w:ilvl w:val="0"/>
          <w:numId w:val="1519"/>
        </w:numPr>
        <w:pStyle w:val="Compact"/>
      </w:pPr>
      <w:r>
        <w:t xml:space="preserve">idioma, cultura, discapacidad o deficiencias en la accesibilidad;</w:t>
      </w:r>
    </w:p>
    <w:p>
      <w:pPr>
        <w:numPr>
          <w:ilvl w:val="0"/>
          <w:numId w:val="1519"/>
        </w:numPr>
        <w:pStyle w:val="Compact"/>
      </w:pPr>
      <w:r>
        <w:t xml:space="preserve">la interacción del sistema con otros procesos de decisión automatizados o humanos;</w:t>
      </w:r>
    </w:p>
    <w:p>
      <w:pPr>
        <w:numPr>
          <w:ilvl w:val="0"/>
          <w:numId w:val="1519"/>
        </w:numPr>
        <w:pStyle w:val="Compact"/>
      </w:pPr>
      <w:r>
        <w:t xml:space="preserve">interrupciones del servicio, fallos en la recuperación o pérdida del acceso a los servicios esenciales;</w:t>
      </w:r>
    </w:p>
    <w:p>
      <w:pPr>
        <w:numPr>
          <w:ilvl w:val="0"/>
          <w:numId w:val="1519"/>
        </w:numPr>
        <w:pStyle w:val="Compact"/>
      </w:pPr>
      <w:r>
        <w:t xml:space="preserve">exposición desigual a falsos positivos, falsos negativos, retrasos o cargas.</w:t>
      </w:r>
    </w:p>
    <w:bookmarkEnd w:id="1508"/>
    <w:bookmarkStart w:id="1509" w:name="X883663f576d7063f852d009192bb969ccf4b258"/>
    <w:p>
      <w:pPr>
        <w:pStyle w:val="Heading2"/>
      </w:pPr>
      <w:r>
        <w:rPr>
          <w:rStyle w:val="SectionNumber"/>
        </w:rPr>
        <w:t xml:space="preserve">2.97</w:t>
      </w:r>
      <w:r>
        <w:tab/>
      </w:r>
      <w:r>
        <w:t xml:space="preserve">6. Artículo 27, elementos mínimos, cuando proceda</w:t>
      </w:r>
    </w:p>
    <w:p>
      <w:pPr>
        <w:pStyle w:val="FirstParagraph"/>
      </w:pPr>
      <w:r>
        <w:t xml:space="preserve">Documento como mínimo:</w:t>
      </w:r>
    </w:p>
    <w:p>
      <w:pPr>
        <w:numPr>
          <w:ilvl w:val="0"/>
          <w:numId w:val="1520"/>
        </w:numPr>
        <w:pStyle w:val="Compact"/>
      </w:pPr>
      <w:r>
        <w:t xml:space="preserve">el proceso de despliegue en el que se utilizará el sistema de alto riesgo;</w:t>
      </w:r>
    </w:p>
    <w:p>
      <w:pPr>
        <w:numPr>
          <w:ilvl w:val="0"/>
          <w:numId w:val="1520"/>
        </w:numPr>
        <w:pStyle w:val="Compact"/>
      </w:pPr>
      <w:r>
        <w:t xml:space="preserve">el período y la frecuencia del uso previsto;</w:t>
      </w:r>
    </w:p>
    <w:p>
      <w:pPr>
        <w:numPr>
          <w:ilvl w:val="0"/>
          <w:numId w:val="1520"/>
        </w:numPr>
        <w:pStyle w:val="Compact"/>
      </w:pPr>
      <w:r>
        <w:t xml:space="preserve">categorías de personas físicas y grupos que puedan verse afectados;</w:t>
      </w:r>
    </w:p>
    <w:p>
      <w:pPr>
        <w:numPr>
          <w:ilvl w:val="0"/>
          <w:numId w:val="1520"/>
        </w:numPr>
        <w:pStyle w:val="Compact"/>
      </w:pPr>
      <w:r>
        <w:t xml:space="preserve">los riesgos específicos de daño a los derechos fundamentales;</w:t>
      </w:r>
    </w:p>
    <w:p>
      <w:pPr>
        <w:numPr>
          <w:ilvl w:val="0"/>
          <w:numId w:val="1520"/>
        </w:numPr>
        <w:pStyle w:val="Compact"/>
      </w:pPr>
      <w:r>
        <w:t xml:space="preserve">medidas de supervisión humana;</w:t>
      </w:r>
    </w:p>
    <w:p>
      <w:pPr>
        <w:numPr>
          <w:ilvl w:val="0"/>
          <w:numId w:val="1520"/>
        </w:numPr>
        <w:pStyle w:val="Compact"/>
      </w:pPr>
      <w:r>
        <w:t xml:space="preserve">las medidas que deben adoptarse en caso de que los riesgos se materialicen;</w:t>
      </w:r>
    </w:p>
    <w:p>
      <w:pPr>
        <w:numPr>
          <w:ilvl w:val="0"/>
          <w:numId w:val="1520"/>
        </w:numPr>
        <w:pStyle w:val="Compact"/>
      </w:pPr>
      <w:r>
        <w:t xml:space="preserve">gobernanza, quejas, medidas de reparación, escalada, restricción, suspensión y reversión;</w:t>
      </w:r>
    </w:p>
    <w:p>
      <w:pPr>
        <w:numPr>
          <w:ilvl w:val="0"/>
          <w:numId w:val="1520"/>
        </w:numPr>
        <w:pStyle w:val="Compact"/>
      </w:pPr>
      <w:r>
        <w:t xml:space="preserve">coordinación con el DPIA, cuando proceda;</w:t>
      </w:r>
    </w:p>
    <w:p>
      <w:pPr>
        <w:numPr>
          <w:ilvl w:val="0"/>
          <w:numId w:val="1520"/>
        </w:numPr>
        <w:pStyle w:val="Compact"/>
      </w:pPr>
      <w:r>
        <w:t xml:space="preserve">notificación, presentación o registro requeridos ante la autoridad competente mediante el procedimiento legal vigente;</w:t>
      </w:r>
    </w:p>
    <w:p>
      <w:pPr>
        <w:numPr>
          <w:ilvl w:val="0"/>
          <w:numId w:val="1520"/>
        </w:numPr>
        <w:pStyle w:val="Compact"/>
      </w:pPr>
      <w:r>
        <w:t xml:space="preserve">la fecha, el destinatario, el reconocimiento y las obligaciones de seguimiento.</w:t>
      </w:r>
    </w:p>
    <w:bookmarkEnd w:id="1509"/>
    <w:bookmarkStart w:id="1510" w:name="X91863487fea70980bd16c55591aa0e0e920bc65"/>
    <w:p>
      <w:pPr>
        <w:pStyle w:val="Heading2"/>
      </w:pPr>
      <w:r>
        <w:rPr>
          <w:rStyle w:val="SectionNumber"/>
        </w:rPr>
        <w:t xml:space="preserve">2.98</w:t>
      </w:r>
      <w:r>
        <w:tab/>
      </w:r>
      <w:r>
        <w:t xml:space="preserve">7. Participación de los interesados y las personas afectadas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Partes interesadas o grupo</w:t>
            </w:r>
          </w:p>
        </w:tc>
        <w:tc>
          <w:tcPr/>
          <w:p>
            <w:pPr>
              <w:pStyle w:val="Compact"/>
              <w:jc w:val="left"/>
            </w:pPr>
            <w:r>
              <w:t xml:space="preserve">Por qué es relevante</w:t>
            </w:r>
          </w:p>
        </w:tc>
        <w:tc>
          <w:tcPr/>
          <w:p>
            <w:pPr>
              <w:pStyle w:val="Compact"/>
              <w:jc w:val="left"/>
            </w:pPr>
            <w:r>
              <w:t xml:space="preserve">Método</w:t>
            </w:r>
          </w:p>
        </w:tc>
        <w:tc>
          <w:tcPr/>
          <w:p>
            <w:pPr>
              <w:pStyle w:val="Compact"/>
              <w:jc w:val="left"/>
            </w:pPr>
            <w:r>
              <w:t xml:space="preserve">Principales preocupaciones o pruebas</w:t>
            </w:r>
          </w:p>
        </w:tc>
        <w:tc>
          <w:tcPr/>
          <w:p>
            <w:pPr>
              <w:pStyle w:val="Compact"/>
              <w:jc w:val="left"/>
            </w:pPr>
            <w:r>
              <w:t xml:space="preserve">Respuesta de la organización</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Considerar, cuando sea proporcionado o legalmente requerido:</w:t>
      </w:r>
    </w:p>
    <w:p>
      <w:pPr>
        <w:numPr>
          <w:ilvl w:val="0"/>
          <w:numId w:val="1521"/>
        </w:numPr>
        <w:pStyle w:val="Compact"/>
      </w:pPr>
      <w:r>
        <w:t xml:space="preserve">las personas afectadas y las organizaciones representativas;</w:t>
      </w:r>
    </w:p>
    <w:p>
      <w:pPr>
        <w:numPr>
          <w:ilvl w:val="0"/>
          <w:numId w:val="1521"/>
        </w:numPr>
        <w:pStyle w:val="Compact"/>
      </w:pPr>
      <w:r>
        <w:t xml:space="preserve">trabajadores y representantes de los trabajadores;</w:t>
      </w:r>
    </w:p>
    <w:p>
      <w:pPr>
        <w:numPr>
          <w:ilvl w:val="0"/>
          <w:numId w:val="1521"/>
        </w:numPr>
        <w:pStyle w:val="Compact"/>
      </w:pPr>
      <w:r>
        <w:t xml:space="preserve">especialistas en accesibilidad y discapacidad;</w:t>
      </w:r>
    </w:p>
    <w:p>
      <w:pPr>
        <w:numPr>
          <w:ilvl w:val="0"/>
          <w:numId w:val="1521"/>
        </w:numPr>
        <w:pStyle w:val="Compact"/>
      </w:pPr>
      <w:r>
        <w:t xml:space="preserve">la igualdad, los derechos civiles y los expertos en derechos del niño;</w:t>
      </w:r>
    </w:p>
    <w:p>
      <w:pPr>
        <w:numPr>
          <w:ilvl w:val="0"/>
          <w:numId w:val="1521"/>
        </w:numPr>
        <w:pStyle w:val="Compact"/>
      </w:pPr>
      <w:r>
        <w:t xml:space="preserve">profesionales de los dominios;</w:t>
      </w:r>
    </w:p>
    <w:p>
      <w:pPr>
        <w:numPr>
          <w:ilvl w:val="0"/>
          <w:numId w:val="1521"/>
        </w:numPr>
        <w:pStyle w:val="Compact"/>
      </w:pPr>
      <w:r>
        <w:t xml:space="preserve">Legal, Cumplimiento, Privacidad, Seguridad, Recursos Humanos, Producto y Riesgo;</w:t>
      </w:r>
    </w:p>
    <w:p>
      <w:pPr>
        <w:numPr>
          <w:ilvl w:val="0"/>
          <w:numId w:val="1521"/>
        </w:numPr>
        <w:pStyle w:val="Compact"/>
      </w:pPr>
      <w:r>
        <w:t xml:space="preserve">revisores independientes u órganos de ética.</w:t>
      </w:r>
    </w:p>
    <w:p>
      <w:pPr>
        <w:pStyle w:val="FirstParagraph"/>
      </w:pPr>
      <w:r>
        <w:t xml:space="preserve">Cuando no se lleve a cabo la consulta, documentar el fundamento jurídico y de proporcionalidad y cualquier prueba alternativa utilizada.</w:t>
      </w:r>
    </w:p>
    <w:bookmarkEnd w:id="1510"/>
    <w:bookmarkStart w:id="1511" w:name="salvaguardias-existentes"/>
    <w:p>
      <w:pPr>
        <w:pStyle w:val="Heading2"/>
      </w:pPr>
      <w:r>
        <w:rPr>
          <w:rStyle w:val="SectionNumber"/>
        </w:rPr>
        <w:t xml:space="preserve">2.99</w:t>
      </w:r>
      <w:r>
        <w:tab/>
      </w:r>
      <w:r>
        <w:t xml:space="preserve">8. Salvaguardias existentes</w:t>
      </w:r>
    </w:p>
    <w:p>
      <w:pPr>
        <w:pStyle w:val="FirstParagraph"/>
      </w:pPr>
      <w:r>
        <w:t xml:space="preserve">Documento y prueba:</w:t>
      </w:r>
    </w:p>
    <w:p>
      <w:pPr>
        <w:numPr>
          <w:ilvl w:val="0"/>
          <w:numId w:val="1522"/>
        </w:numPr>
        <w:pStyle w:val="Compact"/>
      </w:pPr>
      <w:r>
        <w:t xml:space="preserve">la gobernanza de los datos y los controles de minimización;</w:t>
      </w:r>
    </w:p>
    <w:p>
      <w:pPr>
        <w:numPr>
          <w:ilvl w:val="0"/>
          <w:numId w:val="1522"/>
        </w:numPr>
        <w:pStyle w:val="Compact"/>
      </w:pPr>
      <w:r>
        <w:t xml:space="preserve">validación, sesgo, subgrupo, lenguaje y pruebas de accesibilidad;</w:t>
      </w:r>
    </w:p>
    <w:p>
      <w:pPr>
        <w:numPr>
          <w:ilvl w:val="0"/>
          <w:numId w:val="1522"/>
        </w:numPr>
        <w:pStyle w:val="Compact"/>
      </w:pPr>
      <w:r>
        <w:t xml:space="preserve">competencia, autoridad, dotación de personal, anulación y control de la supervisión humana;</w:t>
      </w:r>
    </w:p>
    <w:p>
      <w:pPr>
        <w:numPr>
          <w:ilvl w:val="0"/>
          <w:numId w:val="1522"/>
        </w:numPr>
        <w:pStyle w:val="Compact"/>
      </w:pPr>
      <w:r>
        <w:t xml:space="preserve">los avisos de transparencia, explicaciones, instrucciones y comunicación entre las personas afectadas;</w:t>
      </w:r>
    </w:p>
    <w:p>
      <w:pPr>
        <w:numPr>
          <w:ilvl w:val="0"/>
          <w:numId w:val="1522"/>
        </w:numPr>
        <w:pStyle w:val="Compact"/>
      </w:pPr>
      <w:r>
        <w:t xml:space="preserve">mecanismos de apelación, denuncia, corrección y reparación;</w:t>
      </w:r>
    </w:p>
    <w:p>
      <w:pPr>
        <w:numPr>
          <w:ilvl w:val="0"/>
          <w:numId w:val="1522"/>
        </w:numPr>
        <w:pStyle w:val="Compact"/>
      </w:pPr>
      <w:r>
        <w:t xml:space="preserve">seguridad, privacidad, acceso, registro y controles de pruebas;</w:t>
      </w:r>
    </w:p>
    <w:p>
      <w:pPr>
        <w:numPr>
          <w:ilvl w:val="0"/>
          <w:numId w:val="1522"/>
        </w:numPr>
        <w:pStyle w:val="Compact"/>
      </w:pPr>
      <w:r>
        <w:t xml:space="preserve">los procesos de seguimiento, incidente, notificación y medidas correctoras;</w:t>
      </w:r>
    </w:p>
    <w:p>
      <w:pPr>
        <w:numPr>
          <w:ilvl w:val="0"/>
          <w:numId w:val="1522"/>
        </w:numPr>
        <w:pStyle w:val="Compact"/>
      </w:pPr>
      <w:r>
        <w:t xml:space="preserve">proveedores, contratos, derechos de auditoría, notificación de cambios y controles de salida;</w:t>
      </w:r>
    </w:p>
    <w:p>
      <w:pPr>
        <w:numPr>
          <w:ilvl w:val="0"/>
          <w:numId w:val="1522"/>
        </w:numPr>
        <w:pStyle w:val="Compact"/>
      </w:pPr>
      <w:r>
        <w:t xml:space="preserve">restricciones a la finalidad, población, jurisdicción, datos, automatización y repurposición;</w:t>
      </w:r>
    </w:p>
    <w:p>
      <w:pPr>
        <w:numPr>
          <w:ilvl w:val="0"/>
          <w:numId w:val="1522"/>
        </w:numPr>
        <w:pStyle w:val="Compact"/>
      </w:pPr>
      <w:r>
        <w:t xml:space="preserve">la recuperación, la continuidad de las operaciones y las alternativas manuales.</w:t>
      </w:r>
    </w:p>
    <w:bookmarkEnd w:id="1511"/>
    <w:bookmarkStart w:id="1512" w:name="evaluación-de-los-efectos-residuales"/>
    <w:p>
      <w:pPr>
        <w:pStyle w:val="Heading2"/>
      </w:pPr>
      <w:r>
        <w:rPr>
          <w:rStyle w:val="SectionNumber"/>
        </w:rPr>
        <w:t xml:space="preserve">2.100</w:t>
      </w:r>
      <w:r>
        <w:tab/>
      </w:r>
      <w:r>
        <w:t xml:space="preserve">9. Evaluación de los efectos residuales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Impacto</w:t>
            </w:r>
          </w:p>
        </w:tc>
        <w:tc>
          <w:tcPr/>
          <w:p>
            <w:pPr>
              <w:pStyle w:val="Compact"/>
              <w:jc w:val="left"/>
            </w:pPr>
            <w:r>
              <w:t xml:space="preserve">Riesgo inherente</w:t>
            </w:r>
          </w:p>
        </w:tc>
        <w:tc>
          <w:tcPr/>
          <w:p>
            <w:pPr>
              <w:pStyle w:val="Compact"/>
              <w:jc w:val="left"/>
            </w:pPr>
            <w:r>
              <w:t xml:space="preserve">Salvaguardias</w:t>
            </w:r>
          </w:p>
        </w:tc>
        <w:tc>
          <w:tcPr/>
          <w:p>
            <w:pPr>
              <w:pStyle w:val="Compact"/>
              <w:jc w:val="left"/>
            </w:pPr>
            <w:r>
              <w:t xml:space="preserve">Eficacia de las salvaguardias</w:t>
            </w:r>
          </w:p>
        </w:tc>
        <w:tc>
          <w:tcPr/>
          <w:p>
            <w:pPr>
              <w:pStyle w:val="Compact"/>
              <w:jc w:val="left"/>
            </w:pPr>
            <w:r>
              <w:t xml:space="preserve">Riesgo residual</w:t>
            </w:r>
          </w:p>
        </w:tc>
        <w:tc>
          <w:tcPr/>
          <w:p>
            <w:pPr>
              <w:pStyle w:val="Compact"/>
              <w:jc w:val="left"/>
            </w:pPr>
            <w:r>
              <w:t xml:space="preserve">¿Aceptable?</w:t>
            </w:r>
          </w:p>
        </w:tc>
        <w:tc>
          <w:tcPr/>
          <w:p>
            <w:pPr>
              <w:pStyle w:val="Compact"/>
              <w:jc w:val="left"/>
            </w:pPr>
            <w:r>
              <w:t xml:space="preserve">Propietario</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La aceptación del riesgo residual no debe invalidar una prohibición ni permitir el incumplimiento de un deber jurídico vinculante.</w:t>
      </w:r>
    </w:p>
    <w:bookmarkEnd w:id="1512"/>
    <w:bookmarkStart w:id="1513" w:name="X9fc98e745b9032250b957c990a86be587acd696"/>
    <w:p>
      <w:pPr>
        <w:pStyle w:val="Heading2"/>
      </w:pPr>
      <w:r>
        <w:rPr>
          <w:rStyle w:val="SectionNumber"/>
        </w:rPr>
        <w:t xml:space="preserve">2.101</w:t>
      </w:r>
      <w:r>
        <w:tab/>
      </w:r>
      <w:r>
        <w:t xml:space="preserve">10. Necesidad, proporcionalidad y alternativas</w:t>
      </w:r>
    </w:p>
    <w:p>
      <w:pPr>
        <w:pStyle w:val="FirstParagraph"/>
      </w:pPr>
      <w:r>
        <w:t xml:space="preserve">Documento:</w:t>
      </w:r>
    </w:p>
    <w:p>
      <w:pPr>
        <w:numPr>
          <w:ilvl w:val="0"/>
          <w:numId w:val="1523"/>
        </w:numPr>
        <w:pStyle w:val="Compact"/>
      </w:pPr>
      <w:r>
        <w:t xml:space="preserve">el objetivo legítimo;</w:t>
      </w:r>
    </w:p>
    <w:p>
      <w:pPr>
        <w:numPr>
          <w:ilvl w:val="0"/>
          <w:numId w:val="1523"/>
        </w:numPr>
        <w:pStyle w:val="Compact"/>
      </w:pPr>
      <w:r>
        <w:t xml:space="preserve">por qué la IA es necesaria o materialmente beneficiosa;</w:t>
      </w:r>
    </w:p>
    <w:p>
      <w:pPr>
        <w:numPr>
          <w:ilvl w:val="0"/>
          <w:numId w:val="1523"/>
        </w:numPr>
        <w:pStyle w:val="Compact"/>
      </w:pPr>
      <w:r>
        <w:t xml:space="preserve">alternativas menos intrusivas o no intrusivas consideradas;</w:t>
      </w:r>
    </w:p>
    <w:p>
      <w:pPr>
        <w:numPr>
          <w:ilvl w:val="0"/>
          <w:numId w:val="1523"/>
        </w:numPr>
        <w:pStyle w:val="Compact"/>
      </w:pPr>
      <w:r>
        <w:t xml:space="preserve">si puede reducirse el alcance, la población, los datos, la automatización o la duración;</w:t>
      </w:r>
    </w:p>
    <w:p>
      <w:pPr>
        <w:numPr>
          <w:ilvl w:val="0"/>
          <w:numId w:val="1523"/>
        </w:numPr>
        <w:pStyle w:val="Compact"/>
      </w:pPr>
      <w:r>
        <w:t xml:space="preserve">si las prestaciones están respaldadas por pruebas y no por suposiciones;</w:t>
      </w:r>
    </w:p>
    <w:p>
      <w:pPr>
        <w:numPr>
          <w:ilvl w:val="0"/>
          <w:numId w:val="1523"/>
        </w:numPr>
        <w:pStyle w:val="Compact"/>
      </w:pPr>
      <w:r>
        <w:t xml:space="preserve">si las cargas y los riesgos recaen de manera desproporcionada en determinados grupos;</w:t>
      </w:r>
    </w:p>
    <w:p>
      <w:pPr>
        <w:numPr>
          <w:ilvl w:val="0"/>
          <w:numId w:val="1523"/>
        </w:numPr>
        <w:pStyle w:val="Compact"/>
      </w:pPr>
      <w:r>
        <w:t xml:space="preserve">las condiciones necesarias para mantener la proporcionalidad a lo largo del tiempo.</w:t>
      </w:r>
    </w:p>
    <w:bookmarkEnd w:id="1513"/>
    <w:bookmarkStart w:id="1515" w:name="decisión-2"/>
    <w:p>
      <w:pPr>
        <w:pStyle w:val="Heading2"/>
      </w:pPr>
      <w:r>
        <w:rPr>
          <w:rStyle w:val="SectionNumber"/>
        </w:rPr>
        <w:t xml:space="preserve">2.102</w:t>
      </w:r>
      <w:r>
        <w:tab/>
      </w:r>
      <w:r>
        <w:t xml:space="preserve">11. Decisión</w:t>
      </w:r>
    </w:p>
    <w:p>
      <w:pPr>
        <w:numPr>
          <w:ilvl w:val="0"/>
          <w:numId w:val="1524"/>
        </w:numPr>
        <w:pStyle w:val="Compact"/>
      </w:pPr>
      <w:r>
        <w:t xml:space="preserve">☐ Artículo 27 de la Ley FRI completo</w:t>
      </w:r>
    </w:p>
    <w:p>
      <w:pPr>
        <w:numPr>
          <w:ilvl w:val="0"/>
          <w:numId w:val="1524"/>
        </w:numPr>
        <w:pStyle w:val="Compact"/>
      </w:pPr>
      <w:r>
        <w:t xml:space="preserve">☐ Examen voluntario u organizacional de los derechos</w:t>
      </w:r>
    </w:p>
    <w:p>
      <w:pPr>
        <w:numPr>
          <w:ilvl w:val="0"/>
          <w:numId w:val="1524"/>
        </w:numPr>
        <w:pStyle w:val="Compact"/>
      </w:pPr>
      <w:r>
        <w:t xml:space="preserve">☐ Aprobado</w:t>
      </w:r>
    </w:p>
    <w:p>
      <w:pPr>
        <w:numPr>
          <w:ilvl w:val="0"/>
          <w:numId w:val="1524"/>
        </w:numPr>
        <w:pStyle w:val="Compact"/>
      </w:pPr>
      <w:r>
        <w:t xml:space="preserve">☐ Aprobado con condiciones</w:t>
      </w:r>
    </w:p>
    <w:p>
      <w:pPr>
        <w:numPr>
          <w:ilvl w:val="0"/>
          <w:numId w:val="1524"/>
        </w:numPr>
        <w:pStyle w:val="Compact"/>
      </w:pPr>
      <w:r>
        <w:t xml:space="preserve">☐ Piloto restringido con vigilancia mejorada</w:t>
      </w:r>
    </w:p>
    <w:p>
      <w:pPr>
        <w:numPr>
          <w:ilvl w:val="0"/>
          <w:numId w:val="1524"/>
        </w:numPr>
        <w:pStyle w:val="Compact"/>
      </w:pPr>
      <w:r>
        <w:t xml:space="preserve">☐ Diferido pendiente de rehabilitación o pruebas</w:t>
      </w:r>
    </w:p>
    <w:p>
      <w:pPr>
        <w:numPr>
          <w:ilvl w:val="0"/>
          <w:numId w:val="1524"/>
        </w:numPr>
        <w:pStyle w:val="Compact"/>
      </w:pPr>
      <w:r>
        <w:t xml:space="preserve">☐ Uso restringido o suspendido</w:t>
      </w:r>
    </w:p>
    <w:p>
      <w:pPr>
        <w:numPr>
          <w:ilvl w:val="0"/>
          <w:numId w:val="1524"/>
        </w:numPr>
        <w:pStyle w:val="Compact"/>
      </w:pPr>
      <w:r>
        <w:t xml:space="preserve">☐ Prohibida o retirada</w:t>
      </w:r>
    </w:p>
    <w:p>
      <w:pPr>
        <w:numPr>
          <w:ilvl w:val="0"/>
          <w:numId w:val="1524"/>
        </w:numPr>
        <w:pStyle w:val="Compact"/>
      </w:pPr>
      <w:r>
        <w:t xml:space="preserve">☐ Escalonado al ejecutivo, junta, autoridad, o revisión legal calificada</w:t>
      </w:r>
    </w:p>
    <w:bookmarkStart w:id="1514" w:name="justificación-de-la-decisión"/>
    <w:p>
      <w:pPr>
        <w:pStyle w:val="Heading3"/>
      </w:pPr>
      <w:r>
        <w:rPr>
          <w:rStyle w:val="SectionNumber"/>
        </w:rPr>
        <w:t xml:space="preserve">2.102.1</w:t>
      </w:r>
      <w:r>
        <w:tab/>
      </w:r>
      <w:r>
        <w:t xml:space="preserve">Justificación de la decisión</w:t>
      </w:r>
    </w:p>
    <w:p>
      <w:pPr>
        <w:pStyle w:val="FirstParagraph"/>
      </w:pPr>
      <w:r>
        <w:t xml:space="preserve">Documentar la base jurídica, los beneficios, la necesidad, la proporcionalidad, las alternativas, las pruebas de las partes interesadas, la incertidumbre no resuelta, las salvaguardias, el riesgo residual, las condiciones de aprobación y el estado del proceso de autoridad.</w:t>
      </w:r>
    </w:p>
    <w:bookmarkEnd w:id="1514"/>
    <w:bookmarkEnd w:id="1515"/>
    <w:bookmarkStart w:id="1516" w:name="plan-de-acción"/>
    <w:p>
      <w:pPr>
        <w:pStyle w:val="Heading2"/>
      </w:pPr>
      <w:r>
        <w:rPr>
          <w:rStyle w:val="SectionNumber"/>
        </w:rPr>
        <w:t xml:space="preserve">2.103</w:t>
      </w:r>
      <w:r>
        <w:tab/>
      </w:r>
      <w:r>
        <w:t xml:space="preserve">12. Plan de acción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Prioridad</w:t>
            </w:r>
          </w:p>
        </w:tc>
        <w:tc>
          <w:tcPr/>
          <w:p>
            <w:pPr>
              <w:pStyle w:val="Compact"/>
              <w:jc w:val="left"/>
            </w:pPr>
            <w:r>
              <w:t xml:space="preserve">Situación</w:t>
            </w:r>
          </w:p>
        </w:tc>
        <w:tc>
          <w:tcPr/>
          <w:p>
            <w:pPr>
              <w:pStyle w:val="Compact"/>
              <w:jc w:val="left"/>
            </w:pPr>
            <w:r>
              <w:t xml:space="preserve">Método de validación</w:t>
            </w:r>
          </w:p>
        </w:tc>
        <w:tc>
          <w:tcPr/>
          <w:p>
            <w:pPr>
              <w:pStyle w:val="Compact"/>
              <w:jc w:val="left"/>
            </w:pPr>
            <w:r>
              <w:t xml:space="preserve">Pruebas de cierre</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16"/>
    <w:bookmarkStart w:id="1517" w:name="supervisión-y-reevaluación"/>
    <w:p>
      <w:pPr>
        <w:pStyle w:val="Heading2"/>
      </w:pPr>
      <w:r>
        <w:rPr>
          <w:rStyle w:val="SectionNumber"/>
        </w:rPr>
        <w:t xml:space="preserve">2.104</w:t>
      </w:r>
      <w:r>
        <w:tab/>
      </w:r>
      <w:r>
        <w:t xml:space="preserve">13. Supervisión y reevaluación</w:t>
      </w:r>
    </w:p>
    <w:p>
      <w:pPr>
        <w:pStyle w:val="FirstParagraph"/>
      </w:pPr>
      <w:r>
        <w:t xml:space="preserve">Definir:</w:t>
      </w:r>
    </w:p>
    <w:p>
      <w:pPr>
        <w:numPr>
          <w:ilvl w:val="0"/>
          <w:numId w:val="1525"/>
        </w:numPr>
        <w:pStyle w:val="Compact"/>
      </w:pPr>
      <w:r>
        <w:t xml:space="preserve">rendimiento, error, sesgo, subgrupo, lenguaje, accesibilidad y sobrevaloración de las métricas;</w:t>
      </w:r>
    </w:p>
    <w:p>
      <w:pPr>
        <w:numPr>
          <w:ilvl w:val="0"/>
          <w:numId w:val="1525"/>
        </w:numPr>
        <w:pStyle w:val="Compact"/>
      </w:pPr>
      <w:r>
        <w:t xml:space="preserve">tendencias de reclamación, apelación, corrección y reparación;</w:t>
      </w:r>
    </w:p>
    <w:p>
      <w:pPr>
        <w:numPr>
          <w:ilvl w:val="0"/>
          <w:numId w:val="1525"/>
        </w:numPr>
        <w:pStyle w:val="Compact"/>
      </w:pPr>
      <w:r>
        <w:t xml:space="preserve">incidentes, cerca de fallos, y desencadenantes de la notificación;</w:t>
      </w:r>
    </w:p>
    <w:p>
      <w:pPr>
        <w:numPr>
          <w:ilvl w:val="0"/>
          <w:numId w:val="1525"/>
        </w:numPr>
        <w:pStyle w:val="Compact"/>
      </w:pPr>
      <w:r>
        <w:t xml:space="preserve">los cambios en el proveedor y el modelo;</w:t>
      </w:r>
    </w:p>
    <w:p>
      <w:pPr>
        <w:numPr>
          <w:ilvl w:val="0"/>
          <w:numId w:val="1525"/>
        </w:numPr>
        <w:pStyle w:val="Compact"/>
      </w:pPr>
      <w:r>
        <w:t xml:space="preserve">cambios en la población afectada o en la jurisdicción;</w:t>
      </w:r>
    </w:p>
    <w:p>
      <w:pPr>
        <w:numPr>
          <w:ilvl w:val="0"/>
          <w:numId w:val="1525"/>
        </w:numPr>
        <w:pStyle w:val="Compact"/>
      </w:pPr>
      <w:r>
        <w:t xml:space="preserve">umbrales de riesgo residual;</w:t>
      </w:r>
    </w:p>
    <w:p>
      <w:pPr>
        <w:numPr>
          <w:ilvl w:val="0"/>
          <w:numId w:val="1525"/>
        </w:numPr>
        <w:pStyle w:val="Compact"/>
      </w:pPr>
      <w:r>
        <w:t xml:space="preserve">los criterios de suspensión, retroceso, restricción o retirada;</w:t>
      </w:r>
    </w:p>
    <w:p>
      <w:pPr>
        <w:numPr>
          <w:ilvl w:val="0"/>
          <w:numId w:val="1525"/>
        </w:numPr>
        <w:pStyle w:val="Compact"/>
      </w:pPr>
      <w:r>
        <w:t xml:space="preserve">información sobre los destinatarios y la frecuencia;</w:t>
      </w:r>
    </w:p>
    <w:p>
      <w:pPr>
        <w:numPr>
          <w:ilvl w:val="0"/>
          <w:numId w:val="1525"/>
        </w:numPr>
        <w:pStyle w:val="Compact"/>
      </w:pPr>
      <w:r>
        <w:t xml:space="preserve">propietario de la reevaluación y el calendario.</w:t>
      </w:r>
    </w:p>
    <w:bookmarkEnd w:id="1517"/>
    <w:bookmarkStart w:id="1518" w:name="detonadores-de-la-revisión-3"/>
    <w:p>
      <w:pPr>
        <w:pStyle w:val="Heading2"/>
      </w:pPr>
      <w:r>
        <w:rPr>
          <w:rStyle w:val="SectionNumber"/>
        </w:rPr>
        <w:t xml:space="preserve">2.105</w:t>
      </w:r>
      <w:r>
        <w:tab/>
      </w:r>
      <w:r>
        <w:t xml:space="preserve">14. Detonadores de la revisión</w:t>
      </w:r>
    </w:p>
    <w:p>
      <w:pPr>
        <w:pStyle w:val="FirstParagraph"/>
      </w:pPr>
      <w:r>
        <w:t xml:space="preserve">Volver a evaluar después de:</w:t>
      </w:r>
    </w:p>
    <w:p>
      <w:pPr>
        <w:numPr>
          <w:ilvl w:val="0"/>
          <w:numId w:val="1526"/>
        </w:numPr>
        <w:pStyle w:val="Compact"/>
      </w:pPr>
      <w:r>
        <w:t xml:space="preserve">cambio de propósito, uso real o contexto de decisión;</w:t>
      </w:r>
    </w:p>
    <w:p>
      <w:pPr>
        <w:numPr>
          <w:ilvl w:val="0"/>
          <w:numId w:val="1526"/>
        </w:numPr>
        <w:pStyle w:val="Compact"/>
      </w:pPr>
      <w:r>
        <w:t xml:space="preserve">nueva población, grupo vulnerable, jurisdicción, idioma o servicio;</w:t>
      </w:r>
    </w:p>
    <w:p>
      <w:pPr>
        <w:numPr>
          <w:ilvl w:val="0"/>
          <w:numId w:val="1526"/>
        </w:numPr>
        <w:pStyle w:val="Compact"/>
      </w:pPr>
      <w:r>
        <w:t xml:space="preserve">modelo, versión, datos, rapidez, herramienta, interfaz o cambio de autonomía;</w:t>
      </w:r>
    </w:p>
    <w:p>
      <w:pPr>
        <w:numPr>
          <w:ilvl w:val="0"/>
          <w:numId w:val="1526"/>
        </w:numPr>
        <w:pStyle w:val="Compact"/>
      </w:pPr>
      <w:r>
        <w:t xml:space="preserve">modificación del mecanismo de supervisión humana, dotación de personal, apelación o recurso;</w:t>
      </w:r>
    </w:p>
    <w:p>
      <w:pPr>
        <w:numPr>
          <w:ilvl w:val="0"/>
          <w:numId w:val="1526"/>
        </w:numPr>
        <w:pStyle w:val="Compact"/>
      </w:pPr>
      <w:r>
        <w:t xml:space="preserve">reclamación significativa, resultado adverso, incidente o deriva;</w:t>
      </w:r>
    </w:p>
    <w:p>
      <w:pPr>
        <w:numPr>
          <w:ilvl w:val="0"/>
          <w:numId w:val="1526"/>
        </w:numPr>
        <w:pStyle w:val="Compact"/>
      </w:pPr>
      <w:r>
        <w:t xml:space="preserve">nuevo proveedor, subprocesador, contrato o limitación de pruebas;</w:t>
      </w:r>
    </w:p>
    <w:p>
      <w:pPr>
        <w:numPr>
          <w:ilvl w:val="0"/>
          <w:numId w:val="1526"/>
        </w:numPr>
        <w:pStyle w:val="Compact"/>
      </w:pPr>
      <w:r>
        <w:t xml:space="preserve">reclasificación de alto riesgo, modificación sustancial o cambio de conformidad;</w:t>
      </w:r>
    </w:p>
    <w:p>
      <w:pPr>
        <w:numPr>
          <w:ilvl w:val="0"/>
          <w:numId w:val="1526"/>
        </w:numPr>
        <w:pStyle w:val="Compact"/>
      </w:pPr>
      <w:r>
        <w:t xml:space="preserve">cambios legales, de autoridad o de orientación pertinentes.</w:t>
      </w:r>
    </w:p>
    <w:bookmarkEnd w:id="1518"/>
    <w:bookmarkStart w:id="1519" w:name="X618986d4a8ce7225faa552094ab8190e39b0b9d"/>
    <w:p>
      <w:pPr>
        <w:pStyle w:val="Heading2"/>
      </w:pPr>
      <w:r>
        <w:rPr>
          <w:rStyle w:val="SectionNumber"/>
        </w:rPr>
        <w:t xml:space="preserve">2.106</w:t>
      </w:r>
      <w:r>
        <w:tab/>
      </w:r>
      <w:r>
        <w:t xml:space="preserve">Ejemplo de servicios de viajes de GlobalWay</w:t>
      </w:r>
    </w:p>
    <w:p>
      <w:pPr>
        <w:pStyle w:val="FirstParagraph"/>
      </w:pPr>
      <w:r>
        <w:t xml:space="preserve">GlobalWay realiza una revisión de aplicabilidad del artículo 27 para un sistema de asignación de empleados de IA utilizado por un cliente de viajes del sector público de la UE. La evaluación identifica riesgos para la igualdad, condiciones de trabajo, dignidad, privacidad, accesibilidad y remedio efectivo. Los representantes de los trabajadores informan que los gerentes rara vez anulan los rankings. GlobalWay fortalece la autoridad de revisión humana, los procesos de explicación y apelación, pruebas de subgrupos, accesibilidad, pruebas de proveedores y monitoreo.</w:t>
      </w:r>
    </w:p>
    <w:bookmarkEnd w:id="1519"/>
    <w:bookmarkStart w:id="1520" w:name="homologación-4"/>
    <w:p>
      <w:pPr>
        <w:pStyle w:val="Heading2"/>
      </w:pPr>
      <w:r>
        <w:rPr>
          <w:rStyle w:val="SectionNumber"/>
        </w:rPr>
        <w:t xml:space="preserve">2.107</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Revisor jurídico cualificado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Cumplimiento/riesgo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Privacidad/protección de datos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técnico/producto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Dominio afectado o representante de los trabajadores,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Autoridad ejecutiva o directiva, cuando sea necesario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rPr>
          <w:bCs/>
          <w:b/>
        </w:rPr>
        <w:t xml:space="preserve">Notificación de autoridad/situación de la presentación, cuando proceda:</w:t>
      </w:r>
      <w:r>
        <w:t xml:space="preserve"> </w:t>
      </w:r>
      <w:r>
        <w:t xml:space="preserve">** Estado de la coordinación del Departamento de Asuntos Políticos:</w:t>
      </w:r>
      <w:r>
        <w:rPr>
          <w:bCs/>
          <w:b/>
        </w:rPr>
        <w:t xml:space="preserve"> </w:t>
      </w:r>
      <w:r>
        <w:t xml:space="preserve"> </w:t>
      </w:r>
      <w:r>
        <w:t xml:space="preserve">Referencias de pruebas:</w:t>
      </w:r>
      <w:r>
        <w:rPr>
          <w:bCs/>
          <w:b/>
        </w:rPr>
        <w:t xml:space="preserve"> </w:t>
      </w:r>
      <w:r>
        <w:t xml:space="preserve">Condiciones y restricciones:</w:t>
      </w:r>
      <w:r>
        <w:rPr>
          <w:bCs/>
          <w:b/>
        </w:rPr>
        <w:t xml:space="preserve"> </w:t>
      </w:r>
      <w:r>
        <w:t xml:space="preserve">Pedido/fecha de la próxima revisión:</w:t>
      </w:r>
      <w:r>
        <w:rPr>
          <w:bCs/>
          <w:b/>
        </w:rPr>
        <w:t xml:space="preserve"> </w:t>
      </w:r>
      <w:r>
        <w:t xml:space="preserve"> </w:t>
      </w:r>
      <w:r>
        <w:t xml:space="preserve">Versión de evaluación:**</w:t>
      </w:r>
    </w:p>
    <w:bookmarkEnd w:id="1520"/>
    <w:bookmarkStart w:id="1521" w:name="referencias-jurídicas-primarias-113"/>
    <w:p>
      <w:pPr>
        <w:pStyle w:val="Heading2"/>
      </w:pPr>
      <w:r>
        <w:rPr>
          <w:rStyle w:val="SectionNumber"/>
        </w:rPr>
        <w:t xml:space="preserve">2.108</w:t>
      </w:r>
      <w:r>
        <w:tab/>
      </w:r>
      <w:r>
        <w:t xml:space="preserve">Referencias jurídicas primarias</w:t>
      </w:r>
    </w:p>
    <w:p>
      <w:pPr>
        <w:numPr>
          <w:ilvl w:val="0"/>
          <w:numId w:val="1527"/>
        </w:numPr>
        <w:pStyle w:val="Compact"/>
      </w:pPr>
      <w:r>
        <w:t xml:space="preserve">Reglamento (UE) 2024/1689, en su versión modificada: artículo 27, disposiciones aplicables de alto riesgo y despliegue, supervisión humana, transparencia, seguimiento, incidentes, medidas correctoras y disposiciones de autoridad.</w:t>
      </w:r>
    </w:p>
    <w:p>
      <w:pPr>
        <w:numPr>
          <w:ilvl w:val="0"/>
          <w:numId w:val="1527"/>
        </w:numPr>
        <w:pStyle w:val="Compact"/>
      </w:pPr>
      <w:r>
        <w:t xml:space="preserve">Reglamento (UE) 2026/1744, en su caso.</w:t>
      </w:r>
    </w:p>
    <w:p>
      <w:pPr>
        <w:numPr>
          <w:ilvl w:val="0"/>
          <w:numId w:val="1527"/>
        </w:numPr>
        <w:pStyle w:val="Compact"/>
      </w:pPr>
      <w:r>
        <w:t xml:space="preserve">Carta de los Derechos Fundamentales de la Unión Europea, Reglamento (UE) 2016/679, y las normas aplicables en materia de empleo, igualdad, accesibilidad, protección del consumidor, protección del niño, derecho público y sector.</w:t>
      </w:r>
    </w:p>
    <w:p>
      <w:pPr>
        <w:numPr>
          <w:ilvl w:val="0"/>
          <w:numId w:val="1527"/>
        </w:numPr>
        <w:pStyle w:val="Compact"/>
      </w:pPr>
      <w:r>
        <w:t xml:space="preserve">Los actuales textos jurídicos oficiales consolidados y los procedimientos de autoridad competente controlan esta plantilla.</w:t>
      </w:r>
    </w:p>
    <w:bookmarkEnd w:id="1521"/>
    <w:bookmarkStart w:id="1522" w:name="Xc0047ea3e0aea8df9094c679b96c7a45236cfc3"/>
    <w:p>
      <w:pPr>
        <w:pStyle w:val="Heading2"/>
      </w:pPr>
      <w:r>
        <w:rPr>
          <w:rStyle w:val="SectionNumber"/>
        </w:rPr>
        <w:t xml:space="preserve">2.109</w:t>
      </w:r>
      <w:r>
        <w:tab/>
      </w:r>
      <w:r>
        <w:t xml:space="preserve">Apéndice H — Evaluación del riesgo de la IA</w:t>
      </w:r>
    </w:p>
    <w:p>
      <w:pPr>
        <w:pStyle w:val="BlockText"/>
      </w:pPr>
      <w:r>
        <w:rPr>
          <w:bCs/>
          <w:b/>
        </w:rPr>
        <w:t xml:space="preserve">Situación jurídica:</w:t>
      </w:r>
      <w:r>
        <w:t xml:space="preserve"> </w:t>
      </w:r>
      <w:r>
        <w:t xml:space="preserve">Maestría en inglés corregida. Las calificaciones de riesgo inherentes y residuales son conceptos de gestión del riesgo empresarial. No son clasificaciones legales de la Ley de IA de la UE y no deben sustituir al artículo 5, artículo 6, GPAI, transparencia, papel actor, conformidad, incidente o análisis de notificación.</w:t>
      </w:r>
    </w:p>
    <w:bookmarkEnd w:id="1522"/>
    <w:bookmarkStart w:id="1523" w:name="finalidad-24"/>
    <w:p>
      <w:pPr>
        <w:pStyle w:val="Heading2"/>
      </w:pPr>
      <w:r>
        <w:rPr>
          <w:rStyle w:val="SectionNumber"/>
        </w:rPr>
        <w:t xml:space="preserve">2.110</w:t>
      </w:r>
      <w:r>
        <w:tab/>
      </w:r>
      <w:r>
        <w:t xml:space="preserve">Finalidad</w:t>
      </w:r>
    </w:p>
    <w:p>
      <w:pPr>
        <w:pStyle w:val="FirstParagraph"/>
      </w:pPr>
      <w:r>
        <w:t xml:space="preserve">Utilice esta evaluación para identificar, analizar, evaluar, tratar, monitorear, comunicar y reevaluar los riesgos derivados de un sistema IA a lo largo de su ciclo de vida.</w:t>
      </w:r>
    </w:p>
    <w:p>
      <w:pPr>
        <w:pStyle w:val="BodyText"/>
      </w:pPr>
      <w:r>
        <w:t xml:space="preserve">La evaluación debe conectar los escenarios de riesgo con las personas afectadas, las obligaciones jurídicas, las versiones del sistema, los controles, las pruebas, los criterios de aceptación, los umbrales de supervisión y las decisiones responsables.</w:t>
      </w:r>
    </w:p>
    <w:bookmarkEnd w:id="1523"/>
    <w:bookmarkStart w:id="1524" w:name="contexto-de-la-evaluación"/>
    <w:p>
      <w:pPr>
        <w:pStyle w:val="Heading2"/>
      </w:pPr>
      <w:r>
        <w:rPr>
          <w:rStyle w:val="SectionNumber"/>
        </w:rPr>
        <w:t xml:space="preserve">2.111</w:t>
      </w:r>
      <w:r>
        <w:tab/>
      </w:r>
      <w:r>
        <w:t xml:space="preserve">1. Contexto de la evaluación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Sistema/modelo</w:t>
            </w:r>
          </w:p>
        </w:tc>
        <w:tc>
          <w:tcPr/>
          <w:p>
            <w:pPr>
              <w:pStyle w:val="Compact"/>
              <w:jc w:val="left"/>
            </w:pPr>
            <w:r>
              <w:t xml:space="preserve">- No, no.</w:t>
            </w:r>
          </w:p>
        </w:tc>
      </w:tr>
      <w:tr>
        <w:tc>
          <w:tcPr/>
          <w:p>
            <w:pPr>
              <w:pStyle w:val="Compact"/>
              <w:jc w:val="left"/>
            </w:pPr>
            <w:r>
              <w:t xml:space="preserve">Versión/configuración</w:t>
            </w:r>
          </w:p>
        </w:tc>
        <w:tc>
          <w:tcPr/>
          <w:p>
            <w:pPr>
              <w:pStyle w:val="Compact"/>
              <w:jc w:val="left"/>
            </w:pPr>
            <w:r>
              <w:t xml:space="preserve">- No, no.</w:t>
            </w:r>
          </w:p>
        </w:tc>
      </w:tr>
      <w:tr>
        <w:tc>
          <w:tcPr/>
          <w:p>
            <w:pPr>
              <w:pStyle w:val="Compact"/>
              <w:jc w:val="left"/>
            </w:pPr>
            <w:r>
              <w:t xml:space="preserve">ID de inventario</w:t>
            </w:r>
          </w:p>
        </w:tc>
        <w:tc>
          <w:tcPr/>
          <w:p>
            <w:pPr>
              <w:pStyle w:val="Compact"/>
              <w:jc w:val="left"/>
            </w:pPr>
            <w:r>
              <w:t xml:space="preserve">- No, no.</w:t>
            </w:r>
          </w:p>
        </w:tc>
      </w:tr>
      <w:tr>
        <w:tc>
          <w:tcPr/>
          <w:p>
            <w:pPr>
              <w:pStyle w:val="Compact"/>
              <w:jc w:val="left"/>
            </w:pPr>
            <w:r>
              <w:t xml:space="preserve">Entidad jurídica y función de actor</w:t>
            </w:r>
          </w:p>
        </w:tc>
        <w:tc>
          <w:tcPr/>
          <w:p>
            <w:pPr>
              <w:pStyle w:val="Compact"/>
              <w:jc w:val="left"/>
            </w:pPr>
            <w:r>
              <w:t xml:space="preserve">- No, no.</w:t>
            </w:r>
          </w:p>
        </w:tc>
      </w:tr>
      <w:tr>
        <w:tc>
          <w:tcPr/>
          <w:p>
            <w:pPr>
              <w:pStyle w:val="Compact"/>
              <w:jc w:val="left"/>
            </w:pPr>
            <w:r>
              <w:t xml:space="preserve">Finalidad prevista</w:t>
            </w:r>
          </w:p>
        </w:tc>
        <w:tc>
          <w:tcPr/>
          <w:p>
            <w:pPr>
              <w:pStyle w:val="Compact"/>
              <w:jc w:val="left"/>
            </w:pPr>
            <w:r>
              <w:t xml:space="preserve">- No, no.</w:t>
            </w:r>
          </w:p>
        </w:tc>
      </w:tr>
      <w:tr>
        <w:tc>
          <w:tcPr/>
          <w:p>
            <w:pPr>
              <w:pStyle w:val="Compact"/>
              <w:jc w:val="left"/>
            </w:pPr>
            <w:r>
              <w:t xml:space="preserve">Uso real o propuesto</w:t>
            </w:r>
          </w:p>
        </w:tc>
        <w:tc>
          <w:tcPr/>
          <w:p>
            <w:pPr>
              <w:pStyle w:val="Compact"/>
              <w:jc w:val="left"/>
            </w:pPr>
            <w:r>
              <w:t xml:space="preserve">- No, no.</w:t>
            </w:r>
          </w:p>
        </w:tc>
      </w:tr>
      <w:tr>
        <w:tc>
          <w:tcPr/>
          <w:p>
            <w:pPr>
              <w:pStyle w:val="Compact"/>
              <w:jc w:val="left"/>
            </w:pPr>
            <w:r>
              <w:t xml:space="preserve">Usuarios y personas afectadas</w:t>
            </w:r>
          </w:p>
        </w:tc>
        <w:tc>
          <w:tcPr/>
          <w:p>
            <w:pPr>
              <w:pStyle w:val="Compact"/>
              <w:jc w:val="left"/>
            </w:pPr>
            <w:r>
              <w:t xml:space="preserve">- No, no.</w:t>
            </w:r>
          </w:p>
        </w:tc>
      </w:tr>
      <w:tr>
        <w:tc>
          <w:tcPr/>
          <w:p>
            <w:pPr>
              <w:pStyle w:val="Compact"/>
              <w:jc w:val="left"/>
            </w:pPr>
            <w:r>
              <w:t xml:space="preserve">Competencias</w:t>
            </w:r>
          </w:p>
        </w:tc>
        <w:tc>
          <w:tcPr/>
          <w:p>
            <w:pPr>
              <w:pStyle w:val="Compact"/>
              <w:jc w:val="left"/>
            </w:pPr>
            <w:r>
              <w:t xml:space="preserve">- No, no.</w:t>
            </w:r>
          </w:p>
        </w:tc>
      </w:tr>
      <w:tr>
        <w:tc>
          <w:tcPr/>
          <w:p>
            <w:pPr>
              <w:pStyle w:val="Compact"/>
              <w:jc w:val="left"/>
            </w:pPr>
            <w:r>
              <w:t xml:space="preserve">Clasificación estatutaria</w:t>
            </w:r>
          </w:p>
        </w:tc>
        <w:tc>
          <w:tcPr/>
          <w:p>
            <w:pPr>
              <w:pStyle w:val="Compact"/>
              <w:jc w:val="left"/>
            </w:pPr>
            <w:r>
              <w:t xml:space="preserve">- No, no.</w:t>
            </w:r>
          </w:p>
        </w:tc>
      </w:tr>
      <w:tr>
        <w:tc>
          <w:tcPr/>
          <w:p>
            <w:pPr>
              <w:pStyle w:val="Compact"/>
              <w:jc w:val="left"/>
            </w:pPr>
            <w:r>
              <w:t xml:space="preserve">Etapa del ciclo de vida</w:t>
            </w:r>
          </w:p>
        </w:tc>
        <w:tc>
          <w:tcPr/>
          <w:p>
            <w:pPr>
              <w:pStyle w:val="Compact"/>
              <w:jc w:val="left"/>
            </w:pPr>
            <w:r>
              <w:t xml:space="preserve">- No, no.</w:t>
            </w:r>
          </w:p>
        </w:tc>
      </w:tr>
      <w:tr>
        <w:tc>
          <w:tcPr/>
          <w:p>
            <w:pPr>
              <w:pStyle w:val="Compact"/>
              <w:jc w:val="left"/>
            </w:pPr>
            <w:r>
              <w:t xml:space="preserve">Proveedores/vendores y dependencias</w:t>
            </w:r>
          </w:p>
        </w:tc>
        <w:tc>
          <w:tcPr/>
          <w:p>
            <w:pPr>
              <w:pStyle w:val="Compact"/>
              <w:jc w:val="left"/>
            </w:pPr>
            <w:r>
              <w:t xml:space="preserve">- No, no.</w:t>
            </w:r>
          </w:p>
        </w:tc>
      </w:tr>
      <w:tr>
        <w:tc>
          <w:tcPr/>
          <w:p>
            <w:pPr>
              <w:pStyle w:val="Compact"/>
              <w:jc w:val="left"/>
            </w:pPr>
            <w:r>
              <w:t xml:space="preserve">Fuente jurídica actual y fechas de aplicación</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r>
      <w:tr>
        <w:tc>
          <w:tcPr/>
          <w:p>
            <w:pPr>
              <w:pStyle w:val="Compact"/>
              <w:jc w:val="left"/>
            </w:pPr>
            <w:r>
              <w:t xml:space="preserve">Propietario técnico</w:t>
            </w:r>
          </w:p>
        </w:tc>
        <w:tc>
          <w:tcPr/>
          <w:p>
            <w:pPr>
              <w:pStyle w:val="Compact"/>
              <w:jc w:val="left"/>
            </w:pPr>
            <w:r>
              <w:t xml:space="preserve">- No, no.</w:t>
            </w:r>
          </w:p>
        </w:tc>
      </w:tr>
      <w:tr>
        <w:tc>
          <w:tcPr/>
          <w:p>
            <w:pPr>
              <w:pStyle w:val="Compact"/>
              <w:jc w:val="left"/>
            </w:pPr>
            <w:r>
              <w:t xml:space="preserve">Evaluador de riesgos</w:t>
            </w:r>
          </w:p>
        </w:tc>
        <w:tc>
          <w:tcPr/>
          <w:p>
            <w:pPr>
              <w:pStyle w:val="Compact"/>
              <w:jc w:val="left"/>
            </w:pPr>
            <w:r>
              <w:t xml:space="preserve">- No, no.</w:t>
            </w:r>
          </w:p>
        </w:tc>
      </w:tr>
      <w:tr>
        <w:tc>
          <w:tcPr/>
          <w:p>
            <w:pPr>
              <w:pStyle w:val="Compact"/>
              <w:jc w:val="left"/>
            </w:pPr>
            <w:r>
              <w:t xml:space="preserve">Fecha y versión de la evaluación</w:t>
            </w:r>
          </w:p>
        </w:tc>
        <w:tc>
          <w:tcPr/>
          <w:p>
            <w:pPr>
              <w:pStyle w:val="Compact"/>
              <w:jc w:val="left"/>
            </w:pPr>
            <w:r>
              <w:t xml:space="preserve">- No, no.</w:t>
            </w:r>
          </w:p>
        </w:tc>
      </w:tr>
    </w:tbl>
    <w:bookmarkEnd w:id="1524"/>
    <w:bookmarkStart w:id="1525" w:name="contexto-de-riesgo"/>
    <w:p>
      <w:pPr>
        <w:pStyle w:val="Heading2"/>
      </w:pPr>
      <w:r>
        <w:rPr>
          <w:rStyle w:val="SectionNumber"/>
        </w:rPr>
        <w:t xml:space="preserve">2.112</w:t>
      </w:r>
      <w:r>
        <w:tab/>
      </w:r>
      <w:r>
        <w:t xml:space="preserve">2. Contexto de riesgo</w:t>
      </w:r>
    </w:p>
    <w:p>
      <w:pPr>
        <w:pStyle w:val="FirstParagraph"/>
      </w:pPr>
      <w:r>
        <w:t xml:space="preserve">Describir:</w:t>
      </w:r>
    </w:p>
    <w:p>
      <w:pPr>
        <w:numPr>
          <w:ilvl w:val="0"/>
          <w:numId w:val="1528"/>
        </w:numPr>
        <w:pStyle w:val="Compact"/>
      </w:pPr>
      <w:r>
        <w:t xml:space="preserve">el objetivo empresarial y el beneficio esperado;</w:t>
      </w:r>
    </w:p>
    <w:p>
      <w:pPr>
        <w:numPr>
          <w:ilvl w:val="0"/>
          <w:numId w:val="1528"/>
        </w:numPr>
        <w:pStyle w:val="Compact"/>
      </w:pPr>
      <w:r>
        <w:t xml:space="preserve">la decisión o el proceso apoyado;</w:t>
      </w:r>
    </w:p>
    <w:p>
      <w:pPr>
        <w:numPr>
          <w:ilvl w:val="0"/>
          <w:numId w:val="1528"/>
        </w:numPr>
        <w:pStyle w:val="Compact"/>
      </w:pPr>
      <w:r>
        <w:t xml:space="preserve">personas afectadas, grupos vulnerables, activos y servicios;</w:t>
      </w:r>
    </w:p>
    <w:p>
      <w:pPr>
        <w:numPr>
          <w:ilvl w:val="0"/>
          <w:numId w:val="1528"/>
        </w:numPr>
        <w:pStyle w:val="Compact"/>
      </w:pPr>
      <w:r>
        <w:t xml:space="preserve">límites del sistema, interfaces, herramientas, agentes y dependencias;</w:t>
      </w:r>
    </w:p>
    <w:p>
      <w:pPr>
        <w:numPr>
          <w:ilvl w:val="0"/>
          <w:numId w:val="1528"/>
        </w:numPr>
        <w:pStyle w:val="Compact"/>
      </w:pPr>
      <w:r>
        <w:t xml:space="preserve">modelo, datos, infraestructura, nube y componentes del proveedor;</w:t>
      </w:r>
    </w:p>
    <w:p>
      <w:pPr>
        <w:numPr>
          <w:ilvl w:val="0"/>
          <w:numId w:val="1528"/>
        </w:numPr>
        <w:pStyle w:val="Compact"/>
      </w:pPr>
      <w:r>
        <w:t xml:space="preserve">clasificación jurídica y función organizativa;</w:t>
      </w:r>
    </w:p>
    <w:p>
      <w:pPr>
        <w:numPr>
          <w:ilvl w:val="0"/>
          <w:numId w:val="1528"/>
        </w:numPr>
        <w:pStyle w:val="Compact"/>
      </w:pPr>
      <w:r>
        <w:t xml:space="preserve">la criticidad de la decisión y el grado de automatización;</w:t>
      </w:r>
    </w:p>
    <w:p>
      <w:pPr>
        <w:numPr>
          <w:ilvl w:val="0"/>
          <w:numId w:val="1528"/>
        </w:numPr>
        <w:pStyle w:val="Compact"/>
      </w:pPr>
      <w:r>
        <w:t xml:space="preserve">mecanismos humanos de supervisión y apelación;</w:t>
      </w:r>
    </w:p>
    <w:p>
      <w:pPr>
        <w:numPr>
          <w:ilvl w:val="0"/>
          <w:numId w:val="1528"/>
        </w:numPr>
        <w:pStyle w:val="Compact"/>
      </w:pPr>
      <w:r>
        <w:t xml:space="preserve">los supuestos, las limitaciones, la incertidumbre y las lagunas en las pruebas;</w:t>
      </w:r>
    </w:p>
    <w:p>
      <w:pPr>
        <w:numPr>
          <w:ilvl w:val="0"/>
          <w:numId w:val="1528"/>
        </w:numPr>
        <w:pStyle w:val="Compact"/>
      </w:pPr>
      <w:r>
        <w:t xml:space="preserve">el uso indebido previsible, la repurposición y el abuso;</w:t>
      </w:r>
    </w:p>
    <w:p>
      <w:pPr>
        <w:numPr>
          <w:ilvl w:val="0"/>
          <w:numId w:val="1528"/>
        </w:numPr>
        <w:pStyle w:val="Compact"/>
      </w:pPr>
      <w:r>
        <w:t xml:space="preserve">medidas de emergencia, continuidad, suspensión, retroceso y salida.</w:t>
      </w:r>
    </w:p>
    <w:bookmarkEnd w:id="1525"/>
    <w:bookmarkStart w:id="1526" w:name="categorías-de-riesgo"/>
    <w:p>
      <w:pPr>
        <w:pStyle w:val="Heading2"/>
      </w:pPr>
      <w:r>
        <w:rPr>
          <w:rStyle w:val="SectionNumber"/>
        </w:rPr>
        <w:t xml:space="preserve">2.113</w:t>
      </w:r>
      <w:r>
        <w:tab/>
      </w:r>
      <w:r>
        <w:t xml:space="preserve">3. Categorías de riesgo</w:t>
      </w:r>
    </w:p>
    <w:p>
      <w:pPr>
        <w:pStyle w:val="FirstParagraph"/>
      </w:pPr>
      <w:r>
        <w:t xml:space="preserve">Evaluar cada categoría aplicable.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Categoría</w:t>
            </w:r>
          </w:p>
        </w:tc>
        <w:tc>
          <w:tcPr/>
          <w:p>
            <w:pPr>
              <w:pStyle w:val="Compact"/>
              <w:jc w:val="left"/>
            </w:pPr>
            <w:r>
              <w:t xml:space="preserve">Hipótesis de riesgo</w:t>
            </w:r>
          </w:p>
        </w:tc>
        <w:tc>
          <w:tcPr/>
          <w:p>
            <w:pPr>
              <w:pStyle w:val="Compact"/>
              <w:jc w:val="left"/>
            </w:pPr>
            <w:r>
              <w:t xml:space="preserve">Controles existentes</w:t>
            </w:r>
          </w:p>
        </w:tc>
        <w:tc>
          <w:tcPr/>
          <w:p>
            <w:pPr>
              <w:pStyle w:val="Compact"/>
              <w:jc w:val="left"/>
            </w:pPr>
            <w:r>
              <w:t xml:space="preserve">Probabilidad</w:t>
            </w:r>
          </w:p>
        </w:tc>
        <w:tc>
          <w:tcPr/>
          <w:p>
            <w:pPr>
              <w:pStyle w:val="Compact"/>
              <w:jc w:val="left"/>
            </w:pPr>
            <w:r>
              <w:t xml:space="preserve">Impacto</w:t>
            </w:r>
          </w:p>
        </w:tc>
        <w:tc>
          <w:tcPr/>
          <w:p>
            <w:pPr>
              <w:pStyle w:val="Compact"/>
              <w:jc w:val="left"/>
            </w:pPr>
            <w:r>
              <w:t xml:space="preserve">Riesgo inherente</w:t>
            </w:r>
          </w:p>
        </w:tc>
        <w:tc>
          <w:tcPr/>
          <w:p>
            <w:pPr>
              <w:pStyle w:val="Compact"/>
              <w:jc w:val="left"/>
            </w:pPr>
            <w:r>
              <w:t xml:space="preserve">Riesgo residual</w:t>
            </w:r>
          </w:p>
        </w:tc>
        <w:tc>
          <w:tcPr/>
          <w:p>
            <w:pPr>
              <w:pStyle w:val="Compact"/>
              <w:jc w:val="left"/>
            </w:pPr>
            <w:r>
              <w:t xml:space="preserve">Pruebas/incertidumbre</w:t>
            </w:r>
          </w:p>
        </w:tc>
      </w:tr>
      <w:tr>
        <w:tc>
          <w:tcPr/>
          <w:p>
            <w:pPr>
              <w:pStyle w:val="Compact"/>
              <w:jc w:val="left"/>
            </w:pPr>
            <w:r>
              <w:t xml:space="preserve">Legislación y reglamentación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Derechos fundamentales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 y salud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Precisión y fiabilidad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Sesgos y discriminación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Transparencia y explicabilidad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Supervisión humana y sesgo de automatización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Privacidad y protección de datos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Ciberseguridad, mal uso y abuso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Robustez, resiliencia y continuidad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Proveedores, cadena de suministro y concentración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Calidad de los datos, procedencia y linaje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Cambio, deriva y modificación sustancial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Operaciones y finanzas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Reputación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Medio ambiente y recursos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Impacto social y acumulativo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26"/>
    <w:bookmarkStart w:id="1527" w:name="análisis-de-hipótesis"/>
    <w:p>
      <w:pPr>
        <w:pStyle w:val="Heading2"/>
      </w:pPr>
      <w:r>
        <w:rPr>
          <w:rStyle w:val="SectionNumber"/>
        </w:rPr>
        <w:t xml:space="preserve">2.114</w:t>
      </w:r>
      <w:r>
        <w:tab/>
      </w:r>
      <w:r>
        <w:t xml:space="preserve">4. Análisis de hipótesis</w:t>
      </w:r>
    </w:p>
    <w:p>
      <w:pPr>
        <w:pStyle w:val="FirstParagraph"/>
      </w:pPr>
      <w:r>
        <w:t xml:space="preserve">Para cada riesgo material, documento:</w:t>
      </w:r>
    </w:p>
    <w:p>
      <w:pPr>
        <w:numPr>
          <w:ilvl w:val="0"/>
          <w:numId w:val="1529"/>
        </w:numPr>
        <w:pStyle w:val="Compact"/>
      </w:pPr>
      <w:r>
        <w:t xml:space="preserve">el acto de iniciación;</w:t>
      </w:r>
    </w:p>
    <w:p>
      <w:pPr>
        <w:numPr>
          <w:ilvl w:val="0"/>
          <w:numId w:val="1529"/>
        </w:numPr>
        <w:pStyle w:val="Compact"/>
      </w:pPr>
      <w:r>
        <w:t xml:space="preserve">amenaza, error, mal uso o mecanismo de fallo;</w:t>
      </w:r>
    </w:p>
    <w:p>
      <w:pPr>
        <w:numPr>
          <w:ilvl w:val="0"/>
          <w:numId w:val="1529"/>
        </w:numPr>
        <w:pStyle w:val="Compact"/>
      </w:pPr>
      <w:r>
        <w:t xml:space="preserve">persona, grupo, activo, proceso o servicio expuesto;</w:t>
      </w:r>
    </w:p>
    <w:p>
      <w:pPr>
        <w:numPr>
          <w:ilvl w:val="0"/>
          <w:numId w:val="1529"/>
        </w:numPr>
        <w:pStyle w:val="Compact"/>
      </w:pPr>
      <w:r>
        <w:t xml:space="preserve">posibles consecuencias e implicaciones jurídicas;</w:t>
      </w:r>
    </w:p>
    <w:p>
      <w:pPr>
        <w:numPr>
          <w:ilvl w:val="0"/>
          <w:numId w:val="1529"/>
        </w:numPr>
        <w:pStyle w:val="Compact"/>
      </w:pPr>
      <w:r>
        <w:t xml:space="preserve">población afectada y escala;</w:t>
      </w:r>
    </w:p>
    <w:p>
      <w:pPr>
        <w:numPr>
          <w:ilvl w:val="0"/>
          <w:numId w:val="1529"/>
        </w:numPr>
        <w:pStyle w:val="Compact"/>
      </w:pPr>
      <w:r>
        <w:t xml:space="preserve">duración, detectabilidad, reversibilidad y efecto acumulativo;</w:t>
      </w:r>
    </w:p>
    <w:p>
      <w:pPr>
        <w:numPr>
          <w:ilvl w:val="0"/>
          <w:numId w:val="1529"/>
        </w:numPr>
        <w:pStyle w:val="Compact"/>
      </w:pPr>
      <w:r>
        <w:t xml:space="preserve">las dependencias de control y los puntos únicos de fallo;</w:t>
      </w:r>
    </w:p>
    <w:p>
      <w:pPr>
        <w:numPr>
          <w:ilvl w:val="0"/>
          <w:numId w:val="1529"/>
        </w:numPr>
        <w:pStyle w:val="Compact"/>
      </w:pPr>
      <w:r>
        <w:t xml:space="preserve">el peor de los casos creíbles;</w:t>
      </w:r>
    </w:p>
    <w:p>
      <w:pPr>
        <w:numPr>
          <w:ilvl w:val="0"/>
          <w:numId w:val="1529"/>
        </w:numPr>
        <w:pStyle w:val="Compact"/>
      </w:pPr>
      <w:r>
        <w:t xml:space="preserve">pruebas e incertidumbres actuales;</w:t>
      </w:r>
    </w:p>
    <w:p>
      <w:pPr>
        <w:numPr>
          <w:ilvl w:val="0"/>
          <w:numId w:val="1529"/>
        </w:numPr>
        <w:pStyle w:val="Compact"/>
      </w:pPr>
      <w:r>
        <w:t xml:space="preserve">requisitos inmediatos de contención y escalada;</w:t>
      </w:r>
    </w:p>
    <w:p>
      <w:pPr>
        <w:numPr>
          <w:ilvl w:val="0"/>
          <w:numId w:val="1529"/>
        </w:numPr>
        <w:pStyle w:val="Compact"/>
      </w:pPr>
      <w:r>
        <w:t xml:space="preserve">señal de vigilancia que indicaría la materialización del riesgo.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Escenario ID</w:t>
            </w:r>
          </w:p>
        </w:tc>
        <w:tc>
          <w:tcPr/>
          <w:p>
            <w:pPr>
              <w:pStyle w:val="Compact"/>
              <w:jc w:val="left"/>
            </w:pPr>
            <w:r>
              <w:t xml:space="preserve">Acto de iniciación</w:t>
            </w:r>
          </w:p>
        </w:tc>
        <w:tc>
          <w:tcPr/>
          <w:p>
            <w:pPr>
              <w:pStyle w:val="Compact"/>
              <w:jc w:val="left"/>
            </w:pPr>
            <w:r>
              <w:t xml:space="preserve">Mecanismo de fallo</w:t>
            </w:r>
          </w:p>
        </w:tc>
        <w:tc>
          <w:tcPr/>
          <w:p>
            <w:pPr>
              <w:pStyle w:val="Compact"/>
              <w:jc w:val="left"/>
            </w:pPr>
            <w:r>
              <w:t xml:space="preserve">Ámbito afectado</w:t>
            </w:r>
          </w:p>
        </w:tc>
        <w:tc>
          <w:tcPr/>
          <w:p>
            <w:pPr>
              <w:pStyle w:val="Compact"/>
              <w:jc w:val="left"/>
            </w:pPr>
            <w:r>
              <w:t xml:space="preserve">Consecuencia</w:t>
            </w:r>
          </w:p>
        </w:tc>
        <w:tc>
          <w:tcPr/>
          <w:p>
            <w:pPr>
              <w:pStyle w:val="Compact"/>
              <w:jc w:val="left"/>
            </w:pPr>
            <w:r>
              <w:t xml:space="preserve">Controles existentes</w:t>
            </w:r>
          </w:p>
        </w:tc>
        <w:tc>
          <w:tcPr/>
          <w:p>
            <w:pPr>
              <w:pStyle w:val="Compact"/>
              <w:jc w:val="left"/>
            </w:pPr>
            <w:r>
              <w:t xml:space="preserve">Pruebas</w:t>
            </w:r>
          </w:p>
        </w:tc>
        <w:tc>
          <w:tcPr/>
          <w:p>
            <w:pPr>
              <w:pStyle w:val="Compact"/>
              <w:jc w:val="left"/>
            </w:pPr>
            <w:r>
              <w:t xml:space="preserve">Propietario</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27"/>
    <w:bookmarkStart w:id="1528" w:name="método-de-clasificación-de-riesgos"/>
    <w:p>
      <w:pPr>
        <w:pStyle w:val="Heading2"/>
      </w:pPr>
      <w:r>
        <w:rPr>
          <w:rStyle w:val="SectionNumber"/>
        </w:rPr>
        <w:t xml:space="preserve">2.115</w:t>
      </w:r>
      <w:r>
        <w:tab/>
      </w:r>
      <w:r>
        <w:t xml:space="preserve">5. Método de clasificación de riesgos</w:t>
      </w:r>
    </w:p>
    <w:p>
      <w:pPr>
        <w:pStyle w:val="FirstParagraph"/>
      </w:pPr>
      <w:r>
        <w:t xml:space="preserve">Utilice la metodología aprobada por la organización. Defina como mínimo:</w:t>
      </w:r>
    </w:p>
    <w:p>
      <w:pPr>
        <w:numPr>
          <w:ilvl w:val="0"/>
          <w:numId w:val="1530"/>
        </w:numPr>
        <w:pStyle w:val="Compact"/>
      </w:pPr>
      <w:r>
        <w:t xml:space="preserve">escala de probabilidad y horizonte temporal;</w:t>
      </w:r>
    </w:p>
    <w:p>
      <w:pPr>
        <w:numPr>
          <w:ilvl w:val="0"/>
          <w:numId w:val="1530"/>
        </w:numPr>
        <w:pStyle w:val="Compact"/>
      </w:pPr>
      <w:r>
        <w:t xml:space="preserve">escala de impacto entre los derechos, la seguridad, las dimensiones jurídica, operativa, financiera y de reputación;</w:t>
      </w:r>
    </w:p>
    <w:p>
      <w:pPr>
        <w:numPr>
          <w:ilvl w:val="0"/>
          <w:numId w:val="1530"/>
        </w:numPr>
        <w:pStyle w:val="Compact"/>
      </w:pPr>
      <w:r>
        <w:t xml:space="preserve">método de agregación;</w:t>
      </w:r>
    </w:p>
    <w:p>
      <w:pPr>
        <w:numPr>
          <w:ilvl w:val="0"/>
          <w:numId w:val="1530"/>
        </w:numPr>
        <w:pStyle w:val="Compact"/>
      </w:pPr>
      <w:r>
        <w:t xml:space="preserve">los umbrales de tratamiento y escalada;</w:t>
      </w:r>
    </w:p>
    <w:p>
      <w:pPr>
        <w:numPr>
          <w:ilvl w:val="0"/>
          <w:numId w:val="1530"/>
        </w:numPr>
        <w:pStyle w:val="Compact"/>
      </w:pPr>
      <w:r>
        <w:t xml:space="preserve">criterios y autoridad para la aceptación del riesgo residual;</w:t>
      </w:r>
    </w:p>
    <w:p>
      <w:pPr>
        <w:numPr>
          <w:ilvl w:val="0"/>
          <w:numId w:val="1530"/>
        </w:numPr>
        <w:pStyle w:val="Compact"/>
      </w:pPr>
      <w:r>
        <w:t xml:space="preserve">los plazos de tratamiento por gravedad;</w:t>
      </w:r>
    </w:p>
    <w:p>
      <w:pPr>
        <w:numPr>
          <w:ilvl w:val="0"/>
          <w:numId w:val="1530"/>
        </w:numPr>
        <w:pStyle w:val="Compact"/>
      </w:pPr>
      <w:r>
        <w:t xml:space="preserve">confianza o calificación de calidad empírica;</w:t>
      </w:r>
    </w:p>
    <w:p>
      <w:pPr>
        <w:numPr>
          <w:ilvl w:val="0"/>
          <w:numId w:val="1530"/>
        </w:numPr>
        <w:pStyle w:val="Compact"/>
      </w:pPr>
      <w:r>
        <w:t xml:space="preserve">tratamiento de acontecimientos de baja frecuencia y de gran impacto;</w:t>
      </w:r>
    </w:p>
    <w:p>
      <w:pPr>
        <w:numPr>
          <w:ilvl w:val="0"/>
          <w:numId w:val="1530"/>
        </w:numPr>
        <w:pStyle w:val="Compact"/>
      </w:pPr>
      <w:r>
        <w:t xml:space="preserve">tratamiento de la incertidumbre y la falta de pruebas.</w:t>
      </w:r>
    </w:p>
    <w:p>
      <w:pPr>
        <w:pStyle w:val="FirstParagraph"/>
      </w:pPr>
      <w:r>
        <w:t xml:space="preserve">No utilice una puntuación numérica como sustituto del juicio profesional, el análisis legal o la evidencia verificada. No prometa derechos severos, seguridad o bloqueadores legales.</w:t>
      </w:r>
    </w:p>
    <w:bookmarkEnd w:id="1528"/>
    <w:bookmarkStart w:id="1529" w:name="riesgo-inherente"/>
    <w:p>
      <w:pPr>
        <w:pStyle w:val="Heading2"/>
      </w:pPr>
      <w:r>
        <w:rPr>
          <w:rStyle w:val="SectionNumber"/>
        </w:rPr>
        <w:t xml:space="preserve">2.116</w:t>
      </w:r>
      <w:r>
        <w:tab/>
      </w:r>
      <w:r>
        <w:t xml:space="preserve">6. Riesgo inherente</w:t>
      </w:r>
    </w:p>
    <w:p>
      <w:pPr>
        <w:pStyle w:val="FirstParagraph"/>
      </w:pPr>
      <w:r>
        <w:t xml:space="preserve">Evaluar la exposición antes de los controles.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Hipótesis</w:t>
            </w:r>
          </w:p>
        </w:tc>
        <w:tc>
          <w:tcPr/>
          <w:p>
            <w:pPr>
              <w:pStyle w:val="Compact"/>
              <w:jc w:val="left"/>
            </w:pPr>
            <w:r>
              <w:t xml:space="preserve">Causa</w:t>
            </w:r>
          </w:p>
        </w:tc>
        <w:tc>
          <w:tcPr/>
          <w:p>
            <w:pPr>
              <w:pStyle w:val="Compact"/>
              <w:jc w:val="left"/>
            </w:pPr>
            <w:r>
              <w:t xml:space="preserve">Personas afectadas/activos</w:t>
            </w:r>
          </w:p>
        </w:tc>
        <w:tc>
          <w:tcPr/>
          <w:p>
            <w:pPr>
              <w:pStyle w:val="Compact"/>
              <w:jc w:val="left"/>
            </w:pPr>
            <w:r>
              <w:t xml:space="preserve">Probabilidad</w:t>
            </w:r>
          </w:p>
        </w:tc>
        <w:tc>
          <w:tcPr/>
          <w:p>
            <w:pPr>
              <w:pStyle w:val="Compact"/>
              <w:jc w:val="left"/>
            </w:pPr>
            <w:r>
              <w:t xml:space="preserve">Impacto</w:t>
            </w:r>
          </w:p>
        </w:tc>
        <w:tc>
          <w:tcPr/>
          <w:p>
            <w:pPr>
              <w:pStyle w:val="Compact"/>
              <w:jc w:val="left"/>
            </w:pPr>
            <w:r>
              <w:t xml:space="preserve">Calificación inherente</w:t>
            </w:r>
          </w:p>
        </w:tc>
        <w:tc>
          <w:tcPr/>
          <w:p>
            <w:pPr>
              <w:pStyle w:val="Compact"/>
              <w:jc w:val="left"/>
            </w:pPr>
            <w:r>
              <w:t xml:space="preserve">Confianza</w:t>
            </w:r>
          </w:p>
        </w:tc>
        <w:tc>
          <w:tcPr/>
          <w:p>
            <w:pPr>
              <w:pStyle w:val="Compact"/>
              <w:jc w:val="left"/>
            </w:pPr>
            <w:r>
              <w:t xml:space="preserve">Pruebas/incertidumbre</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29"/>
    <w:bookmarkStart w:id="1530" w:name="controles-y-eficacia"/>
    <w:p>
      <w:pPr>
        <w:pStyle w:val="Heading2"/>
      </w:pPr>
      <w:r>
        <w:rPr>
          <w:rStyle w:val="SectionNumber"/>
        </w:rPr>
        <w:t xml:space="preserve">2.117</w:t>
      </w:r>
      <w:r>
        <w:tab/>
      </w:r>
      <w:r>
        <w:t xml:space="preserve">7. Controles y eficacia</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Control</w:t>
            </w:r>
          </w:p>
        </w:tc>
        <w:tc>
          <w:tcPr/>
          <w:p>
            <w:pPr>
              <w:pStyle w:val="Compact"/>
              <w:jc w:val="left"/>
            </w:pPr>
            <w:r>
              <w:t xml:space="preserve">Propietario</w:t>
            </w:r>
          </w:p>
        </w:tc>
        <w:tc>
          <w:tcPr/>
          <w:p>
            <w:pPr>
              <w:pStyle w:val="Compact"/>
              <w:jc w:val="left"/>
            </w:pPr>
            <w:r>
              <w:t xml:space="preserve">Situación</w:t>
            </w:r>
          </w:p>
        </w:tc>
        <w:tc>
          <w:tcPr/>
          <w:p>
            <w:pPr>
              <w:pStyle w:val="Compact"/>
              <w:jc w:val="left"/>
            </w:pPr>
            <w:r>
              <w:t xml:space="preserve">Pruebas</w:t>
            </w:r>
          </w:p>
        </w:tc>
        <w:tc>
          <w:tcPr/>
          <w:p>
            <w:pPr>
              <w:pStyle w:val="Compact"/>
              <w:jc w:val="left"/>
            </w:pPr>
            <w:r>
              <w:t xml:space="preserve">Resultado del diseño</w:t>
            </w:r>
          </w:p>
        </w:tc>
        <w:tc>
          <w:tcPr/>
          <w:p>
            <w:pPr>
              <w:pStyle w:val="Compact"/>
              <w:jc w:val="left"/>
            </w:pPr>
            <w:r>
              <w:t xml:space="preserve">Resultado de funcionamiento</w:t>
            </w:r>
          </w:p>
        </w:tc>
        <w:tc>
          <w:tcPr/>
          <w:p>
            <w:pPr>
              <w:pStyle w:val="Compact"/>
              <w:jc w:val="left"/>
            </w:pPr>
            <w:r>
              <w:t xml:space="preserve">Limitación</w:t>
            </w:r>
          </w:p>
        </w:tc>
        <w:tc>
          <w:tcPr/>
          <w:p>
            <w:pPr>
              <w:pStyle w:val="Compact"/>
              <w:jc w:val="left"/>
            </w:pPr>
            <w:r>
              <w:t xml:space="preserve">Dependencia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No reduzca el riesgo de controles planificados, incompletos, no aprobados, no probados, operados de manera incoherente, no respaldados por pruebas o dependientes de la información del proveedor no disponible.</w:t>
      </w:r>
    </w:p>
    <w:bookmarkEnd w:id="1530"/>
    <w:bookmarkStart w:id="1531" w:name="riesgo-residual-y-bloqueadores-legales"/>
    <w:p>
      <w:pPr>
        <w:pStyle w:val="Heading2"/>
      </w:pPr>
      <w:r>
        <w:rPr>
          <w:rStyle w:val="SectionNumber"/>
        </w:rPr>
        <w:t xml:space="preserve">2.118</w:t>
      </w:r>
      <w:r>
        <w:tab/>
      </w:r>
      <w:r>
        <w:t xml:space="preserve">8. Riesgo residual y bloqueadores legales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Riesgo</w:t>
            </w:r>
          </w:p>
        </w:tc>
        <w:tc>
          <w:tcPr/>
          <w:p>
            <w:pPr>
              <w:pStyle w:val="Compact"/>
              <w:jc w:val="left"/>
            </w:pPr>
            <w:r>
              <w:t xml:space="preserve">Calificación residual</w:t>
            </w:r>
          </w:p>
        </w:tc>
        <w:tc>
          <w:tcPr/>
          <w:p>
            <w:pPr>
              <w:pStyle w:val="Compact"/>
              <w:jc w:val="left"/>
            </w:pPr>
            <w:r>
              <w:t xml:space="preserve">¿Bloqueador legal?</w:t>
            </w:r>
          </w:p>
        </w:tc>
        <w:tc>
          <w:tcPr/>
          <w:p>
            <w:pPr>
              <w:pStyle w:val="Compact"/>
              <w:jc w:val="left"/>
            </w:pPr>
            <w:r>
              <w:t xml:space="preserve">Tratamiento</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Requisitos de validación</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Una decisión de aceptación del riesgo no puede:</w:t>
      </w:r>
    </w:p>
    <w:p>
      <w:pPr>
        <w:numPr>
          <w:ilvl w:val="0"/>
          <w:numId w:val="1531"/>
        </w:numPr>
        <w:pStyle w:val="Compact"/>
      </w:pPr>
      <w:r>
        <w:t xml:space="preserve">autorizar una práctica prohibida;</w:t>
      </w:r>
    </w:p>
    <w:p>
      <w:pPr>
        <w:numPr>
          <w:ilvl w:val="0"/>
          <w:numId w:val="1531"/>
        </w:numPr>
        <w:pStyle w:val="Compact"/>
      </w:pPr>
      <w:r>
        <w:t xml:space="preserve">renunciar a una obligación legal;</w:t>
      </w:r>
    </w:p>
    <w:p>
      <w:pPr>
        <w:numPr>
          <w:ilvl w:val="0"/>
          <w:numId w:val="1531"/>
        </w:numPr>
        <w:pStyle w:val="Compact"/>
      </w:pPr>
      <w:r>
        <w:t xml:space="preserve">sustituir una evaluación de la conformidad, registro, declaración, marcado, consulta, notificación o decisión de la autoridad;</w:t>
      </w:r>
    </w:p>
    <w:p>
      <w:pPr>
        <w:numPr>
          <w:ilvl w:val="0"/>
          <w:numId w:val="1531"/>
        </w:numPr>
        <w:pStyle w:val="Compact"/>
      </w:pPr>
      <w:r>
        <w:t xml:space="preserve">permitir la operación fuera de una finalidad o función jurídica prevista aprobada;</w:t>
      </w:r>
    </w:p>
    <w:p>
      <w:pPr>
        <w:numPr>
          <w:ilvl w:val="0"/>
          <w:numId w:val="1531"/>
        </w:numPr>
        <w:pStyle w:val="Compact"/>
      </w:pPr>
      <w:r>
        <w:t xml:space="preserve">impedir la notificación de incidentes, la adopción de medidas correctivas, la restricción, el retiro o la retirada;</w:t>
      </w:r>
    </w:p>
    <w:p>
      <w:pPr>
        <w:numPr>
          <w:ilvl w:val="0"/>
          <w:numId w:val="1531"/>
        </w:numPr>
        <w:pStyle w:val="Compact"/>
      </w:pPr>
      <w:r>
        <w:t xml:space="preserve">prevalece sobre la privacidad, el empleo, la seguridad, el consumidor, la accesibilidad, la igualdad o la legislación sectorial aplicable.</w:t>
      </w:r>
    </w:p>
    <w:bookmarkEnd w:id="1531"/>
    <w:bookmarkStart w:id="1532" w:name="tratamiento-de-los-riesgos"/>
    <w:p>
      <w:pPr>
        <w:pStyle w:val="Heading2"/>
      </w:pPr>
      <w:r>
        <w:rPr>
          <w:rStyle w:val="SectionNumber"/>
        </w:rPr>
        <w:t xml:space="preserve">2.119</w:t>
      </w:r>
      <w:r>
        <w:tab/>
      </w:r>
      <w:r>
        <w:t xml:space="preserve">9. Tratamiento de los riesgos</w:t>
      </w:r>
    </w:p>
    <w:p>
      <w:pPr>
        <w:pStyle w:val="FirstParagraph"/>
      </w:pPr>
      <w:r>
        <w:t xml:space="preserve">Seleccione uno o más:</w:t>
      </w:r>
    </w:p>
    <w:p>
      <w:pPr>
        <w:numPr>
          <w:ilvl w:val="0"/>
          <w:numId w:val="1532"/>
        </w:numPr>
        <w:pStyle w:val="Compact"/>
      </w:pPr>
      <w:r>
        <w:t xml:space="preserve">evitar o prohibir el uso;</w:t>
      </w:r>
    </w:p>
    <w:p>
      <w:pPr>
        <w:numPr>
          <w:ilvl w:val="0"/>
          <w:numId w:val="1532"/>
        </w:numPr>
        <w:pStyle w:val="Compact"/>
      </w:pPr>
      <w:r>
        <w:t xml:space="preserve">reducir mediante controles técnicos;</w:t>
      </w:r>
    </w:p>
    <w:p>
      <w:pPr>
        <w:numPr>
          <w:ilvl w:val="0"/>
          <w:numId w:val="1532"/>
        </w:numPr>
        <w:pStyle w:val="Compact"/>
      </w:pPr>
      <w:r>
        <w:t xml:space="preserve">reducir mediante procesos, personal o supervisión humana;</w:t>
      </w:r>
    </w:p>
    <w:p>
      <w:pPr>
        <w:numPr>
          <w:ilvl w:val="0"/>
          <w:numId w:val="1532"/>
        </w:numPr>
        <w:pStyle w:val="Compact"/>
      </w:pPr>
      <w:r>
        <w:t xml:space="preserve">reducir mediante cambios en los datos, la interfaz o el alcance;</w:t>
      </w:r>
    </w:p>
    <w:p>
      <w:pPr>
        <w:numPr>
          <w:ilvl w:val="0"/>
          <w:numId w:val="1532"/>
        </w:numPr>
        <w:pStyle w:val="Compact"/>
      </w:pPr>
      <w:r>
        <w:t xml:space="preserve">transferir o asignar mediante contrato o seguro, sin transferir la responsabilidad jurídica que queda en la organización;</w:t>
      </w:r>
    </w:p>
    <w:p>
      <w:pPr>
        <w:numPr>
          <w:ilvl w:val="0"/>
          <w:numId w:val="1532"/>
        </w:numPr>
        <w:pStyle w:val="Compact"/>
      </w:pPr>
      <w:r>
        <w:t xml:space="preserve">limitar el propósito, la población, la geografía, los datos, la capacidad o el grado de automatización;</w:t>
      </w:r>
    </w:p>
    <w:p>
      <w:pPr>
        <w:numPr>
          <w:ilvl w:val="0"/>
          <w:numId w:val="1532"/>
        </w:numPr>
        <w:pStyle w:val="Compact"/>
      </w:pPr>
      <w:r>
        <w:t xml:space="preserve">piloto con criterios mejorados de supervisión y salida;</w:t>
      </w:r>
    </w:p>
    <w:p>
      <w:pPr>
        <w:numPr>
          <w:ilvl w:val="0"/>
          <w:numId w:val="1532"/>
        </w:numPr>
        <w:pStyle w:val="Compact"/>
      </w:pPr>
      <w:r>
        <w:t xml:space="preserve">aceptar el riesgo residual mediante la aprobación autorizada;</w:t>
      </w:r>
    </w:p>
    <w:p>
      <w:pPr>
        <w:numPr>
          <w:ilvl w:val="0"/>
          <w:numId w:val="1532"/>
        </w:numPr>
        <w:pStyle w:val="Compact"/>
      </w:pPr>
      <w:r>
        <w:t xml:space="preserve">suspender, restringir, retirar, retirar o retirar la operación en espera de la rehabilitación.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Medidas de tratamiento</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Prioridad</w:t>
            </w:r>
          </w:p>
        </w:tc>
        <w:tc>
          <w:tcPr/>
          <w:p>
            <w:pPr>
              <w:pStyle w:val="Compact"/>
              <w:jc w:val="left"/>
            </w:pPr>
            <w:r>
              <w:t xml:space="preserve">Situación</w:t>
            </w:r>
          </w:p>
        </w:tc>
        <w:tc>
          <w:tcPr/>
          <w:p>
            <w:pPr>
              <w:pStyle w:val="Compact"/>
              <w:jc w:val="left"/>
            </w:pPr>
            <w:r>
              <w:t xml:space="preserve">Método de validación</w:t>
            </w:r>
          </w:p>
        </w:tc>
        <w:tc>
          <w:tcPr/>
          <w:p>
            <w:pPr>
              <w:pStyle w:val="Compact"/>
              <w:jc w:val="left"/>
            </w:pPr>
            <w:r>
              <w:t xml:space="preserve">Pruebas de cierre</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32"/>
    <w:bookmarkStart w:id="1533" w:name="Xffec664f0c9707ff3d3732496f335857d070e74"/>
    <w:p>
      <w:pPr>
        <w:pStyle w:val="Heading2"/>
      </w:pPr>
      <w:r>
        <w:rPr>
          <w:rStyle w:val="SectionNumber"/>
        </w:rPr>
        <w:t xml:space="preserve">2.120</w:t>
      </w:r>
      <w:r>
        <w:tab/>
      </w:r>
      <w:r>
        <w:t xml:space="preserve">10. Principales indicadores y umbrales de riesgo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Indicador</w:t>
            </w:r>
          </w:p>
        </w:tc>
        <w:tc>
          <w:tcPr/>
          <w:p>
            <w:pPr>
              <w:pStyle w:val="Compact"/>
              <w:jc w:val="left"/>
            </w:pPr>
            <w:r>
              <w:t xml:space="preserve">Umbral</w:t>
            </w:r>
          </w:p>
        </w:tc>
        <w:tc>
          <w:tcPr/>
          <w:p>
            <w:pPr>
              <w:pStyle w:val="Compact"/>
              <w:jc w:val="left"/>
            </w:pPr>
            <w:r>
              <w:t xml:space="preserve">Fuente de los datos</w:t>
            </w:r>
          </w:p>
        </w:tc>
        <w:tc>
          <w:tcPr/>
          <w:p>
            <w:pPr>
              <w:pStyle w:val="Compact"/>
              <w:jc w:val="left"/>
            </w:pPr>
            <w:r>
              <w:t xml:space="preserve">Frecuencia</w:t>
            </w:r>
          </w:p>
        </w:tc>
        <w:tc>
          <w:tcPr/>
          <w:p>
            <w:pPr>
              <w:pStyle w:val="Compact"/>
              <w:jc w:val="left"/>
            </w:pPr>
            <w:r>
              <w:t xml:space="preserve">Propietario</w:t>
            </w:r>
          </w:p>
        </w:tc>
        <w:tc>
          <w:tcPr/>
          <w:p>
            <w:pPr>
              <w:pStyle w:val="Compact"/>
              <w:jc w:val="left"/>
            </w:pPr>
            <w:r>
              <w:t xml:space="preserve">Medidas de intensificación</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Considere:</w:t>
      </w:r>
    </w:p>
    <w:p>
      <w:pPr>
        <w:numPr>
          <w:ilvl w:val="0"/>
          <w:numId w:val="1533"/>
        </w:numPr>
        <w:pStyle w:val="Compact"/>
      </w:pPr>
      <w:r>
        <w:t xml:space="preserve">los porcentajes de error y abstención;</w:t>
      </w:r>
    </w:p>
    <w:p>
      <w:pPr>
        <w:numPr>
          <w:ilvl w:val="0"/>
          <w:numId w:val="1533"/>
        </w:numPr>
        <w:pStyle w:val="Compact"/>
      </w:pPr>
      <w:r>
        <w:t xml:space="preserve">las disparidades entre subgrupos y idiomas;</w:t>
      </w:r>
    </w:p>
    <w:p>
      <w:pPr>
        <w:numPr>
          <w:ilvl w:val="0"/>
          <w:numId w:val="1533"/>
        </w:numPr>
        <w:pStyle w:val="Compact"/>
      </w:pPr>
      <w:r>
        <w:t xml:space="preserve">las tasas de anulación, desacuerdo, apelación y denuncia;</w:t>
      </w:r>
    </w:p>
    <w:p>
      <w:pPr>
        <w:numPr>
          <w:ilvl w:val="0"/>
          <w:numId w:val="1533"/>
        </w:numPr>
        <w:pStyle w:val="Compact"/>
      </w:pPr>
      <w:r>
        <w:t xml:space="preserve">incidentes, cerca de fallos, y desencadenantes de la notificación;</w:t>
      </w:r>
    </w:p>
    <w:p>
      <w:pPr>
        <w:numPr>
          <w:ilvl w:val="0"/>
          <w:numId w:val="1533"/>
        </w:numPr>
        <w:pStyle w:val="Compact"/>
      </w:pPr>
      <w:r>
        <w:t xml:space="preserve">alertas de seguridad e intentos de uso indebido;</w:t>
      </w:r>
    </w:p>
    <w:p>
      <w:pPr>
        <w:numPr>
          <w:ilvl w:val="0"/>
          <w:numId w:val="1533"/>
        </w:numPr>
        <w:pStyle w:val="Compact"/>
      </w:pPr>
      <w:r>
        <w:t xml:space="preserve">cambios en el modelo, los datos, la rapidez, la herramienta o el proveedor;</w:t>
      </w:r>
    </w:p>
    <w:p>
      <w:pPr>
        <w:numPr>
          <w:ilvl w:val="0"/>
          <w:numId w:val="1533"/>
        </w:numPr>
        <w:pStyle w:val="Compact"/>
      </w:pPr>
      <w:r>
        <w:t xml:space="preserve">registros, pruebas o documentación no disponibles;</w:t>
      </w:r>
    </w:p>
    <w:p>
      <w:pPr>
        <w:numPr>
          <w:ilvl w:val="0"/>
          <w:numId w:val="1533"/>
        </w:numPr>
        <w:pStyle w:val="Compact"/>
      </w:pPr>
      <w:r>
        <w:t xml:space="preserve">deriva, comportamiento inesperado y pruebas de regresión fallidas;</w:t>
      </w:r>
    </w:p>
    <w:p>
      <w:pPr>
        <w:numPr>
          <w:ilvl w:val="0"/>
          <w:numId w:val="1533"/>
        </w:numPr>
        <w:pStyle w:val="Compact"/>
      </w:pPr>
      <w:r>
        <w:t xml:space="preserve">los resultados atrasados y las reiteradas excepciones;</w:t>
      </w:r>
    </w:p>
    <w:p>
      <w:pPr>
        <w:numPr>
          <w:ilvl w:val="0"/>
          <w:numId w:val="1533"/>
        </w:numPr>
        <w:pStyle w:val="Compact"/>
      </w:pPr>
      <w:r>
        <w:t xml:space="preserve">continuidad de servicio y fallas de reserva.</w:t>
      </w:r>
    </w:p>
    <w:bookmarkEnd w:id="1533"/>
    <w:bookmarkStart w:id="1535" w:name="decisión-sobre-el-riesgo-residual"/>
    <w:p>
      <w:pPr>
        <w:pStyle w:val="Heading2"/>
      </w:pPr>
      <w:r>
        <w:rPr>
          <w:rStyle w:val="SectionNumber"/>
        </w:rPr>
        <w:t xml:space="preserve">2.121</w:t>
      </w:r>
      <w:r>
        <w:tab/>
      </w:r>
      <w:r>
        <w:t xml:space="preserve">11. Decisión sobre el riesgo residual</w:t>
      </w:r>
    </w:p>
    <w:p>
      <w:pPr>
        <w:numPr>
          <w:ilvl w:val="0"/>
          <w:numId w:val="1534"/>
        </w:numPr>
        <w:pStyle w:val="Compact"/>
      </w:pPr>
      <w:r>
        <w:t xml:space="preserve">☐ Aceptable dentro de la tolerancia aprobada</w:t>
      </w:r>
    </w:p>
    <w:p>
      <w:pPr>
        <w:numPr>
          <w:ilvl w:val="0"/>
          <w:numId w:val="1534"/>
        </w:numPr>
        <w:pStyle w:val="Compact"/>
      </w:pPr>
      <w:r>
        <w:t xml:space="preserve">☐ Aceptable con condiciones y vigilancia mejorada</w:t>
      </w:r>
    </w:p>
    <w:p>
      <w:pPr>
        <w:numPr>
          <w:ilvl w:val="0"/>
          <w:numId w:val="1534"/>
        </w:numPr>
        <w:pStyle w:val="Compact"/>
      </w:pPr>
      <w:r>
        <w:t xml:space="preserve">☐ Se requiere aceptación del riesgo ejecutivo</w:t>
      </w:r>
    </w:p>
    <w:p>
      <w:pPr>
        <w:numPr>
          <w:ilvl w:val="0"/>
          <w:numId w:val="1534"/>
        </w:numPr>
        <w:pStyle w:val="Compact"/>
      </w:pPr>
      <w:r>
        <w:t xml:space="preserve">☐ Se requiere una escalada de la Junta</w:t>
      </w:r>
    </w:p>
    <w:p>
      <w:pPr>
        <w:numPr>
          <w:ilvl w:val="0"/>
          <w:numId w:val="1534"/>
        </w:numPr>
        <w:pStyle w:val="Compact"/>
      </w:pPr>
      <w:r>
        <w:t xml:space="preserve">☐ Remediación necesaria antes de la aprobación</w:t>
      </w:r>
    </w:p>
    <w:p>
      <w:pPr>
        <w:numPr>
          <w:ilvl w:val="0"/>
          <w:numId w:val="1534"/>
        </w:numPr>
        <w:pStyle w:val="Compact"/>
      </w:pPr>
      <w:r>
        <w:t xml:space="preserve">☐ Piloto restringido solamente</w:t>
      </w:r>
    </w:p>
    <w:p>
      <w:pPr>
        <w:numPr>
          <w:ilvl w:val="0"/>
          <w:numId w:val="1534"/>
        </w:numPr>
        <w:pStyle w:val="Compact"/>
      </w:pPr>
      <w:r>
        <w:t xml:space="preserve">☐ Despliegue bloqueado o suspendido</w:t>
      </w:r>
    </w:p>
    <w:p>
      <w:pPr>
        <w:numPr>
          <w:ilvl w:val="0"/>
          <w:numId w:val="1534"/>
        </w:numPr>
        <w:pStyle w:val="Compact"/>
      </w:pPr>
      <w:r>
        <w:t xml:space="preserve">☐ Prohibidos, retirados o retirados de servicio</w:t>
      </w:r>
    </w:p>
    <w:p>
      <w:pPr>
        <w:numPr>
          <w:ilvl w:val="0"/>
          <w:numId w:val="1534"/>
        </w:numPr>
        <w:pStyle w:val="Compact"/>
      </w:pPr>
      <w:r>
        <w:t xml:space="preserve">☐ Se requiere una revisión legal calificada</w:t>
      </w:r>
    </w:p>
    <w:bookmarkStart w:id="1534" w:name="justificación-de-la-decisión-1"/>
    <w:p>
      <w:pPr>
        <w:pStyle w:val="Heading3"/>
      </w:pPr>
      <w:r>
        <w:rPr>
          <w:rStyle w:val="SectionNumber"/>
        </w:rPr>
        <w:t xml:space="preserve">2.121.1</w:t>
      </w:r>
      <w:r>
        <w:tab/>
      </w:r>
      <w:r>
        <w:t xml:space="preserve">Justificación de la decisión</w:t>
      </w:r>
    </w:p>
    <w:p>
      <w:pPr>
        <w:pStyle w:val="FirstParagraph"/>
      </w:pPr>
      <w:r>
        <w:t xml:space="preserve">Documento:</w:t>
      </w:r>
    </w:p>
    <w:p>
      <w:pPr>
        <w:numPr>
          <w:ilvl w:val="0"/>
          <w:numId w:val="1535"/>
        </w:numPr>
        <w:pStyle w:val="Compact"/>
      </w:pPr>
      <w:r>
        <w:t xml:space="preserve">los beneficios esperados y las pruebas justificativas;</w:t>
      </w:r>
    </w:p>
    <w:p>
      <w:pPr>
        <w:numPr>
          <w:ilvl w:val="0"/>
          <w:numId w:val="1535"/>
        </w:numPr>
        <w:pStyle w:val="Compact"/>
      </w:pPr>
      <w:r>
        <w:t xml:space="preserve">alternativas menos riesgosas consideradas;</w:t>
      </w:r>
    </w:p>
    <w:p>
      <w:pPr>
        <w:numPr>
          <w:ilvl w:val="0"/>
          <w:numId w:val="1535"/>
        </w:numPr>
        <w:pStyle w:val="Compact"/>
      </w:pPr>
      <w:r>
        <w:t xml:space="preserve">diseño de control y eficacia de funcionamiento;</w:t>
      </w:r>
    </w:p>
    <w:p>
      <w:pPr>
        <w:numPr>
          <w:ilvl w:val="0"/>
          <w:numId w:val="1535"/>
        </w:numPr>
        <w:pStyle w:val="Compact"/>
      </w:pPr>
      <w:r>
        <w:t xml:space="preserve">los bloqueadores legales y las obligaciones obligatorias;</w:t>
      </w:r>
    </w:p>
    <w:p>
      <w:pPr>
        <w:numPr>
          <w:ilvl w:val="0"/>
          <w:numId w:val="1535"/>
        </w:numPr>
        <w:pStyle w:val="Compact"/>
      </w:pPr>
      <w:r>
        <w:t xml:space="preserve">la incertidumbre y las limitaciones de la prueba;</w:t>
      </w:r>
    </w:p>
    <w:p>
      <w:pPr>
        <w:numPr>
          <w:ilvl w:val="0"/>
          <w:numId w:val="1535"/>
        </w:numPr>
        <w:pStyle w:val="Compact"/>
      </w:pPr>
      <w:r>
        <w:t xml:space="preserve">las personas afectadas y los grupos vulnerables;</w:t>
      </w:r>
    </w:p>
    <w:p>
      <w:pPr>
        <w:numPr>
          <w:ilvl w:val="0"/>
          <w:numId w:val="1535"/>
        </w:numPr>
        <w:pStyle w:val="Compact"/>
      </w:pPr>
      <w:r>
        <w:t xml:space="preserve">las condiciones de riesgo residual, la duración y el seguimiento;</w:t>
      </w:r>
    </w:p>
    <w:p>
      <w:pPr>
        <w:numPr>
          <w:ilvl w:val="0"/>
          <w:numId w:val="1535"/>
        </w:numPr>
        <w:pStyle w:val="Compact"/>
      </w:pPr>
      <w:r>
        <w:t xml:space="preserve">autoridad y justificación de la aceptación;</w:t>
      </w:r>
    </w:p>
    <w:p>
      <w:pPr>
        <w:numPr>
          <w:ilvl w:val="0"/>
          <w:numId w:val="1535"/>
        </w:numPr>
        <w:pStyle w:val="Compact"/>
      </w:pPr>
      <w:r>
        <w:t xml:space="preserve">criterios que requieran suspensión, retroceso o reevaluación.</w:t>
      </w:r>
    </w:p>
    <w:bookmarkEnd w:id="1534"/>
    <w:bookmarkEnd w:id="1535"/>
    <w:bookmarkStart w:id="1536" w:name="supervisión-y-reevaluación-1"/>
    <w:p>
      <w:pPr>
        <w:pStyle w:val="Heading2"/>
      </w:pPr>
      <w:r>
        <w:rPr>
          <w:rStyle w:val="SectionNumber"/>
        </w:rPr>
        <w:t xml:space="preserve">2.122</w:t>
      </w:r>
      <w:r>
        <w:tab/>
      </w:r>
      <w:r>
        <w:t xml:space="preserve">12. Supervisión y reevaluación</w:t>
      </w:r>
    </w:p>
    <w:p>
      <w:pPr>
        <w:pStyle w:val="FirstParagraph"/>
      </w:pPr>
      <w:r>
        <w:t xml:space="preserve">Definir:</w:t>
      </w:r>
    </w:p>
    <w:p>
      <w:pPr>
        <w:numPr>
          <w:ilvl w:val="0"/>
          <w:numId w:val="1536"/>
        </w:numPr>
        <w:pStyle w:val="Compact"/>
      </w:pPr>
      <w:r>
        <w:t xml:space="preserve">indicadores, umbrales y sistemas de fuentes;</w:t>
      </w:r>
    </w:p>
    <w:p>
      <w:pPr>
        <w:numPr>
          <w:ilvl w:val="0"/>
          <w:numId w:val="1536"/>
        </w:numPr>
        <w:pStyle w:val="Compact"/>
      </w:pPr>
      <w:r>
        <w:t xml:space="preserve">la persona afectada, el subgrupo, el idioma y los resultados de accesibilidad;</w:t>
      </w:r>
    </w:p>
    <w:p>
      <w:pPr>
        <w:numPr>
          <w:ilvl w:val="0"/>
          <w:numId w:val="1536"/>
        </w:numPr>
        <w:pStyle w:val="Compact"/>
      </w:pPr>
      <w:r>
        <w:t xml:space="preserve">supervisión, anulación, apelación y denuncia por parte de los seres humanos;</w:t>
      </w:r>
    </w:p>
    <w:p>
      <w:pPr>
        <w:numPr>
          <w:ilvl w:val="0"/>
          <w:numId w:val="1536"/>
        </w:numPr>
        <w:pStyle w:val="Compact"/>
      </w:pPr>
      <w:r>
        <w:t xml:space="preserve">incidentes, fallos inminentes y desencadenantes de la notificación;</w:t>
      </w:r>
    </w:p>
    <w:p>
      <w:pPr>
        <w:numPr>
          <w:ilvl w:val="0"/>
          <w:numId w:val="1536"/>
        </w:numPr>
        <w:pStyle w:val="Compact"/>
      </w:pPr>
      <w:r>
        <w:t xml:space="preserve">cambios en el modelo, el proveedor, los datos, la rapidez, la herramienta y la jurisdicción;</w:t>
      </w:r>
    </w:p>
    <w:p>
      <w:pPr>
        <w:numPr>
          <w:ilvl w:val="0"/>
          <w:numId w:val="1536"/>
        </w:numPr>
        <w:pStyle w:val="Compact"/>
      </w:pPr>
      <w:r>
        <w:t xml:space="preserve">revisar la frecuencia y los destinatarios de la notificación;</w:t>
      </w:r>
    </w:p>
    <w:p>
      <w:pPr>
        <w:numPr>
          <w:ilvl w:val="0"/>
          <w:numId w:val="1536"/>
        </w:numPr>
        <w:pStyle w:val="Compact"/>
      </w:pPr>
      <w:r>
        <w:t xml:space="preserve">los criterios de suspensión, retroceso, restricción, retirada y salida;</w:t>
      </w:r>
    </w:p>
    <w:p>
      <w:pPr>
        <w:numPr>
          <w:ilvl w:val="0"/>
          <w:numId w:val="1536"/>
        </w:numPr>
        <w:pStyle w:val="Compact"/>
      </w:pPr>
      <w:r>
        <w:t xml:space="preserve">requisitos de retención de pruebas y enlace de versiones.</w:t>
      </w:r>
    </w:p>
    <w:bookmarkEnd w:id="1536"/>
    <w:bookmarkStart w:id="1537" w:name="activadores-de-la-reevaluación"/>
    <w:p>
      <w:pPr>
        <w:pStyle w:val="Heading2"/>
      </w:pPr>
      <w:r>
        <w:rPr>
          <w:rStyle w:val="SectionNumber"/>
        </w:rPr>
        <w:t xml:space="preserve">2.123</w:t>
      </w:r>
      <w:r>
        <w:tab/>
      </w:r>
      <w:r>
        <w:t xml:space="preserve">13. Activadores de la reevaluación</w:t>
      </w:r>
    </w:p>
    <w:p>
      <w:pPr>
        <w:pStyle w:val="FirstParagraph"/>
      </w:pPr>
      <w:r>
        <w:t xml:space="preserve">Volver a evaluar después de:</w:t>
      </w:r>
    </w:p>
    <w:p>
      <w:pPr>
        <w:numPr>
          <w:ilvl w:val="0"/>
          <w:numId w:val="1537"/>
        </w:numPr>
        <w:pStyle w:val="Compact"/>
      </w:pPr>
      <w:r>
        <w:t xml:space="preserve">modelo, datos, aviso, herramienta, agente, arquitectura o cambio de interfaz;</w:t>
      </w:r>
    </w:p>
    <w:p>
      <w:pPr>
        <w:numPr>
          <w:ilvl w:val="0"/>
          <w:numId w:val="1537"/>
        </w:numPr>
        <w:pStyle w:val="Compact"/>
      </w:pPr>
      <w:r>
        <w:t xml:space="preserve">cambio de finalidad, uso real, población, sector o grado de automatización;</w:t>
      </w:r>
    </w:p>
    <w:p>
      <w:pPr>
        <w:numPr>
          <w:ilvl w:val="0"/>
          <w:numId w:val="1537"/>
        </w:numPr>
        <w:pStyle w:val="Compact"/>
      </w:pPr>
      <w:r>
        <w:t xml:space="preserve">despliegue en una nueva jurisdicción o entidad jurídica;</w:t>
      </w:r>
    </w:p>
    <w:p>
      <w:pPr>
        <w:numPr>
          <w:ilvl w:val="0"/>
          <w:numId w:val="1537"/>
        </w:numPr>
        <w:pStyle w:val="Compact"/>
      </w:pPr>
      <w:r>
        <w:t xml:space="preserve">incidente material, queja, apelación, resultado adverso o casi error;</w:t>
      </w:r>
    </w:p>
    <w:p>
      <w:pPr>
        <w:numPr>
          <w:ilvl w:val="0"/>
          <w:numId w:val="1537"/>
        </w:numPr>
        <w:pStyle w:val="Compact"/>
      </w:pPr>
      <w:r>
        <w:t xml:space="preserve">rendimiento, sesgo, subgrupo, lenguaje, accesibilidad o deriva de seguridad;</w:t>
      </w:r>
    </w:p>
    <w:p>
      <w:pPr>
        <w:numPr>
          <w:ilvl w:val="0"/>
          <w:numId w:val="1537"/>
        </w:numPr>
        <w:pStyle w:val="Compact"/>
      </w:pPr>
      <w:r>
        <w:t xml:space="preserve">proveedor, contrato, subprocesador, licencia o cambio de dependencia crítica;</w:t>
      </w:r>
    </w:p>
    <w:p>
      <w:pPr>
        <w:numPr>
          <w:ilvl w:val="0"/>
          <w:numId w:val="1537"/>
        </w:numPr>
        <w:pStyle w:val="Compact"/>
      </w:pPr>
      <w:r>
        <w:t xml:space="preserve">vulnerabilidad a la seguridad, inteligencia de amenazas o patrón de uso indebido;</w:t>
      </w:r>
    </w:p>
    <w:p>
      <w:pPr>
        <w:numPr>
          <w:ilvl w:val="0"/>
          <w:numId w:val="1537"/>
        </w:numPr>
        <w:pStyle w:val="Compact"/>
      </w:pPr>
      <w:r>
        <w:t xml:space="preserve">desarrollo legal, reglamentario, de autoridad, estándar o de código;</w:t>
      </w:r>
    </w:p>
    <w:p>
      <w:pPr>
        <w:numPr>
          <w:ilvl w:val="0"/>
          <w:numId w:val="1537"/>
        </w:numPr>
        <w:pStyle w:val="Compact"/>
      </w:pPr>
      <w:r>
        <w:t xml:space="preserve">comprobación de auditoría, validación, conformidad o ensayo de control;</w:t>
      </w:r>
    </w:p>
    <w:p>
      <w:pPr>
        <w:numPr>
          <w:ilvl w:val="0"/>
          <w:numId w:val="1537"/>
        </w:numPr>
        <w:pStyle w:val="Compact"/>
      </w:pPr>
      <w:r>
        <w:t xml:space="preserve">modificación sustancial, repurposición, o cambio de rol.</w:t>
      </w:r>
    </w:p>
    <w:bookmarkEnd w:id="1537"/>
    <w:bookmarkStart w:id="1538" w:name="Xba4940339c4cc9b4e701cc68cd9ba64b6623524"/>
    <w:p>
      <w:pPr>
        <w:pStyle w:val="Heading2"/>
      </w:pPr>
      <w:r>
        <w:rPr>
          <w:rStyle w:val="SectionNumber"/>
        </w:rPr>
        <w:t xml:space="preserve">2.124</w:t>
      </w:r>
      <w:r>
        <w:tab/>
      </w:r>
      <w:r>
        <w:t xml:space="preserve">Ejemplo de servicios de viajes de GlobalWay</w:t>
      </w:r>
    </w:p>
    <w:p>
      <w:pPr>
        <w:pStyle w:val="FirstParagraph"/>
      </w:pPr>
      <w:r>
        <w:t xml:space="preserve">GlobalWay evalúa a un asistente de viajeros que recomienda cambios en los itinerarios y puede iniciar herramientas de rereservación.Los escenarios materiales incluyen consejos de seguridad inexactos, reembolsos no autorizados, fugas de privacidad, inyección rápida, interrupciones de los proveedores, disparidades de idioma y sesgo de automatización. GlobalWay requiere confirmación humana para acciones externas, restringe datos sensibles, añade pruebas de regresión multilingüe, supervisa las tasas de anulación y quejas, y define umbrales de suspensión inmediata.</w:t>
      </w:r>
    </w:p>
    <w:bookmarkEnd w:id="1538"/>
    <w:bookmarkStart w:id="1539" w:name="homologación-5"/>
    <w:p>
      <w:pPr>
        <w:pStyle w:val="Heading2"/>
      </w:pPr>
      <w:r>
        <w:rPr>
          <w:rStyle w:val="SectionNumber"/>
        </w:rPr>
        <w:t xml:space="preserve">2.125</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técnico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del riesgo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Privacidad/Seguridad/Datos,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Ejecutivo o junta, cuando sea necesario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 </w:t>
      </w:r>
      <w:r>
        <w:t xml:space="preserve">Hipótesis aceptadas e incertidumbre:</w:t>
      </w:r>
      <w:r>
        <w:rPr>
          <w:bCs/>
          <w:b/>
        </w:rPr>
        <w:t xml:space="preserve"> </w:t>
      </w:r>
      <w:r>
        <w:t xml:space="preserve">Condiciones, restricciones y expiración:</w:t>
      </w:r>
      <w:r>
        <w:rPr>
          <w:bCs/>
          <w:b/>
        </w:rPr>
        <w:t xml:space="preserve"> </w:t>
      </w:r>
      <w:r>
        <w:t xml:space="preserve">Acción abierta y fecha de vencimiento:</w:t>
      </w:r>
      <w:r>
        <w:rPr>
          <w:bCs/>
          <w:b/>
        </w:rPr>
        <w:t xml:space="preserve"> </w:t>
      </w:r>
      <w:r>
        <w:t xml:space="preserve">Pedido/fecha de la próxima revisión:</w:t>
      </w:r>
      <w:r>
        <w:rPr>
          <w:bCs/>
          <w:b/>
        </w:rPr>
        <w:t xml:space="preserve"> </w:t>
      </w:r>
      <w:r>
        <w:t xml:space="preserve"> </w:t>
      </w:r>
      <w:r>
        <w:t xml:space="preserve">Versión de evaluación:**</w:t>
      </w:r>
    </w:p>
    <w:bookmarkEnd w:id="1539"/>
    <w:bookmarkStart w:id="1540" w:name="referencias-jurídicas-primarias-114"/>
    <w:p>
      <w:pPr>
        <w:pStyle w:val="Heading2"/>
      </w:pPr>
      <w:r>
        <w:rPr>
          <w:rStyle w:val="SectionNumber"/>
        </w:rPr>
        <w:t xml:space="preserve">2.126</w:t>
      </w:r>
      <w:r>
        <w:tab/>
      </w:r>
      <w:r>
        <w:t xml:space="preserve">Referencias jurídicas primarias</w:t>
      </w:r>
    </w:p>
    <w:p>
      <w:pPr>
        <w:numPr>
          <w:ilvl w:val="0"/>
          <w:numId w:val="1538"/>
        </w:numPr>
        <w:pStyle w:val="Compact"/>
      </w:pPr>
      <w:r>
        <w:t xml:space="preserve">Reglamento (UE) 2024/1689, en su versión modificada: gestión del riesgo aplicable, alto riesgo, GPAI, transparencia, supervisión humana, precisión, robustez, seguridad cibernética, vigilancia, incidentes, medidas correctivas y disposiciones de autoridad.</w:t>
      </w:r>
    </w:p>
    <w:p>
      <w:pPr>
        <w:numPr>
          <w:ilvl w:val="0"/>
          <w:numId w:val="1538"/>
        </w:numPr>
        <w:pStyle w:val="Compact"/>
      </w:pPr>
      <w:r>
        <w:t xml:space="preserve">Reglamento (UE) 2026/1744, en su caso.</w:t>
      </w:r>
    </w:p>
    <w:p>
      <w:pPr>
        <w:numPr>
          <w:ilvl w:val="0"/>
          <w:numId w:val="1538"/>
        </w:numPr>
        <w:pStyle w:val="Compact"/>
      </w:pPr>
      <w:r>
        <w:t xml:space="preserve">Reglamento (UE) 2016/679 y legislación aplicable en materia de empleo, igualdad, accesibilidad, ciberseguridad, seguridad de los productos, protección de los consumidores, propiedad intelectual, medio ambiente y sector.</w:t>
      </w:r>
    </w:p>
    <w:p>
      <w:pPr>
        <w:numPr>
          <w:ilvl w:val="0"/>
          <w:numId w:val="1538"/>
        </w:numPr>
        <w:pStyle w:val="Compact"/>
      </w:pPr>
      <w:r>
        <w:t xml:space="preserve">Las calificaciones del riesgo empresarial en esta plantilla son instrumentos de gobernanza y no alteran las clasificaciones legales ni las obligaciones jurídicas.</w:t>
      </w:r>
    </w:p>
    <w:bookmarkEnd w:id="1540"/>
    <w:bookmarkStart w:id="1541" w:name="X8fb46f8039fceddd84a98b099dbfe500dfe3d21"/>
    <w:p>
      <w:pPr>
        <w:pStyle w:val="Heading2"/>
      </w:pPr>
      <w:r>
        <w:rPr>
          <w:rStyle w:val="SectionNumber"/>
        </w:rPr>
        <w:t xml:space="preserve">2.127</w:t>
      </w:r>
      <w:r>
        <w:tab/>
      </w:r>
      <w:r>
        <w:t xml:space="preserve">Apéndice I — Evaluación de la gobernanza de los datos</w:t>
      </w:r>
    </w:p>
    <w:p>
      <w:pPr>
        <w:pStyle w:val="BlockText"/>
      </w:pPr>
      <w:r>
        <w:rPr>
          <w:bCs/>
          <w:b/>
        </w:rPr>
        <w:t xml:space="preserve">Estado legal:</w:t>
      </w:r>
      <w:r>
        <w:t xml:space="preserve"> </w:t>
      </w:r>
      <w:r>
        <w:t xml:space="preserve">Maestro inglés corregido. Este archivo distingue las obligaciones del Artículo 10 para los proveedores de sistemas de IA de alto riesgo de una gobernanza de datos organizacional más amplia, privacidad, seguridad, calidad, propiedad intelectual y controles de gestión de registros.</w:t>
      </w:r>
    </w:p>
    <w:bookmarkEnd w:id="1541"/>
    <w:bookmarkStart w:id="1542" w:name="finalidad-25"/>
    <w:p>
      <w:pPr>
        <w:pStyle w:val="Heading2"/>
      </w:pPr>
      <w:r>
        <w:rPr>
          <w:rStyle w:val="SectionNumber"/>
        </w:rPr>
        <w:t xml:space="preserve">2.128</w:t>
      </w:r>
      <w:r>
        <w:tab/>
      </w:r>
      <w:r>
        <w:t xml:space="preserve">Finalidad</w:t>
      </w:r>
    </w:p>
    <w:p>
      <w:pPr>
        <w:pStyle w:val="FirstParagraph"/>
      </w:pPr>
      <w:r>
        <w:t xml:space="preserve">Utilice esta evaluación para evaluar si los datos utilizados para entrenar, afinar, validar, probar, recuperar, operar, monitorear o mejorar un sistema de IA son adecuados, lícitos, seguros, representativos, rastreables y gobernados para el propósito previsto documentado y la población afectada.</w:t>
      </w:r>
    </w:p>
    <w:p>
      <w:pPr>
        <w:pStyle w:val="BodyText"/>
      </w:pPr>
      <w:r>
        <w:t xml:space="preserve">La evaluación debe vincularse a versiones y repetirse cuando cambien las condiciones de origen, población, propósito, modelo, característica, etiqueta, transformación, proveedor, jurisdicción o condiciones legales.</w:t>
      </w:r>
    </w:p>
    <w:bookmarkEnd w:id="1542"/>
    <w:bookmarkStart w:id="1543" w:name="aplicabilidad-y-alcance"/>
    <w:p>
      <w:pPr>
        <w:pStyle w:val="Heading2"/>
      </w:pPr>
      <w:r>
        <w:rPr>
          <w:rStyle w:val="SectionNumber"/>
        </w:rPr>
        <w:t xml:space="preserve">2.129</w:t>
      </w:r>
      <w:r>
        <w:tab/>
      </w:r>
      <w:r>
        <w:t xml:space="preserve">1. Aplicabilidad y alcance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Sistema/modelo</w:t>
            </w:r>
          </w:p>
        </w:tc>
        <w:tc>
          <w:tcPr/>
          <w:p>
            <w:pPr>
              <w:pStyle w:val="Compact"/>
              <w:jc w:val="left"/>
            </w:pPr>
            <w:r>
              <w:t xml:space="preserve">- No, no.</w:t>
            </w:r>
          </w:p>
        </w:tc>
      </w:tr>
      <w:tr>
        <w:tc>
          <w:tcPr/>
          <w:p>
            <w:pPr>
              <w:pStyle w:val="Compact"/>
              <w:jc w:val="left"/>
            </w:pPr>
            <w:r>
              <w:t xml:space="preserve">ID de inventario</w:t>
            </w:r>
          </w:p>
        </w:tc>
        <w:tc>
          <w:tcPr/>
          <w:p>
            <w:pPr>
              <w:pStyle w:val="Compact"/>
              <w:jc w:val="left"/>
            </w:pPr>
            <w:r>
              <w:t xml:space="preserve">- No, no.</w:t>
            </w:r>
          </w:p>
        </w:tc>
      </w:tr>
      <w:tr>
        <w:tc>
          <w:tcPr/>
          <w:p>
            <w:pPr>
              <w:pStyle w:val="Compact"/>
              <w:jc w:val="left"/>
            </w:pPr>
            <w:r>
              <w:t xml:space="preserve">Versión/configuración</w:t>
            </w:r>
          </w:p>
        </w:tc>
        <w:tc>
          <w:tcPr/>
          <w:p>
            <w:pPr>
              <w:pStyle w:val="Compact"/>
              <w:jc w:val="left"/>
            </w:pPr>
            <w:r>
              <w:t xml:space="preserve">- No, no.</w:t>
            </w:r>
          </w:p>
        </w:tc>
      </w:tr>
      <w:tr>
        <w:tc>
          <w:tcPr/>
          <w:p>
            <w:pPr>
              <w:pStyle w:val="Compact"/>
              <w:jc w:val="left"/>
            </w:pPr>
            <w:r>
              <w:t xml:space="preserve">Entidad jurídica y función de actor</w:t>
            </w:r>
          </w:p>
        </w:tc>
        <w:tc>
          <w:tcPr/>
          <w:p>
            <w:pPr>
              <w:pStyle w:val="Compact"/>
              <w:jc w:val="left"/>
            </w:pPr>
            <w:r>
              <w:t xml:space="preserve">- No, no.</w:t>
            </w:r>
          </w:p>
        </w:tc>
      </w:tr>
      <w:tr>
        <w:tc>
          <w:tcPr/>
          <w:p>
            <w:pPr>
              <w:pStyle w:val="Compact"/>
              <w:jc w:val="left"/>
            </w:pPr>
            <w:r>
              <w:t xml:space="preserve">Clasificación de alto riesgo y base jurídica</w:t>
            </w:r>
          </w:p>
        </w:tc>
        <w:tc>
          <w:tcPr/>
          <w:p>
            <w:pPr>
              <w:pStyle w:val="Compact"/>
              <w:jc w:val="left"/>
            </w:pPr>
            <w:r>
              <w:t xml:space="preserve">- No, no.</w:t>
            </w:r>
          </w:p>
        </w:tc>
      </w:tr>
      <w:tr>
        <w:tc>
          <w:tcPr/>
          <w:p>
            <w:pPr>
              <w:pStyle w:val="Compact"/>
              <w:jc w:val="left"/>
            </w:pPr>
            <w:r>
              <w:t xml:space="preserve">Conjunto de datos/nombre de origen y versión</w:t>
            </w:r>
          </w:p>
        </w:tc>
        <w:tc>
          <w:tcPr/>
          <w:p>
            <w:pPr>
              <w:pStyle w:val="Compact"/>
              <w:jc w:val="left"/>
            </w:pPr>
            <w:r>
              <w:t xml:space="preserve">- No, no.</w:t>
            </w:r>
          </w:p>
        </w:tc>
      </w:tr>
      <w:tr>
        <w:tc>
          <w:tcPr/>
          <w:p>
            <w:pPr>
              <w:pStyle w:val="Compact"/>
              <w:jc w:val="left"/>
            </w:pPr>
            <w:r>
              <w:t xml:space="preserve">Propietario y administrador de los datos</w:t>
            </w:r>
          </w:p>
        </w:tc>
        <w:tc>
          <w:tcPr/>
          <w:p>
            <w:pPr>
              <w:pStyle w:val="Compact"/>
              <w:jc w:val="left"/>
            </w:pPr>
            <w:r>
              <w:t xml:space="preserve">- No, no.</w:t>
            </w:r>
          </w:p>
        </w:tc>
      </w:tr>
      <w:tr>
        <w:tc>
          <w:tcPr/>
          <w:p>
            <w:pPr>
              <w:pStyle w:val="Compact"/>
              <w:jc w:val="left"/>
            </w:pPr>
            <w:r>
              <w:t xml:space="preserve">Finalidad prevista y uso del ciclo de vida</w:t>
            </w:r>
          </w:p>
        </w:tc>
        <w:tc>
          <w:tcPr/>
          <w:p>
            <w:pPr>
              <w:pStyle w:val="Compact"/>
              <w:jc w:val="left"/>
            </w:pPr>
            <w:r>
              <w:t xml:space="preserve">- No, no.</w:t>
            </w:r>
          </w:p>
        </w:tc>
      </w:tr>
      <w:tr>
        <w:tc>
          <w:tcPr/>
          <w:p>
            <w:pPr>
              <w:pStyle w:val="Compact"/>
              <w:jc w:val="left"/>
            </w:pPr>
            <w:r>
              <w:t xml:space="preserve">Personas y poblaciones afectadas</w:t>
            </w:r>
          </w:p>
        </w:tc>
        <w:tc>
          <w:tcPr/>
          <w:p>
            <w:pPr>
              <w:pStyle w:val="Compact"/>
              <w:jc w:val="left"/>
            </w:pPr>
            <w:r>
              <w:t xml:space="preserve">- No, no.</w:t>
            </w:r>
          </w:p>
        </w:tc>
      </w:tr>
      <w:tr>
        <w:tc>
          <w:tcPr/>
          <w:p>
            <w:pPr>
              <w:pStyle w:val="Compact"/>
              <w:jc w:val="left"/>
            </w:pPr>
            <w:r>
              <w:t xml:space="preserve">Competencias</w:t>
            </w:r>
          </w:p>
        </w:tc>
        <w:tc>
          <w:tcPr/>
          <w:p>
            <w:pPr>
              <w:pStyle w:val="Compact"/>
              <w:jc w:val="left"/>
            </w:pPr>
            <w:r>
              <w:t xml:space="preserve">- No, no.</w:t>
            </w:r>
          </w:p>
        </w:tc>
      </w:tr>
      <w:tr>
        <w:tc>
          <w:tcPr/>
          <w:p>
            <w:pPr>
              <w:pStyle w:val="Compact"/>
              <w:jc w:val="left"/>
            </w:pPr>
            <w:r>
              <w:t xml:space="preserve">¿Se aplica el artículo 10?</w:t>
            </w:r>
          </w:p>
        </w:tc>
        <w:tc>
          <w:tcPr/>
          <w:p>
            <w:pPr>
              <w:pStyle w:val="Compact"/>
              <w:jc w:val="left"/>
            </w:pPr>
            <w:r>
              <w:t xml:space="preserve">- No, no.</w:t>
            </w:r>
          </w:p>
        </w:tc>
      </w:tr>
      <w:tr>
        <w:tc>
          <w:tcPr/>
          <w:p>
            <w:pPr>
              <w:pStyle w:val="Compact"/>
              <w:jc w:val="left"/>
            </w:pPr>
            <w:r>
              <w:t xml:space="preserve">Evaluación conexa de la seguridad del Departamento de Asuntos Políticos/FRIA</w:t>
            </w:r>
          </w:p>
        </w:tc>
        <w:tc>
          <w:tcPr/>
          <w:p>
            <w:pPr>
              <w:pStyle w:val="Compact"/>
              <w:jc w:val="left"/>
            </w:pPr>
            <w:r>
              <w:t xml:space="preserve">- No, no.</w:t>
            </w:r>
          </w:p>
        </w:tc>
      </w:tr>
      <w:tr>
        <w:tc>
          <w:tcPr/>
          <w:p>
            <w:pPr>
              <w:pStyle w:val="Compact"/>
              <w:jc w:val="left"/>
            </w:pPr>
            <w:r>
              <w:t xml:space="preserve">Fuente jurídica actual y fecha de aplicación</w:t>
            </w:r>
          </w:p>
        </w:tc>
        <w:tc>
          <w:tcPr/>
          <w:p>
            <w:pPr>
              <w:pStyle w:val="Compact"/>
              <w:jc w:val="left"/>
            </w:pPr>
            <w:r>
              <w:t xml:space="preserve">- No, no.</w:t>
            </w:r>
          </w:p>
        </w:tc>
      </w:tr>
      <w:tr>
        <w:tc>
          <w:tcPr/>
          <w:p>
            <w:pPr>
              <w:pStyle w:val="Compact"/>
              <w:jc w:val="left"/>
            </w:pPr>
            <w:r>
              <w:t xml:space="preserve">Responsable de la evaluación/fecha</w:t>
            </w:r>
          </w:p>
        </w:tc>
        <w:tc>
          <w:tcPr/>
          <w:p>
            <w:pPr>
              <w:pStyle w:val="Compact"/>
              <w:jc w:val="left"/>
            </w:pPr>
            <w:r>
              <w:t xml:space="preserve">- No, no.</w:t>
            </w:r>
          </w:p>
        </w:tc>
      </w:tr>
    </w:tbl>
    <w:bookmarkEnd w:id="1543"/>
    <w:bookmarkStart w:id="1544" w:name="X87423a16a01faa239c7bfc25ebcc1f08f19a518"/>
    <w:p>
      <w:pPr>
        <w:pStyle w:val="Heading2"/>
      </w:pPr>
      <w:r>
        <w:rPr>
          <w:rStyle w:val="SectionNumber"/>
        </w:rPr>
        <w:t xml:space="preserve">2.130</w:t>
      </w:r>
      <w:r>
        <w:tab/>
      </w:r>
      <w:r>
        <w:t xml:space="preserve">2. Conjunto de datos y uso del ciclo de vida</w:t>
      </w:r>
    </w:p>
    <w:p>
      <w:pPr>
        <w:pStyle w:val="FirstParagraph"/>
      </w:pPr>
      <w:r>
        <w:t xml:space="preserve">Registrar cada uso por separado.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Uso de datos</w:t>
            </w:r>
          </w:p>
        </w:tc>
        <w:tc>
          <w:tcPr/>
          <w:p>
            <w:pPr>
              <w:pStyle w:val="Compact"/>
              <w:jc w:val="left"/>
            </w:pPr>
            <w:r>
              <w:t xml:space="preserve">Conjunto de datos/versión</w:t>
            </w:r>
          </w:p>
        </w:tc>
        <w:tc>
          <w:tcPr/>
          <w:p>
            <w:pPr>
              <w:pStyle w:val="Compact"/>
              <w:jc w:val="left"/>
            </w:pPr>
            <w:r>
              <w:t xml:space="preserve">Finalidad</w:t>
            </w:r>
          </w:p>
        </w:tc>
        <w:tc>
          <w:tcPr/>
          <w:p>
            <w:pPr>
              <w:pStyle w:val="Compact"/>
              <w:jc w:val="left"/>
            </w:pPr>
            <w:r>
              <w:t xml:space="preserve">Población/contexto</w:t>
            </w:r>
          </w:p>
        </w:tc>
        <w:tc>
          <w:tcPr/>
          <w:p>
            <w:pPr>
              <w:pStyle w:val="Compact"/>
              <w:jc w:val="left"/>
            </w:pPr>
            <w:r>
              <w:t xml:space="preserve">Propietario</w:t>
            </w:r>
          </w:p>
        </w:tc>
        <w:tc>
          <w:tcPr/>
          <w:p>
            <w:pPr>
              <w:pStyle w:val="Compact"/>
              <w:jc w:val="left"/>
            </w:pPr>
            <w:r>
              <w:t xml:space="preserve">Localización de las pruebas</w:t>
            </w:r>
          </w:p>
        </w:tc>
      </w:tr>
      <w:tr>
        <w:tc>
          <w:tcPr/>
          <w:p>
            <w:pPr>
              <w:pStyle w:val="Compact"/>
              <w:jc w:val="left"/>
            </w:pPr>
            <w:r>
              <w:t xml:space="preserve">Capacitación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Validación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Ensayos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Ajuste fino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Obtención/enfoque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Aporte operacional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Realimentación/aprendizaje continuo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Supervisión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Datos sintéticos o aumentados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44"/>
    <w:bookmarkStart w:id="1545" w:name="propósito-y-necesidades-de-datos"/>
    <w:p>
      <w:pPr>
        <w:pStyle w:val="Heading2"/>
      </w:pPr>
      <w:r>
        <w:rPr>
          <w:rStyle w:val="SectionNumber"/>
        </w:rPr>
        <w:t xml:space="preserve">2.131</w:t>
      </w:r>
      <w:r>
        <w:tab/>
      </w:r>
      <w:r>
        <w:t xml:space="preserve">3. Propósito y necesidades de datos</w:t>
      </w:r>
    </w:p>
    <w:p>
      <w:pPr>
        <w:pStyle w:val="FirstParagraph"/>
      </w:pPr>
      <w:r>
        <w:t xml:space="preserve">Documento:</w:t>
      </w:r>
    </w:p>
    <w:p>
      <w:pPr>
        <w:numPr>
          <w:ilvl w:val="0"/>
          <w:numId w:val="1539"/>
        </w:numPr>
        <w:pStyle w:val="Compact"/>
      </w:pPr>
      <w:r>
        <w:t xml:space="preserve">uso previsto y usos prohibidos o restringidos;</w:t>
      </w:r>
    </w:p>
    <w:p>
      <w:pPr>
        <w:numPr>
          <w:ilvl w:val="0"/>
          <w:numId w:val="1539"/>
        </w:numPr>
        <w:pStyle w:val="Compact"/>
      </w:pPr>
      <w:r>
        <w:t xml:space="preserve">apoyo a la fase del ciclo de vida;</w:t>
      </w:r>
    </w:p>
    <w:p>
      <w:pPr>
        <w:numPr>
          <w:ilvl w:val="0"/>
          <w:numId w:val="1539"/>
        </w:numPr>
        <w:pStyle w:val="Compact"/>
      </w:pPr>
      <w:r>
        <w:t xml:space="preserve">contribución prevista al comportamiento y rendimiento del sistema;</w:t>
      </w:r>
    </w:p>
    <w:p>
      <w:pPr>
        <w:numPr>
          <w:ilvl w:val="0"/>
          <w:numId w:val="1539"/>
        </w:numPr>
        <w:pStyle w:val="Compact"/>
      </w:pPr>
      <w:r>
        <w:t xml:space="preserve">población requerida, cobertura geográfica, temporal, lingüística, de clase y de eventos raros;</w:t>
      </w:r>
    </w:p>
    <w:p>
      <w:pPr>
        <w:numPr>
          <w:ilvl w:val="0"/>
          <w:numId w:val="1539"/>
        </w:numPr>
        <w:pStyle w:val="Compact"/>
      </w:pPr>
      <w:r>
        <w:t xml:space="preserve">entorno operativo y contexto de decisión;</w:t>
      </w:r>
    </w:p>
    <w:p>
      <w:pPr>
        <w:numPr>
          <w:ilvl w:val="0"/>
          <w:numId w:val="1539"/>
        </w:numPr>
        <w:pStyle w:val="Compact"/>
      </w:pPr>
      <w:r>
        <w:t xml:space="preserve">las poblaciones afectadas y los grupos vulnerables;</w:t>
      </w:r>
    </w:p>
    <w:p>
      <w:pPr>
        <w:numPr>
          <w:ilvl w:val="0"/>
          <w:numId w:val="1539"/>
        </w:numPr>
        <w:pStyle w:val="Compact"/>
      </w:pPr>
      <w:r>
        <w:t xml:space="preserve">suposiciones sobre lo que los datos miden o representan;</w:t>
      </w:r>
    </w:p>
    <w:p>
      <w:pPr>
        <w:numPr>
          <w:ilvl w:val="0"/>
          <w:numId w:val="1539"/>
        </w:numPr>
        <w:pStyle w:val="Compact"/>
      </w:pPr>
      <w:r>
        <w:t xml:space="preserve">las características requeridas de calidad, cantidad, estadística y linaje;</w:t>
      </w:r>
    </w:p>
    <w:p>
      <w:pPr>
        <w:numPr>
          <w:ilvl w:val="0"/>
          <w:numId w:val="1539"/>
        </w:numPr>
        <w:pStyle w:val="Compact"/>
      </w:pPr>
      <w:r>
        <w:t xml:space="preserve">limitaciones conocidas y condiciones de uso aceptables.</w:t>
      </w:r>
    </w:p>
    <w:bookmarkEnd w:id="1545"/>
    <w:bookmarkStart w:id="1546" w:name="procedencia-adquisición-y-derechos"/>
    <w:p>
      <w:pPr>
        <w:pStyle w:val="Heading2"/>
      </w:pPr>
      <w:r>
        <w:rPr>
          <w:rStyle w:val="SectionNumber"/>
        </w:rPr>
        <w:t xml:space="preserve">2.132</w:t>
      </w:r>
      <w:r>
        <w:tab/>
      </w:r>
      <w:r>
        <w:t xml:space="preserve">4. Procedencia, adquisición y derechos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Respuesta</w:t>
            </w:r>
          </w:p>
        </w:tc>
        <w:tc>
          <w:tcPr/>
          <w:p>
            <w:pPr>
              <w:pStyle w:val="Compact"/>
              <w:jc w:val="left"/>
            </w:pPr>
            <w:r>
              <w:t xml:space="preserve">Pruebas</w:t>
            </w:r>
          </w:p>
        </w:tc>
      </w:tr>
      <w:tr>
        <w:tc>
          <w:tcPr/>
          <w:p>
            <w:pPr>
              <w:pStyle w:val="Compact"/>
              <w:jc w:val="left"/>
            </w:pPr>
            <w:r>
              <w:t xml:space="preserve">¿Se conoce y documenta la fuente?</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¿Son legales la recolección y adquisición?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¿Están documentadas las licencias, permisos, contratos y derechos de propiedad intelectual?</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entiende el raspado, la reutilización, el entrenamiento, el ajuste, la redistribución y las restricciones posteriores?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entienden los impactos del sujeto de datos, la comunidad, el cliente o el proveedor?</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verifican las representaciones de los proveedores de forma independiente cuando son proporcionadas?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 identifican y intensifican las lagunas de procedencia o las fuentes no verificables?</w:t>
            </w:r>
          </w:p>
        </w:tc>
        <w:tc>
          <w:tcPr/>
          <w:p>
            <w:pPr>
              <w:pStyle w:val="Compact"/>
              <w:jc w:val="left"/>
            </w:pPr>
            <w:r>
              <w:t xml:space="preserve">- No, no.</w:t>
            </w:r>
          </w:p>
        </w:tc>
        <w:tc>
          <w:tcPr/>
          <w:p>
            <w:pPr>
              <w:pStyle w:val="Compact"/>
              <w:jc w:val="left"/>
            </w:pPr>
            <w:r>
              <w:t xml:space="preserve">- No, no.</w:t>
            </w:r>
          </w:p>
        </w:tc>
      </w:tr>
    </w:tbl>
    <w:bookmarkEnd w:id="1546"/>
    <w:bookmarkStart w:id="1547" w:name="artículo-10-y-criterios-de-gobernanza"/>
    <w:p>
      <w:pPr>
        <w:pStyle w:val="Heading2"/>
      </w:pPr>
      <w:r>
        <w:rPr>
          <w:rStyle w:val="SectionNumber"/>
        </w:rPr>
        <w:t xml:space="preserve">2.133</w:t>
      </w:r>
      <w:r>
        <w:tab/>
      </w:r>
      <w:r>
        <w:t xml:space="preserve">5. Artículo 10 y criterios de gobernanza</w:t>
      </w:r>
    </w:p>
    <w:p>
      <w:pPr>
        <w:pStyle w:val="FirstParagraph"/>
      </w:pPr>
      <w:r>
        <w:t xml:space="preserve">Evaluar, según proceda:</w:t>
      </w:r>
    </w:p>
    <w:p>
      <w:pPr>
        <w:numPr>
          <w:ilvl w:val="0"/>
          <w:numId w:val="1540"/>
        </w:numPr>
        <w:pStyle w:val="Compact"/>
      </w:pPr>
      <w:r>
        <w:t xml:space="preserve">las opciones de diseño pertinentes;</w:t>
      </w:r>
    </w:p>
    <w:p>
      <w:pPr>
        <w:numPr>
          <w:ilvl w:val="0"/>
          <w:numId w:val="1540"/>
        </w:numPr>
        <w:pStyle w:val="Compact"/>
      </w:pPr>
      <w:r>
        <w:t xml:space="preserve">los procesos y el origen de la recogida de datos;</w:t>
      </w:r>
    </w:p>
    <w:p>
      <w:pPr>
        <w:numPr>
          <w:ilvl w:val="0"/>
          <w:numId w:val="1540"/>
        </w:numPr>
        <w:pStyle w:val="Compact"/>
      </w:pPr>
      <w:r>
        <w:t xml:space="preserve">preparación, anotación, etiquetado, limpieza, enriquecimiento y agregación;</w:t>
      </w:r>
    </w:p>
    <w:p>
      <w:pPr>
        <w:numPr>
          <w:ilvl w:val="0"/>
          <w:numId w:val="1540"/>
        </w:numPr>
        <w:pStyle w:val="Compact"/>
      </w:pPr>
      <w:r>
        <w:t xml:space="preserve">formulación de hipótesis sobre qué datos medir y representar;</w:t>
      </w:r>
    </w:p>
    <w:p>
      <w:pPr>
        <w:numPr>
          <w:ilvl w:val="0"/>
          <w:numId w:val="1540"/>
        </w:numPr>
        <w:pStyle w:val="Compact"/>
      </w:pPr>
      <w:r>
        <w:t xml:space="preserve">la evaluación previa de la disponibilidad, la cantidad, la idoneidad y las características requeridas;</w:t>
      </w:r>
    </w:p>
    <w:p>
      <w:pPr>
        <w:numPr>
          <w:ilvl w:val="0"/>
          <w:numId w:val="1540"/>
        </w:numPr>
        <w:pStyle w:val="Compact"/>
      </w:pPr>
      <w:r>
        <w:t xml:space="preserve">examen de posibles sesgos que afecten a la salud, la seguridad, los derechos fundamentales o la discriminación prohibida;</w:t>
      </w:r>
    </w:p>
    <w:p>
      <w:pPr>
        <w:numPr>
          <w:ilvl w:val="0"/>
          <w:numId w:val="1540"/>
        </w:numPr>
        <w:pStyle w:val="Compact"/>
      </w:pPr>
      <w:r>
        <w:t xml:space="preserve">medidas para detectar, prevenir, reducir y mitigar los sesgos;</w:t>
      </w:r>
    </w:p>
    <w:p>
      <w:pPr>
        <w:numPr>
          <w:ilvl w:val="0"/>
          <w:numId w:val="1540"/>
        </w:numPr>
        <w:pStyle w:val="Compact"/>
      </w:pPr>
      <w:r>
        <w:t xml:space="preserve">la identificación de lagunas, deficiencias y medidas correctivas;</w:t>
      </w:r>
    </w:p>
    <w:p>
      <w:pPr>
        <w:numPr>
          <w:ilvl w:val="0"/>
          <w:numId w:val="1540"/>
        </w:numPr>
        <w:pStyle w:val="Compact"/>
      </w:pPr>
      <w:r>
        <w:t xml:space="preserve">representatividad para la población y el contexto previstos;</w:t>
      </w:r>
    </w:p>
    <w:p>
      <w:pPr>
        <w:numPr>
          <w:ilvl w:val="0"/>
          <w:numId w:val="1540"/>
        </w:numPr>
        <w:pStyle w:val="Compact"/>
      </w:pPr>
      <w:r>
        <w:t xml:space="preserve">las propiedades estadísticas adecuadas;</w:t>
      </w:r>
    </w:p>
    <w:p>
      <w:pPr>
        <w:numPr>
          <w:ilvl w:val="0"/>
          <w:numId w:val="1540"/>
        </w:numPr>
        <w:pStyle w:val="Compact"/>
      </w:pPr>
      <w:r>
        <w:t xml:space="preserve">el entorno geográfico, contextual, de comportamiento, funcional, lingüístico y de accesibilidad;</w:t>
      </w:r>
    </w:p>
    <w:p>
      <w:pPr>
        <w:numPr>
          <w:ilvl w:val="0"/>
          <w:numId w:val="1540"/>
        </w:numPr>
        <w:pStyle w:val="Compact"/>
      </w:pPr>
      <w:r>
        <w:t xml:space="preserve">versionamiento, linaje, integridad, seguridad y reproducibilidad.</w:t>
      </w:r>
    </w:p>
    <w:bookmarkEnd w:id="1547"/>
    <w:bookmarkStart w:id="1548" w:name="pertinencia-y-representatividad"/>
    <w:p>
      <w:pPr>
        <w:pStyle w:val="Heading2"/>
      </w:pPr>
      <w:r>
        <w:rPr>
          <w:rStyle w:val="SectionNumber"/>
        </w:rPr>
        <w:t xml:space="preserve">2.134</w:t>
      </w:r>
      <w:r>
        <w:tab/>
      </w:r>
      <w:r>
        <w:t xml:space="preserve">6. Pertinencia y representatividad</w:t>
      </w:r>
    </w:p>
    <w:p>
      <w:pPr>
        <w:pStyle w:val="FirstParagraph"/>
      </w:pPr>
      <w:r>
        <w:t xml:space="preserve">Evaluar:</w:t>
      </w:r>
    </w:p>
    <w:p>
      <w:pPr>
        <w:numPr>
          <w:ilvl w:val="0"/>
          <w:numId w:val="1541"/>
        </w:numPr>
        <w:pStyle w:val="Compact"/>
      </w:pPr>
      <w:r>
        <w:t xml:space="preserve">pertinencia para la finalidad prevista;</w:t>
      </w:r>
    </w:p>
    <w:p>
      <w:pPr>
        <w:numPr>
          <w:ilvl w:val="0"/>
          <w:numId w:val="1541"/>
        </w:numPr>
        <w:pStyle w:val="Compact"/>
      </w:pPr>
      <w:r>
        <w:t xml:space="preserve">cobertura de población y subgrupos;</w:t>
      </w:r>
    </w:p>
    <w:p>
      <w:pPr>
        <w:numPr>
          <w:ilvl w:val="0"/>
          <w:numId w:val="1541"/>
        </w:numPr>
        <w:pStyle w:val="Compact"/>
      </w:pPr>
      <w:r>
        <w:t xml:space="preserve">cobertura geográfica y cultural;</w:t>
      </w:r>
    </w:p>
    <w:p>
      <w:pPr>
        <w:numPr>
          <w:ilvl w:val="0"/>
          <w:numId w:val="1541"/>
        </w:numPr>
        <w:pStyle w:val="Compact"/>
      </w:pPr>
      <w:r>
        <w:t xml:space="preserve">la moneda temporal;</w:t>
      </w:r>
    </w:p>
    <w:p>
      <w:pPr>
        <w:numPr>
          <w:ilvl w:val="0"/>
          <w:numId w:val="1541"/>
        </w:numPr>
        <w:pStyle w:val="Compact"/>
      </w:pPr>
      <w:r>
        <w:t xml:space="preserve">balance de clases y cobertura de eventos raros;</w:t>
      </w:r>
    </w:p>
    <w:p>
      <w:pPr>
        <w:numPr>
          <w:ilvl w:val="0"/>
          <w:numId w:val="1541"/>
        </w:numPr>
        <w:pStyle w:val="Compact"/>
      </w:pPr>
      <w:r>
        <w:t xml:space="preserve">representación interseccional;</w:t>
      </w:r>
    </w:p>
    <w:p>
      <w:pPr>
        <w:numPr>
          <w:ilvl w:val="0"/>
          <w:numId w:val="1541"/>
        </w:numPr>
        <w:pStyle w:val="Compact"/>
      </w:pPr>
      <w:r>
        <w:t xml:space="preserve">las diferencias entre las condiciones de formación, validación, ensayo y producción;</w:t>
      </w:r>
    </w:p>
    <w:p>
      <w:pPr>
        <w:numPr>
          <w:ilvl w:val="0"/>
          <w:numId w:val="1541"/>
        </w:numPr>
        <w:pStyle w:val="Compact"/>
      </w:pPr>
      <w:r>
        <w:t xml:space="preserve">cobertura de fallos realistas, mal uso y casos extremos;</w:t>
      </w:r>
    </w:p>
    <w:p>
      <w:pPr>
        <w:numPr>
          <w:ilvl w:val="0"/>
          <w:numId w:val="1541"/>
        </w:numPr>
        <w:pStyle w:val="Compact"/>
      </w:pPr>
      <w:r>
        <w:t xml:space="preserve">representatividad de los datos de retroalimentación y seguimiento.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w:t>
            </w:r>
          </w:p>
        </w:tc>
        <w:tc>
          <w:tcPr/>
          <w:p>
            <w:pPr>
              <w:pStyle w:val="Compact"/>
              <w:jc w:val="left"/>
            </w:pPr>
            <w:r>
              <w:t xml:space="preserve">Método</w:t>
            </w:r>
          </w:p>
        </w:tc>
        <w:tc>
          <w:tcPr/>
          <w:p>
            <w:pPr>
              <w:pStyle w:val="Compact"/>
              <w:jc w:val="left"/>
            </w:pPr>
            <w:r>
              <w:t xml:space="preserve">Resultado</w:t>
            </w:r>
          </w:p>
        </w:tc>
        <w:tc>
          <w:tcPr/>
          <w:p>
            <w:pPr>
              <w:pStyle w:val="Compact"/>
              <w:jc w:val="left"/>
            </w:pPr>
            <w:r>
              <w:t xml:space="preserve">Limitación</w:t>
            </w:r>
          </w:p>
        </w:tc>
        <w:tc>
          <w:tcPr/>
          <w:p>
            <w:pPr>
              <w:pStyle w:val="Compact"/>
              <w:jc w:val="left"/>
            </w:pPr>
            <w:r>
              <w:t xml:space="preserve">Medidas adoptadas</w:t>
            </w:r>
          </w:p>
        </w:tc>
      </w:tr>
      <w:tr>
        <w:tc>
          <w:tcPr/>
          <w:p>
            <w:pPr>
              <w:pStyle w:val="Compact"/>
              <w:jc w:val="left"/>
            </w:pPr>
            <w:r>
              <w:t xml:space="preserve">Cobertura de población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Cobertura geográfica y contextual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Moneda temporal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Cobertura de clase/rare-evento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Cobertura de subgrupos/intersecciones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Alineación de la producción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48"/>
    <w:bookmarkStart w:id="1549" w:name="evaluación-de-la-calidad"/>
    <w:p>
      <w:pPr>
        <w:pStyle w:val="Heading2"/>
      </w:pPr>
      <w:r>
        <w:rPr>
          <w:rStyle w:val="SectionNumber"/>
        </w:rPr>
        <w:t xml:space="preserve">2.135</w:t>
      </w:r>
      <w:r>
        <w:tab/>
      </w:r>
      <w:r>
        <w:t xml:space="preserve">7. Evaluación de la calidad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Dimensión de calidad</w:t>
            </w:r>
          </w:p>
        </w:tc>
        <w:tc>
          <w:tcPr/>
          <w:p>
            <w:pPr>
              <w:pStyle w:val="Compact"/>
              <w:jc w:val="left"/>
            </w:pPr>
            <w:r>
              <w:t xml:space="preserve">Calificación/resultado</w:t>
            </w:r>
          </w:p>
        </w:tc>
        <w:tc>
          <w:tcPr/>
          <w:p>
            <w:pPr>
              <w:pStyle w:val="Compact"/>
              <w:jc w:val="left"/>
            </w:pPr>
            <w:r>
              <w:t xml:space="preserve">Pruebas</w:t>
            </w:r>
          </w:p>
        </w:tc>
        <w:tc>
          <w:tcPr/>
          <w:p>
            <w:pPr>
              <w:pStyle w:val="Compact"/>
              <w:jc w:val="left"/>
            </w:pPr>
            <w:r>
              <w:t xml:space="preserve">Umbral</w:t>
            </w:r>
          </w:p>
        </w:tc>
        <w:tc>
          <w:tcPr/>
          <w:p>
            <w:pPr>
              <w:pStyle w:val="Compact"/>
              <w:jc w:val="left"/>
            </w:pPr>
            <w:r>
              <w:t xml:space="preserve">Remediación</w:t>
            </w:r>
          </w:p>
        </w:tc>
      </w:tr>
      <w:tr>
        <w:tc>
          <w:tcPr/>
          <w:p>
            <w:pPr>
              <w:pStyle w:val="Compact"/>
              <w:jc w:val="left"/>
            </w:pPr>
            <w:r>
              <w:t xml:space="preserve">Precisión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Completitud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Coherencia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Oportunidad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Validez</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Uniqueness/deduplication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Calidad de etiqueta/anotación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Ruido y atípicos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Falta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Integridad y corrupción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Reproducibilidad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49"/>
    <w:bookmarkStart w:id="1550" w:name="la-sesgo-y-el-riesgo-de-discriminación"/>
    <w:p>
      <w:pPr>
        <w:pStyle w:val="Heading2"/>
      </w:pPr>
      <w:r>
        <w:rPr>
          <w:rStyle w:val="SectionNumber"/>
        </w:rPr>
        <w:t xml:space="preserve">2.136</w:t>
      </w:r>
      <w:r>
        <w:tab/>
      </w:r>
      <w:r>
        <w:t xml:space="preserve">8. La sesgo y el riesgo de discriminación</w:t>
      </w:r>
    </w:p>
    <w:p>
      <w:pPr>
        <w:pStyle w:val="FirstParagraph"/>
      </w:pPr>
      <w:r>
        <w:t xml:space="preserve">Evaluar:</w:t>
      </w:r>
    </w:p>
    <w:p>
      <w:pPr>
        <w:numPr>
          <w:ilvl w:val="0"/>
          <w:numId w:val="1542"/>
        </w:numPr>
        <w:pStyle w:val="Compact"/>
      </w:pPr>
      <w:r>
        <w:t xml:space="preserve">sesgo histórico y estructural;</w:t>
      </w:r>
    </w:p>
    <w:p>
      <w:pPr>
        <w:numPr>
          <w:ilvl w:val="0"/>
          <w:numId w:val="1542"/>
        </w:numPr>
        <w:pStyle w:val="Compact"/>
      </w:pPr>
      <w:r>
        <w:t xml:space="preserve">variables proxy y características correlacionadas;</w:t>
      </w:r>
    </w:p>
    <w:p>
      <w:pPr>
        <w:numPr>
          <w:ilvl w:val="0"/>
          <w:numId w:val="1542"/>
        </w:numPr>
        <w:pStyle w:val="Compact"/>
      </w:pPr>
      <w:r>
        <w:t xml:space="preserve">ausencias diferenciales;</w:t>
      </w:r>
    </w:p>
    <w:p>
      <w:pPr>
        <w:numPr>
          <w:ilvl w:val="0"/>
          <w:numId w:val="1542"/>
        </w:numPr>
        <w:pStyle w:val="Compact"/>
      </w:pPr>
      <w:r>
        <w:t xml:space="preserve">sesgo de etiqueta y anotación;</w:t>
      </w:r>
    </w:p>
    <w:p>
      <w:pPr>
        <w:numPr>
          <w:ilvl w:val="0"/>
          <w:numId w:val="1542"/>
        </w:numPr>
        <w:pStyle w:val="Compact"/>
      </w:pPr>
      <w:r>
        <w:t xml:space="preserve">muestreo, selección, supervivencia y sesgo de medición;</w:t>
      </w:r>
    </w:p>
    <w:p>
      <w:pPr>
        <w:numPr>
          <w:ilvl w:val="0"/>
          <w:numId w:val="1542"/>
        </w:numPr>
        <w:pStyle w:val="Compact"/>
      </w:pPr>
      <w:r>
        <w:t xml:space="preserve">prestaciones de subgrupos e intersecciones;</w:t>
      </w:r>
    </w:p>
    <w:p>
      <w:pPr>
        <w:numPr>
          <w:ilvl w:val="0"/>
          <w:numId w:val="1542"/>
        </w:numPr>
        <w:pStyle w:val="Compact"/>
      </w:pPr>
      <w:r>
        <w:t xml:space="preserve">lenguaje, discapacidad, edad y efectos geográficos;</w:t>
      </w:r>
    </w:p>
    <w:p>
      <w:pPr>
        <w:numPr>
          <w:ilvl w:val="0"/>
          <w:numId w:val="1542"/>
        </w:numPr>
        <w:pStyle w:val="Compact"/>
      </w:pPr>
      <w:r>
        <w:t xml:space="preserve">el bucle de retroalimentación y el sesgo acumulativo;</w:t>
      </w:r>
    </w:p>
    <w:p>
      <w:pPr>
        <w:numPr>
          <w:ilvl w:val="0"/>
          <w:numId w:val="1542"/>
        </w:numPr>
        <w:pStyle w:val="Compact"/>
      </w:pPr>
      <w:r>
        <w:t xml:space="preserve">las compensaciones de mitigación y las consecuencias imprevistas;</w:t>
      </w:r>
    </w:p>
    <w:p>
      <w:pPr>
        <w:numPr>
          <w:ilvl w:val="0"/>
          <w:numId w:val="1542"/>
        </w:numPr>
        <w:pStyle w:val="Compact"/>
      </w:pPr>
      <w:r>
        <w:t xml:space="preserve">si los datos de seguimiento pueden detectar disparidades emergentes.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Riesgo de Bias</w:t>
            </w:r>
          </w:p>
        </w:tc>
        <w:tc>
          <w:tcPr/>
          <w:p>
            <w:pPr>
              <w:pStyle w:val="Compact"/>
              <w:jc w:val="left"/>
            </w:pPr>
            <w:r>
              <w:t xml:space="preserve">Grupo afectado</w:t>
            </w:r>
          </w:p>
        </w:tc>
        <w:tc>
          <w:tcPr/>
          <w:p>
            <w:pPr>
              <w:pStyle w:val="Compact"/>
              <w:jc w:val="left"/>
            </w:pPr>
            <w:r>
              <w:t xml:space="preserve">Método de detección</w:t>
            </w:r>
          </w:p>
        </w:tc>
        <w:tc>
          <w:tcPr/>
          <w:p>
            <w:pPr>
              <w:pStyle w:val="Compact"/>
              <w:jc w:val="left"/>
            </w:pPr>
            <w:r>
              <w:t xml:space="preserve">Resultado</w:t>
            </w:r>
          </w:p>
        </w:tc>
        <w:tc>
          <w:tcPr/>
          <w:p>
            <w:pPr>
              <w:pStyle w:val="Compact"/>
              <w:jc w:val="left"/>
            </w:pPr>
            <w:r>
              <w:t xml:space="preserve">Mitigación</w:t>
            </w:r>
          </w:p>
        </w:tc>
        <w:tc>
          <w:tcPr/>
          <w:p>
            <w:pPr>
              <w:pStyle w:val="Compact"/>
              <w:jc w:val="left"/>
            </w:pPr>
            <w:r>
              <w:t xml:space="preserve">Limitación residual</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50"/>
    <w:bookmarkStart w:id="1551" w:name="X241321e0dfe107f0a8660a517e8508c4b175bb1"/>
    <w:p>
      <w:pPr>
        <w:pStyle w:val="Heading2"/>
      </w:pPr>
      <w:r>
        <w:rPr>
          <w:rStyle w:val="SectionNumber"/>
        </w:rPr>
        <w:t xml:space="preserve">2.137</w:t>
      </w:r>
      <w:r>
        <w:tab/>
      </w:r>
      <w:r>
        <w:t xml:space="preserve">9. Privacidad, sensibilidad y datos de categorías especiales</w:t>
      </w:r>
    </w:p>
    <w:p>
      <w:pPr>
        <w:pStyle w:val="FirstParagraph"/>
      </w:pPr>
      <w:r>
        <w:t xml:space="preserve">Documento:</w:t>
      </w:r>
    </w:p>
    <w:p>
      <w:pPr>
        <w:numPr>
          <w:ilvl w:val="0"/>
          <w:numId w:val="1543"/>
        </w:numPr>
        <w:pStyle w:val="Compact"/>
      </w:pPr>
      <w:r>
        <w:t xml:space="preserve">datos personales, de categoría especial, biométricos, de niños, confidenciales, privativos o regulados;</w:t>
      </w:r>
    </w:p>
    <w:p>
      <w:pPr>
        <w:numPr>
          <w:ilvl w:val="0"/>
          <w:numId w:val="1543"/>
        </w:numPr>
        <w:pStyle w:val="Compact"/>
      </w:pPr>
      <w:r>
        <w:t xml:space="preserve">limitación y minimización de la finalidad;</w:t>
      </w:r>
    </w:p>
    <w:p>
      <w:pPr>
        <w:numPr>
          <w:ilvl w:val="0"/>
          <w:numId w:val="1543"/>
        </w:numPr>
        <w:pStyle w:val="Compact"/>
      </w:pPr>
      <w:r>
        <w:t xml:space="preserve">base legal de tratamiento;</w:t>
      </w:r>
    </w:p>
    <w:p>
      <w:pPr>
        <w:numPr>
          <w:ilvl w:val="0"/>
          <w:numId w:val="1543"/>
        </w:numPr>
        <w:pStyle w:val="Compact"/>
      </w:pPr>
      <w:r>
        <w:t xml:space="preserve">riesgo de desidentificación, seudonimización y reidentificación;</w:t>
      </w:r>
    </w:p>
    <w:p>
      <w:pPr>
        <w:numPr>
          <w:ilvl w:val="0"/>
          <w:numId w:val="1543"/>
        </w:numPr>
        <w:pStyle w:val="Compact"/>
      </w:pPr>
      <w:r>
        <w:t xml:space="preserve">controles de acceso y segregación;</w:t>
      </w:r>
    </w:p>
    <w:p>
      <w:pPr>
        <w:numPr>
          <w:ilvl w:val="0"/>
          <w:numId w:val="1543"/>
        </w:numPr>
        <w:pStyle w:val="Compact"/>
      </w:pPr>
      <w:r>
        <w:t xml:space="preserve">transferencias internacionales y localización;</w:t>
      </w:r>
    </w:p>
    <w:p>
      <w:pPr>
        <w:numPr>
          <w:ilvl w:val="0"/>
          <w:numId w:val="1543"/>
        </w:numPr>
        <w:pStyle w:val="Compact"/>
      </w:pPr>
      <w:r>
        <w:t xml:space="preserve">retención, supresión, archivo y retención legal;</w:t>
      </w:r>
    </w:p>
    <w:p>
      <w:pPr>
        <w:numPr>
          <w:ilvl w:val="0"/>
          <w:numId w:val="1543"/>
        </w:numPr>
        <w:pStyle w:val="Compact"/>
      </w:pPr>
      <w:r>
        <w:t xml:space="preserve">restricciones a la formación, el uso secundario, la mejora de los proveedores o la divulgación ulterior;</w:t>
      </w:r>
    </w:p>
    <w:p>
      <w:pPr>
        <w:numPr>
          <w:ilvl w:val="0"/>
          <w:numId w:val="1543"/>
        </w:numPr>
        <w:pStyle w:val="Compact"/>
      </w:pPr>
      <w:r>
        <w:t xml:space="preserve">avisos de privacidad, manejo de derechos e impactos en el sujeto de datos.</w:t>
      </w:r>
    </w:p>
    <w:p>
      <w:pPr>
        <w:pStyle w:val="FirstParagraph"/>
      </w:pPr>
      <w:r>
        <w:t xml:space="preserve">Cuando se traten datos personales de categoría especial para la vigilancia, detección o corrección de sesgos, se registrará la base jurídica exacta, la necesidad estricta, los límites de acceso, las salvaguardias, la seudónimo, la eliminación, la documentación y la aprobación legal o de privacidad cualificada.</w:t>
      </w:r>
    </w:p>
    <w:bookmarkEnd w:id="1551"/>
    <w:bookmarkStart w:id="1552" w:name="preparación-y-transformación"/>
    <w:p>
      <w:pPr>
        <w:pStyle w:val="Heading2"/>
      </w:pPr>
      <w:r>
        <w:rPr>
          <w:rStyle w:val="SectionNumber"/>
        </w:rPr>
        <w:t xml:space="preserve">2.138</w:t>
      </w:r>
      <w:r>
        <w:tab/>
      </w:r>
      <w:r>
        <w:t xml:space="preserve">10. Preparación y transformación</w:t>
      </w:r>
    </w:p>
    <w:p>
      <w:pPr>
        <w:pStyle w:val="FirstParagraph"/>
      </w:pPr>
      <w:r>
        <w:t xml:space="preserve">Grabación:</w:t>
      </w:r>
    </w:p>
    <w:p>
      <w:pPr>
        <w:numPr>
          <w:ilvl w:val="0"/>
          <w:numId w:val="1544"/>
        </w:numPr>
        <w:pStyle w:val="Compact"/>
      </w:pPr>
      <w:r>
        <w:t xml:space="preserve">limpieza y normalización;</w:t>
      </w:r>
    </w:p>
    <w:p>
      <w:pPr>
        <w:numPr>
          <w:ilvl w:val="0"/>
          <w:numId w:val="1544"/>
        </w:numPr>
        <w:pStyle w:val="Compact"/>
      </w:pPr>
      <w:r>
        <w:t xml:space="preserve">ingeniería y selección de características;</w:t>
      </w:r>
    </w:p>
    <w:p>
      <w:pPr>
        <w:numPr>
          <w:ilvl w:val="0"/>
          <w:numId w:val="1544"/>
        </w:numPr>
        <w:pStyle w:val="Compact"/>
      </w:pPr>
      <w:r>
        <w:t xml:space="preserve">la deduplicación;</w:t>
      </w:r>
    </w:p>
    <w:p>
      <w:pPr>
        <w:numPr>
          <w:ilvl w:val="0"/>
          <w:numId w:val="1544"/>
        </w:numPr>
        <w:pStyle w:val="Compact"/>
      </w:pPr>
      <w:r>
        <w:t xml:space="preserve">etiquetado y anotación;</w:t>
      </w:r>
    </w:p>
    <w:p>
      <w:pPr>
        <w:numPr>
          <w:ilvl w:val="0"/>
          <w:numId w:val="1544"/>
        </w:numPr>
        <w:pStyle w:val="Compact"/>
      </w:pPr>
      <w:r>
        <w:t xml:space="preserve">aumento o generación de datos sintéticos;</w:t>
      </w:r>
    </w:p>
    <w:p>
      <w:pPr>
        <w:numPr>
          <w:ilvl w:val="0"/>
          <w:numId w:val="1544"/>
        </w:numPr>
        <w:pStyle w:val="Compact"/>
      </w:pPr>
      <w:r>
        <w:t xml:space="preserve">filtrado, exclusiones y tratamiento atípico;</w:t>
      </w:r>
    </w:p>
    <w:p>
      <w:pPr>
        <w:numPr>
          <w:ilvl w:val="0"/>
          <w:numId w:val="1544"/>
        </w:numPr>
        <w:pStyle w:val="Compact"/>
      </w:pPr>
      <w:r>
        <w:t xml:space="preserve">falta de tratamiento de los datos;</w:t>
      </w:r>
    </w:p>
    <w:p>
      <w:pPr>
        <w:numPr>
          <w:ilvl w:val="0"/>
          <w:numId w:val="1544"/>
        </w:numPr>
        <w:pStyle w:val="Compact"/>
      </w:pPr>
      <w:r>
        <w:t xml:space="preserve">umbrales de calidad y criterios de rechazo;</w:t>
      </w:r>
    </w:p>
    <w:p>
      <w:pPr>
        <w:numPr>
          <w:ilvl w:val="0"/>
          <w:numId w:val="1544"/>
        </w:numPr>
        <w:pStyle w:val="Compact"/>
      </w:pPr>
      <w:r>
        <w:t xml:space="preserve">código de transformación, aprobaciones y reproducibilidad;</w:t>
      </w:r>
    </w:p>
    <w:p>
      <w:pPr>
        <w:numPr>
          <w:ilvl w:val="0"/>
          <w:numId w:val="1544"/>
        </w:numPr>
        <w:pStyle w:val="Compact"/>
      </w:pPr>
      <w:r>
        <w:t xml:space="preserve">control de versión y retroceso.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Transformación</w:t>
            </w:r>
          </w:p>
        </w:tc>
        <w:tc>
          <w:tcPr/>
          <w:p>
            <w:pPr>
              <w:pStyle w:val="Compact"/>
              <w:jc w:val="left"/>
            </w:pPr>
            <w:r>
              <w:t xml:space="preserve">Método/herramienta</w:t>
            </w:r>
          </w:p>
        </w:tc>
        <w:tc>
          <w:tcPr/>
          <w:p>
            <w:pPr>
              <w:pStyle w:val="Compact"/>
              <w:jc w:val="left"/>
            </w:pPr>
            <w:r>
              <w:t xml:space="preserve">Versión</w:t>
            </w:r>
          </w:p>
        </w:tc>
        <w:tc>
          <w:tcPr/>
          <w:p>
            <w:pPr>
              <w:pStyle w:val="Compact"/>
              <w:jc w:val="left"/>
            </w:pPr>
            <w:r>
              <w:t xml:space="preserve">Propietario</w:t>
            </w:r>
          </w:p>
        </w:tc>
        <w:tc>
          <w:tcPr/>
          <w:p>
            <w:pPr>
              <w:pStyle w:val="Compact"/>
              <w:jc w:val="left"/>
            </w:pPr>
            <w:r>
              <w:t xml:space="preserve">Validación</w:t>
            </w:r>
          </w:p>
        </w:tc>
        <w:tc>
          <w:tcPr/>
          <w:p>
            <w:pPr>
              <w:pStyle w:val="Compact"/>
              <w:jc w:val="left"/>
            </w:pPr>
            <w:r>
              <w:t xml:space="preserve">Pruebas</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52"/>
    <w:bookmarkStart w:id="1553" w:name="líneaje-y-trazabilidad"/>
    <w:p>
      <w:pPr>
        <w:pStyle w:val="Heading2"/>
      </w:pPr>
      <w:r>
        <w:rPr>
          <w:rStyle w:val="SectionNumber"/>
        </w:rPr>
        <w:t xml:space="preserve">2.139</w:t>
      </w:r>
      <w:r>
        <w:tab/>
      </w:r>
      <w:r>
        <w:t xml:space="preserve">11. Líneaje y trazabilidad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Ubicación o identificador</w:t>
            </w:r>
          </w:p>
        </w:tc>
      </w:tr>
      <w:tr>
        <w:tc>
          <w:tcPr/>
          <w:p>
            <w:pPr>
              <w:pStyle w:val="Compact"/>
              <w:jc w:val="left"/>
            </w:pPr>
            <w:r>
              <w:t xml:space="preserve">Fuente original</w:t>
            </w:r>
          </w:p>
        </w:tc>
        <w:tc>
          <w:tcPr/>
          <w:p>
            <w:pPr>
              <w:pStyle w:val="Compact"/>
              <w:jc w:val="left"/>
            </w:pPr>
            <w:r>
              <w:t xml:space="preserve">- No, no.</w:t>
            </w:r>
          </w:p>
        </w:tc>
      </w:tr>
      <w:tr>
        <w:tc>
          <w:tcPr/>
          <w:p>
            <w:pPr>
              <w:pStyle w:val="Compact"/>
              <w:jc w:val="left"/>
            </w:pPr>
            <w:r>
              <w:t xml:space="preserve">Registro de adquisiciones y licencias</w:t>
            </w:r>
          </w:p>
        </w:tc>
        <w:tc>
          <w:tcPr/>
          <w:p>
            <w:pPr>
              <w:pStyle w:val="Compact"/>
              <w:jc w:val="left"/>
            </w:pPr>
            <w:r>
              <w:t xml:space="preserve">- No, no.</w:t>
            </w:r>
          </w:p>
        </w:tc>
      </w:tr>
      <w:tr>
        <w:tc>
          <w:tcPr/>
          <w:p>
            <w:pPr>
              <w:pStyle w:val="Compact"/>
              <w:jc w:val="left"/>
            </w:pPr>
            <w:r>
              <w:t xml:space="preserve">Registro de ingestión</w:t>
            </w:r>
          </w:p>
        </w:tc>
        <w:tc>
          <w:tcPr/>
          <w:p>
            <w:pPr>
              <w:pStyle w:val="Compact"/>
              <w:jc w:val="left"/>
            </w:pPr>
            <w:r>
              <w:t xml:space="preserve">- No, no.</w:t>
            </w:r>
          </w:p>
        </w:tc>
      </w:tr>
      <w:tr>
        <w:tc>
          <w:tcPr/>
          <w:p>
            <w:pPr>
              <w:pStyle w:val="Compact"/>
              <w:jc w:val="left"/>
            </w:pPr>
            <w:r>
              <w:t xml:space="preserve">Gasoducto de transformación</w:t>
            </w:r>
          </w:p>
        </w:tc>
        <w:tc>
          <w:tcPr/>
          <w:p>
            <w:pPr>
              <w:pStyle w:val="Compact"/>
              <w:jc w:val="left"/>
            </w:pPr>
            <w:r>
              <w:t xml:space="preserve">- No, no.</w:t>
            </w:r>
          </w:p>
        </w:tc>
      </w:tr>
      <w:tr>
        <w:tc>
          <w:tcPr/>
          <w:p>
            <w:pPr>
              <w:pStyle w:val="Compact"/>
              <w:jc w:val="left"/>
            </w:pPr>
            <w:r>
              <w:t xml:space="preserve">Versión/suma de comprobación del conjunto de datos</w:t>
            </w:r>
          </w:p>
        </w:tc>
        <w:tc>
          <w:tcPr/>
          <w:p>
            <w:pPr>
              <w:pStyle w:val="Compact"/>
              <w:jc w:val="left"/>
            </w:pPr>
            <w:r>
              <w:t xml:space="preserve">- No, no.</w:t>
            </w:r>
          </w:p>
        </w:tc>
      </w:tr>
      <w:tr>
        <w:tc>
          <w:tcPr/>
          <w:p>
            <w:pPr>
              <w:pStyle w:val="Compact"/>
              <w:jc w:val="left"/>
            </w:pPr>
            <w:r>
              <w:t xml:space="preserve">Homologación</w:t>
            </w:r>
          </w:p>
        </w:tc>
        <w:tc>
          <w:tcPr/>
          <w:p>
            <w:pPr>
              <w:pStyle w:val="Compact"/>
              <w:jc w:val="left"/>
            </w:pPr>
            <w:r>
              <w:t xml:space="preserve">- No, no.</w:t>
            </w:r>
          </w:p>
        </w:tc>
      </w:tr>
      <w:tr>
        <w:tc>
          <w:tcPr/>
          <w:p>
            <w:pPr>
              <w:pStyle w:val="Compact"/>
              <w:jc w:val="left"/>
            </w:pPr>
            <w:r>
              <w:t xml:space="preserve">Entrenamiento/validación/prueba</w:t>
            </w:r>
          </w:p>
        </w:tc>
        <w:tc>
          <w:tcPr/>
          <w:p>
            <w:pPr>
              <w:pStyle w:val="Compact"/>
              <w:jc w:val="left"/>
            </w:pPr>
            <w:r>
              <w:t xml:space="preserve">- No, no.</w:t>
            </w:r>
          </w:p>
        </w:tc>
      </w:tr>
      <w:tr>
        <w:tc>
          <w:tcPr/>
          <w:p>
            <w:pPr>
              <w:pStyle w:val="Compact"/>
              <w:jc w:val="left"/>
            </w:pPr>
            <w:r>
              <w:t xml:space="preserve">Sistema de producción/versión modelo</w:t>
            </w:r>
          </w:p>
        </w:tc>
        <w:tc>
          <w:tcPr/>
          <w:p>
            <w:pPr>
              <w:pStyle w:val="Compact"/>
              <w:jc w:val="left"/>
            </w:pPr>
            <w:r>
              <w:t xml:space="preserve">- No, no.</w:t>
            </w:r>
          </w:p>
        </w:tc>
      </w:tr>
      <w:tr>
        <w:tc>
          <w:tcPr/>
          <w:p>
            <w:pPr>
              <w:pStyle w:val="Compact"/>
              <w:jc w:val="left"/>
            </w:pPr>
            <w:r>
              <w:t xml:space="preserve">Lugar de retención</w:t>
            </w:r>
          </w:p>
        </w:tc>
        <w:tc>
          <w:tcPr/>
          <w:p>
            <w:pPr>
              <w:pStyle w:val="Compact"/>
              <w:jc w:val="left"/>
            </w:pPr>
            <w:r>
              <w:t xml:space="preserve">- No, no.</w:t>
            </w:r>
          </w:p>
        </w:tc>
      </w:tr>
      <w:tr>
        <w:tc>
          <w:tcPr/>
          <w:p>
            <w:pPr>
              <w:pStyle w:val="Compact"/>
              <w:jc w:val="left"/>
            </w:pPr>
            <w:r>
              <w:t xml:space="preserve">Historial de acceso</w:t>
            </w:r>
          </w:p>
        </w:tc>
        <w:tc>
          <w:tcPr/>
          <w:p>
            <w:pPr>
              <w:pStyle w:val="Compact"/>
              <w:jc w:val="left"/>
            </w:pPr>
            <w:r>
              <w:t xml:space="preserve">- No, no.</w:t>
            </w:r>
          </w:p>
        </w:tc>
      </w:tr>
      <w:tr>
        <w:tc>
          <w:tcPr/>
          <w:p>
            <w:pPr>
              <w:pStyle w:val="Compact"/>
              <w:jc w:val="left"/>
            </w:pPr>
            <w:r>
              <w:t xml:space="preserve">Registro de eliminación</w:t>
            </w:r>
          </w:p>
        </w:tc>
        <w:tc>
          <w:tcPr/>
          <w:p>
            <w:pPr>
              <w:pStyle w:val="Compact"/>
              <w:jc w:val="left"/>
            </w:pPr>
            <w:r>
              <w:t xml:space="preserve">- No, no.</w:t>
            </w:r>
          </w:p>
        </w:tc>
      </w:tr>
    </w:tbl>
    <w:bookmarkEnd w:id="1553"/>
    <w:bookmarkStart w:id="1554" w:name="seguridad-e-integridad"/>
    <w:p>
      <w:pPr>
        <w:pStyle w:val="Heading2"/>
      </w:pPr>
      <w:r>
        <w:rPr>
          <w:rStyle w:val="SectionNumber"/>
        </w:rPr>
        <w:t xml:space="preserve">2.140</w:t>
      </w:r>
      <w:r>
        <w:tab/>
      </w:r>
      <w:r>
        <w:t xml:space="preserve">12. Seguridad e integridad</w:t>
      </w:r>
    </w:p>
    <w:p>
      <w:pPr>
        <w:pStyle w:val="FirstParagraph"/>
      </w:pPr>
      <w:r>
        <w:t xml:space="preserve">Evaluar:</w:t>
      </w:r>
    </w:p>
    <w:p>
      <w:pPr>
        <w:numPr>
          <w:ilvl w:val="0"/>
          <w:numId w:val="1545"/>
        </w:numPr>
        <w:pStyle w:val="Compact"/>
      </w:pPr>
      <w:r>
        <w:t xml:space="preserve">autenticidad e integridad de la fuente;</w:t>
      </w:r>
    </w:p>
    <w:p>
      <w:pPr>
        <w:numPr>
          <w:ilvl w:val="0"/>
          <w:numId w:val="1545"/>
        </w:numPr>
        <w:pStyle w:val="Compact"/>
      </w:pPr>
      <w:r>
        <w:t xml:space="preserve">alteración no autorizada, envenenamiento, contaminación y fugas;</w:t>
      </w:r>
    </w:p>
    <w:p>
      <w:pPr>
        <w:numPr>
          <w:ilvl w:val="0"/>
          <w:numId w:val="1545"/>
        </w:numPr>
        <w:pStyle w:val="Compact"/>
      </w:pPr>
      <w:r>
        <w:t xml:space="preserve">el control de acceso y la segregación;</w:t>
      </w:r>
    </w:p>
    <w:p>
      <w:pPr>
        <w:numPr>
          <w:ilvl w:val="0"/>
          <w:numId w:val="1545"/>
        </w:numPr>
        <w:pStyle w:val="Compact"/>
      </w:pPr>
      <w:r>
        <w:t xml:space="preserve">cifrado y transferencia segura;</w:t>
      </w:r>
    </w:p>
    <w:p>
      <w:pPr>
        <w:numPr>
          <w:ilvl w:val="0"/>
          <w:numId w:val="1545"/>
        </w:numPr>
        <w:pStyle w:val="Compact"/>
      </w:pPr>
      <w:r>
        <w:t xml:space="preserve">la seguridad de los proveedores y los oleoductos;</w:t>
      </w:r>
    </w:p>
    <w:p>
      <w:pPr>
        <w:numPr>
          <w:ilvl w:val="0"/>
          <w:numId w:val="1545"/>
        </w:numPr>
        <w:pStyle w:val="Compact"/>
      </w:pPr>
      <w:r>
        <w:t xml:space="preserve">respaldo, recuperación y disponibilidad;</w:t>
      </w:r>
    </w:p>
    <w:p>
      <w:pPr>
        <w:numPr>
          <w:ilvl w:val="0"/>
          <w:numId w:val="1545"/>
        </w:numPr>
        <w:pStyle w:val="Compact"/>
      </w:pPr>
      <w:r>
        <w:t xml:space="preserve">realizar auditorías de registro y detección de anomalías;</w:t>
      </w:r>
    </w:p>
    <w:p>
      <w:pPr>
        <w:numPr>
          <w:ilvl w:val="0"/>
          <w:numId w:val="1545"/>
        </w:numPr>
        <w:pStyle w:val="Compact"/>
      </w:pPr>
      <w:r>
        <w:t xml:space="preserve">eliminación segura.</w:t>
      </w:r>
    </w:p>
    <w:bookmarkEnd w:id="1554"/>
    <w:bookmarkStart w:id="1555" w:name="decisión-3"/>
    <w:p>
      <w:pPr>
        <w:pStyle w:val="Heading2"/>
      </w:pPr>
      <w:r>
        <w:rPr>
          <w:rStyle w:val="SectionNumber"/>
        </w:rPr>
        <w:t xml:space="preserve">2.141</w:t>
      </w:r>
      <w:r>
        <w:tab/>
      </w:r>
      <w:r>
        <w:t xml:space="preserve">13. Decisión</w:t>
      </w:r>
    </w:p>
    <w:p>
      <w:pPr>
        <w:numPr>
          <w:ilvl w:val="0"/>
          <w:numId w:val="1546"/>
        </w:numPr>
        <w:pStyle w:val="Compact"/>
      </w:pPr>
      <w:r>
        <w:t xml:space="preserve">☐ Aprobado para el uso documentado</w:t>
      </w:r>
    </w:p>
    <w:p>
      <w:pPr>
        <w:numPr>
          <w:ilvl w:val="0"/>
          <w:numId w:val="1546"/>
        </w:numPr>
        <w:pStyle w:val="Compact"/>
      </w:pPr>
      <w:r>
        <w:t xml:space="preserve">☐ Aprobado con condiciones</w:t>
      </w:r>
    </w:p>
    <w:p>
      <w:pPr>
        <w:numPr>
          <w:ilvl w:val="0"/>
          <w:numId w:val="1546"/>
        </w:numPr>
        <w:pStyle w:val="Compact"/>
      </w:pPr>
      <w:r>
        <w:t xml:space="preserve">☐ Uso limitado o piloto solamente</w:t>
      </w:r>
    </w:p>
    <w:p>
      <w:pPr>
        <w:numPr>
          <w:ilvl w:val="0"/>
          <w:numId w:val="1546"/>
        </w:numPr>
        <w:pStyle w:val="Compact"/>
      </w:pPr>
      <w:r>
        <w:t xml:space="preserve">☐ Remediación necesaria antes de su uso</w:t>
      </w:r>
    </w:p>
    <w:p>
      <w:pPr>
        <w:numPr>
          <w:ilvl w:val="0"/>
          <w:numId w:val="1546"/>
        </w:numPr>
        <w:pStyle w:val="Compact"/>
      </w:pPr>
      <w:r>
        <w:t xml:space="preserve">☐ Prohibido su uso</w:t>
      </w:r>
    </w:p>
    <w:p>
      <w:pPr>
        <w:numPr>
          <w:ilvl w:val="0"/>
          <w:numId w:val="1546"/>
        </w:numPr>
        <w:pStyle w:val="Compact"/>
      </w:pPr>
      <w:r>
        <w:t xml:space="preserve">☐ Se requiere una interpretación jurídica/privacidad cualificada</w:t>
      </w:r>
    </w:p>
    <w:p>
      <w:pPr>
        <w:pStyle w:val="FirstParagraph"/>
      </w:pPr>
      <w:r>
        <w:t xml:space="preserve">** Justificación de la decisión:</w:t>
      </w:r>
      <w:r>
        <w:rPr>
          <w:bCs/>
          <w:b/>
        </w:rPr>
        <w:t xml:space="preserve"> </w:t>
      </w:r>
      <w:r>
        <w:t xml:space="preserve"> </w:t>
      </w:r>
      <w:r>
        <w:t xml:space="preserve">Limitaciones de los recursos:</w:t>
      </w:r>
      <w:r>
        <w:rPr>
          <w:bCs/>
          <w:b/>
        </w:rPr>
        <w:t xml:space="preserve"> </w:t>
      </w:r>
      <w:r>
        <w:t xml:space="preserve"> </w:t>
      </w:r>
      <w:r>
        <w:t xml:space="preserve">Usos restringidos o prohibidos:</w:t>
      </w:r>
      <w:r>
        <w:rPr>
          <w:bCs/>
          <w:b/>
        </w:rPr>
        <w:t xml:space="preserve"> </w:t>
      </w:r>
      <w:r>
        <w:t xml:space="preserve">Requisitos de supervisión:**</w:t>
      </w:r>
    </w:p>
    <w:bookmarkEnd w:id="1555"/>
    <w:bookmarkStart w:id="1556" w:name="plan-de-acción-1"/>
    <w:p>
      <w:pPr>
        <w:pStyle w:val="Heading2"/>
      </w:pPr>
      <w:r>
        <w:rPr>
          <w:rStyle w:val="SectionNumber"/>
        </w:rPr>
        <w:t xml:space="preserve">2.142</w:t>
      </w:r>
      <w:r>
        <w:tab/>
      </w:r>
      <w:r>
        <w:t xml:space="preserve">14. Plan de acción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Situación</w:t>
            </w:r>
          </w:p>
        </w:tc>
        <w:tc>
          <w:tcPr/>
          <w:p>
            <w:pPr>
              <w:pStyle w:val="Compact"/>
              <w:jc w:val="left"/>
            </w:pPr>
            <w:r>
              <w:t xml:space="preserve">Método de validación</w:t>
            </w:r>
          </w:p>
        </w:tc>
        <w:tc>
          <w:tcPr/>
          <w:p>
            <w:pPr>
              <w:pStyle w:val="Compact"/>
              <w:jc w:val="left"/>
            </w:pPr>
            <w:r>
              <w:t xml:space="preserve">Pruebas de cierre</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56"/>
    <w:bookmarkStart w:id="1557" w:name="activadores-del-cambio-y-la-reevaluación"/>
    <w:p>
      <w:pPr>
        <w:pStyle w:val="Heading2"/>
      </w:pPr>
      <w:r>
        <w:rPr>
          <w:rStyle w:val="SectionNumber"/>
        </w:rPr>
        <w:t xml:space="preserve">2.143</w:t>
      </w:r>
      <w:r>
        <w:tab/>
      </w:r>
      <w:r>
        <w:t xml:space="preserve">15. Activadores del cambio y la reevaluación</w:t>
      </w:r>
    </w:p>
    <w:p>
      <w:pPr>
        <w:pStyle w:val="FirstParagraph"/>
      </w:pPr>
      <w:r>
        <w:t xml:space="preserve">Reevaluar después de los cambios en:</w:t>
      </w:r>
    </w:p>
    <w:p>
      <w:pPr>
        <w:numPr>
          <w:ilvl w:val="0"/>
          <w:numId w:val="1547"/>
        </w:numPr>
        <w:pStyle w:val="Compact"/>
      </w:pPr>
      <w:r>
        <w:t xml:space="preserve">fuente, licencia, proveedor, subprocesador o método de adquisición;</w:t>
      </w:r>
    </w:p>
    <w:p>
      <w:pPr>
        <w:numPr>
          <w:ilvl w:val="0"/>
          <w:numId w:val="1547"/>
        </w:numPr>
        <w:pStyle w:val="Compact"/>
      </w:pPr>
      <w:r>
        <w:t xml:space="preserve">objetivos previstos, población afectada, jurisdicción o sector;</w:t>
      </w:r>
    </w:p>
    <w:p>
      <w:pPr>
        <w:numPr>
          <w:ilvl w:val="0"/>
          <w:numId w:val="1547"/>
        </w:numPr>
        <w:pStyle w:val="Compact"/>
      </w:pPr>
      <w:r>
        <w:t xml:space="preserve">método de característica, etiqueta, anotación, transformación o datos sintéticos;</w:t>
      </w:r>
    </w:p>
    <w:p>
      <w:pPr>
        <w:numPr>
          <w:ilvl w:val="0"/>
          <w:numId w:val="1547"/>
        </w:numPr>
        <w:pStyle w:val="Compact"/>
      </w:pPr>
      <w:r>
        <w:t xml:space="preserve">modelo, rápido, recuperación, retroalimentación o proceso de aprendizaje continuo;</w:t>
      </w:r>
    </w:p>
    <w:p>
      <w:pPr>
        <w:numPr>
          <w:ilvl w:val="0"/>
          <w:numId w:val="1547"/>
        </w:numPr>
        <w:pStyle w:val="Compact"/>
      </w:pPr>
      <w:r>
        <w:t xml:space="preserve">calidad, sesgo, rendimiento, privacidad o resultados de seguridad;</w:t>
      </w:r>
    </w:p>
    <w:p>
      <w:pPr>
        <w:numPr>
          <w:ilvl w:val="0"/>
          <w:numId w:val="1547"/>
        </w:numPr>
        <w:pStyle w:val="Compact"/>
      </w:pPr>
      <w:r>
        <w:t xml:space="preserve">retención, transferencia, ubicación o acceso de datos;</w:t>
      </w:r>
    </w:p>
    <w:p>
      <w:pPr>
        <w:numPr>
          <w:ilvl w:val="0"/>
          <w:numId w:val="1547"/>
        </w:numPr>
        <w:pStyle w:val="Compact"/>
      </w:pPr>
      <w:r>
        <w:t xml:space="preserve">base legal, consentimiento, contrato, posición de autoridad o ley aplicable.</w:t>
      </w:r>
    </w:p>
    <w:bookmarkEnd w:id="1557"/>
    <w:bookmarkStart w:id="1558" w:name="X1872bc856fc0cdb7c2fca8aa783eefc44c94787"/>
    <w:p>
      <w:pPr>
        <w:pStyle w:val="Heading2"/>
      </w:pPr>
      <w:r>
        <w:rPr>
          <w:rStyle w:val="SectionNumber"/>
        </w:rPr>
        <w:t xml:space="preserve">2.144</w:t>
      </w:r>
      <w:r>
        <w:tab/>
      </w:r>
      <w:r>
        <w:t xml:space="preserve">Ejemplo de servicios de viajes de GlobalWay</w:t>
      </w:r>
    </w:p>
    <w:p>
      <w:pPr>
        <w:pStyle w:val="FirstParagraph"/>
      </w:pPr>
      <w:r>
        <w:t xml:space="preserve">GlobalWay evalúa los datos de reserva, interrupción y perfil de viajero utilizados por un modelo de fraude. La evaluación encuentra una representación insuficiente de ciertos patrones de viaje regionales, etiquetas incoherentes y la reutilización de los datos de los clientes por parte de los proveedores para mejorar los modelos. GlobalWay restringe el conjunto de datos, corrige las etiquetas, amplía las pruebas representativas, prohíbe la capacitación de los proveedores sin autorización y vincula la versión aprobada del conjunto de datos al modelo desplegado y los umbrales de monitoreo.</w:t>
      </w:r>
    </w:p>
    <w:bookmarkEnd w:id="1558"/>
    <w:bookmarkStart w:id="1559" w:name="homologación-6"/>
    <w:p>
      <w:pPr>
        <w:pStyle w:val="Heading2"/>
      </w:pPr>
      <w:r>
        <w:rPr>
          <w:rStyle w:val="SectionNumber"/>
        </w:rPr>
        <w:t xml:space="preserve">2.145</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Propietario/administrador de los datos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Proveedor/propietario técnico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Privacidad/jurídica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Riesgo/conformidad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 en su caso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 </w:t>
      </w:r>
      <w:r>
        <w:t xml:space="preserve">Limitaciones de los recursos:</w:t>
      </w:r>
      <w:r>
        <w:rPr>
          <w:bCs/>
          <w:b/>
        </w:rPr>
        <w:t xml:space="preserve"> </w:t>
      </w:r>
      <w:r>
        <w:t xml:space="preserve">Condiciones/restricciones</w:t>
      </w:r>
      <w:r>
        <w:rPr>
          <w:bCs/>
          <w:b/>
        </w:rPr>
        <w:t xml:space="preserve"> </w:t>
      </w:r>
      <w:r>
        <w:t xml:space="preserve">Pedido/fecha de la próxima revisión:</w:t>
      </w:r>
      <w:r>
        <w:rPr>
          <w:bCs/>
          <w:b/>
        </w:rPr>
        <w:t xml:space="preserve"> </w:t>
      </w:r>
      <w:r>
        <w:t xml:space="preserve"> </w:t>
      </w:r>
      <w:r>
        <w:t xml:space="preserve">Versión de evaluación:**</w:t>
      </w:r>
    </w:p>
    <w:bookmarkEnd w:id="1559"/>
    <w:bookmarkStart w:id="1560" w:name="referencias-jurídicas-primarias-115"/>
    <w:p>
      <w:pPr>
        <w:pStyle w:val="Heading2"/>
      </w:pPr>
      <w:r>
        <w:rPr>
          <w:rStyle w:val="SectionNumber"/>
        </w:rPr>
        <w:t xml:space="preserve">2.146</w:t>
      </w:r>
      <w:r>
        <w:tab/>
      </w:r>
      <w:r>
        <w:t xml:space="preserve">Referencias jurídicas primarias</w:t>
      </w:r>
    </w:p>
    <w:p>
      <w:pPr>
        <w:numPr>
          <w:ilvl w:val="0"/>
          <w:numId w:val="1548"/>
        </w:numPr>
        <w:pStyle w:val="Compact"/>
      </w:pPr>
      <w:r>
        <w:t xml:space="preserve">Reglamento (UE) 2024/1689, modificado: artículo 10 y disposiciones aplicables sobre gestión de riesgos, documentación técnica, tala, vigilancia, incidentes y alto riesgo.</w:t>
      </w:r>
    </w:p>
    <w:p>
      <w:pPr>
        <w:numPr>
          <w:ilvl w:val="0"/>
          <w:numId w:val="1548"/>
        </w:numPr>
        <w:pStyle w:val="Compact"/>
      </w:pPr>
      <w:r>
        <w:t xml:space="preserve">Reglamento (UE) 2026/1744, en su caso.</w:t>
      </w:r>
    </w:p>
    <w:p>
      <w:pPr>
        <w:numPr>
          <w:ilvl w:val="0"/>
          <w:numId w:val="1548"/>
        </w:numPr>
        <w:pStyle w:val="Compact"/>
      </w:pPr>
      <w:r>
        <w:t xml:space="preserve">Reglamento (UE) 2016/679 y la propiedad intelectual aplicable, base de datos, derechos de autor, confidencialidad, ciberseguridad, gestión de registros, empleo, igualdad y legislación sectorial.</w:t>
      </w:r>
    </w:p>
    <w:p>
      <w:pPr>
        <w:numPr>
          <w:ilvl w:val="0"/>
          <w:numId w:val="1548"/>
        </w:numPr>
        <w:pStyle w:val="Compact"/>
      </w:pPr>
      <w:r>
        <w:t xml:space="preserve">Los textos oficiales consolidados actuales controlan esta plantilla.</w:t>
      </w:r>
    </w:p>
    <w:bookmarkEnd w:id="1560"/>
    <w:bookmarkStart w:id="1561" w:name="apéndice-j-plan-de-supervisión-humana"/>
    <w:p>
      <w:pPr>
        <w:pStyle w:val="Heading2"/>
      </w:pPr>
      <w:r>
        <w:rPr>
          <w:rStyle w:val="SectionNumber"/>
        </w:rPr>
        <w:t xml:space="preserve">2.147</w:t>
      </w:r>
      <w:r>
        <w:tab/>
      </w:r>
      <w:r>
        <w:t xml:space="preserve">Apéndice J — Plan de supervisión humana</w:t>
      </w:r>
    </w:p>
    <w:p>
      <w:pPr>
        <w:pStyle w:val="BlockText"/>
      </w:pPr>
      <w:r>
        <w:rPr>
          <w:bCs/>
          <w:b/>
        </w:rPr>
        <w:t xml:space="preserve">Estatus legal:</w:t>
      </w:r>
      <w:r>
        <w:t xml:space="preserve"> </w:t>
      </w:r>
      <w:r>
        <w:t xml:space="preserve">Maestro inglés corregido. Este archivo distingue las obligaciones de diseño del proveedor bajo el Artículo 14 de las obligaciones de despliegue para asignar personas naturales competentes y operar el sistema de acuerdo con las instrucciones aplicables. La supervisión humana debe ser significativa en la práctica y no puede reducirse a la aprobación nominal o revisión después del hecho.</w:t>
      </w:r>
    </w:p>
    <w:bookmarkEnd w:id="1561"/>
    <w:bookmarkStart w:id="1562" w:name="finalidad-26"/>
    <w:p>
      <w:pPr>
        <w:pStyle w:val="Heading2"/>
      </w:pPr>
      <w:r>
        <w:rPr>
          <w:rStyle w:val="SectionNumber"/>
        </w:rPr>
        <w:t xml:space="preserve">2.148</w:t>
      </w:r>
      <w:r>
        <w:tab/>
      </w:r>
      <w:r>
        <w:t xml:space="preserve">Finalidad</w:t>
      </w:r>
    </w:p>
    <w:p>
      <w:pPr>
        <w:pStyle w:val="FirstParagraph"/>
      </w:pPr>
      <w:r>
        <w:t xml:space="preserve">Utilice este plan para definir cómo las personas calificadas entenderán, supervisarán, desafiarán, ignorarán, anularán, interrumpirán, detendrán, suspenderán y aumentarán el funcionamiento de un sistema de IA.</w:t>
      </w:r>
    </w:p>
    <w:p>
      <w:pPr>
        <w:pStyle w:val="BodyText"/>
      </w:pPr>
      <w:r>
        <w:t xml:space="preserve">El plan debe vincular los objetivos de supervisión, las funciones, los puntos de decisión, la información, la autoridad, la competencia, el volumen de trabajo, la retroactividad, las pruebas, las pruebas, la supervisión y la revisión desencadenan la versión aprobada del sistema y el propósito previsto.</w:t>
      </w:r>
    </w:p>
    <w:bookmarkEnd w:id="1562"/>
    <w:bookmarkStart w:id="1563" w:name="registro-de-aplicabilidad"/>
    <w:p>
      <w:pPr>
        <w:pStyle w:val="Heading2"/>
      </w:pPr>
      <w:r>
        <w:rPr>
          <w:rStyle w:val="SectionNumber"/>
        </w:rPr>
        <w:t xml:space="preserve">2.149</w:t>
      </w:r>
      <w:r>
        <w:tab/>
      </w:r>
      <w:r>
        <w:t xml:space="preserve">1. Registro de aplicabilidad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Sistema/modelo</w:t>
            </w:r>
          </w:p>
        </w:tc>
        <w:tc>
          <w:tcPr/>
          <w:p>
            <w:pPr>
              <w:pStyle w:val="Compact"/>
              <w:jc w:val="left"/>
            </w:pPr>
            <w:r>
              <w:t xml:space="preserve">- No, no.</w:t>
            </w:r>
          </w:p>
        </w:tc>
      </w:tr>
      <w:tr>
        <w:tc>
          <w:tcPr/>
          <w:p>
            <w:pPr>
              <w:pStyle w:val="Compact"/>
              <w:jc w:val="left"/>
            </w:pPr>
            <w:r>
              <w:t xml:space="preserve">Versión/configuración</w:t>
            </w:r>
          </w:p>
        </w:tc>
        <w:tc>
          <w:tcPr/>
          <w:p>
            <w:pPr>
              <w:pStyle w:val="Compact"/>
              <w:jc w:val="left"/>
            </w:pPr>
            <w:r>
              <w:t xml:space="preserve">- No, no.</w:t>
            </w:r>
          </w:p>
        </w:tc>
      </w:tr>
      <w:tr>
        <w:tc>
          <w:tcPr/>
          <w:p>
            <w:pPr>
              <w:pStyle w:val="Compact"/>
              <w:jc w:val="left"/>
            </w:pPr>
            <w:r>
              <w:t xml:space="preserve">ID de inventario</w:t>
            </w:r>
          </w:p>
        </w:tc>
        <w:tc>
          <w:tcPr/>
          <w:p>
            <w:pPr>
              <w:pStyle w:val="Compact"/>
              <w:jc w:val="left"/>
            </w:pPr>
            <w:r>
              <w:t xml:space="preserve">- No, no.</w:t>
            </w:r>
          </w:p>
        </w:tc>
      </w:tr>
      <w:tr>
        <w:tc>
          <w:tcPr/>
          <w:p>
            <w:pPr>
              <w:pStyle w:val="Compact"/>
              <w:jc w:val="left"/>
            </w:pPr>
            <w:r>
              <w:t xml:space="preserve">Entidad jurídica y función de actor</w:t>
            </w:r>
          </w:p>
        </w:tc>
        <w:tc>
          <w:tcPr/>
          <w:p>
            <w:pPr>
              <w:pStyle w:val="Compact"/>
              <w:jc w:val="left"/>
            </w:pPr>
            <w:r>
              <w:t xml:space="preserve">- No, no.</w:t>
            </w:r>
          </w:p>
        </w:tc>
      </w:tr>
      <w:tr>
        <w:tc>
          <w:tcPr/>
          <w:p>
            <w:pPr>
              <w:pStyle w:val="Compact"/>
              <w:jc w:val="left"/>
            </w:pPr>
            <w:r>
              <w:t xml:space="preserve">Clasificación de alto riesgo y base jurídica</w:t>
            </w:r>
          </w:p>
        </w:tc>
        <w:tc>
          <w:tcPr/>
          <w:p>
            <w:pPr>
              <w:pStyle w:val="Compact"/>
              <w:jc w:val="left"/>
            </w:pPr>
            <w:r>
              <w:t xml:space="preserve">- No, no.</w:t>
            </w:r>
          </w:p>
        </w:tc>
      </w:tr>
      <w:tr>
        <w:tc>
          <w:tcPr/>
          <w:p>
            <w:pPr>
              <w:pStyle w:val="Compact"/>
              <w:jc w:val="left"/>
            </w:pPr>
            <w:r>
              <w:t xml:space="preserve">Finalidad prevista</w:t>
            </w:r>
          </w:p>
        </w:tc>
        <w:tc>
          <w:tcPr/>
          <w:p>
            <w:pPr>
              <w:pStyle w:val="Compact"/>
              <w:jc w:val="left"/>
            </w:pPr>
            <w:r>
              <w:t xml:space="preserve">- No, no.</w:t>
            </w:r>
          </w:p>
        </w:tc>
      </w:tr>
      <w:tr>
        <w:tc>
          <w:tcPr/>
          <w:p>
            <w:pPr>
              <w:pStyle w:val="Compact"/>
              <w:jc w:val="left"/>
            </w:pPr>
            <w:r>
              <w:t xml:space="preserve">Uso real o propuesto</w:t>
            </w:r>
          </w:p>
        </w:tc>
        <w:tc>
          <w:tcPr/>
          <w:p>
            <w:pPr>
              <w:pStyle w:val="Compact"/>
              <w:jc w:val="left"/>
            </w:pPr>
            <w:r>
              <w:t xml:space="preserve">- No, no.</w:t>
            </w:r>
          </w:p>
        </w:tc>
      </w:tr>
      <w:tr>
        <w:tc>
          <w:tcPr/>
          <w:p>
            <w:pPr>
              <w:pStyle w:val="Compact"/>
              <w:jc w:val="left"/>
            </w:pPr>
            <w:r>
              <w:t xml:space="preserve">Usuarios y personas afectadas</w:t>
            </w:r>
          </w:p>
        </w:tc>
        <w:tc>
          <w:tcPr/>
          <w:p>
            <w:pPr>
              <w:pStyle w:val="Compact"/>
              <w:jc w:val="left"/>
            </w:pPr>
            <w:r>
              <w:t xml:space="preserve">- No, no.</w:t>
            </w:r>
          </w:p>
        </w:tc>
      </w:tr>
      <w:tr>
        <w:tc>
          <w:tcPr/>
          <w:p>
            <w:pPr>
              <w:pStyle w:val="Compact"/>
              <w:jc w:val="left"/>
            </w:pPr>
            <w:r>
              <w:t xml:space="preserve">Revisión de las instrucciones del proveedor</w:t>
            </w:r>
          </w:p>
        </w:tc>
        <w:tc>
          <w:tcPr/>
          <w:p>
            <w:pPr>
              <w:pStyle w:val="Compact"/>
              <w:jc w:val="left"/>
            </w:pPr>
            <w:r>
              <w:t xml:space="preserve">- No, no.</w:t>
            </w:r>
          </w:p>
        </w:tc>
      </w:tr>
      <w:tr>
        <w:tc>
          <w:tcPr/>
          <w:p>
            <w:pPr>
              <w:pStyle w:val="Compact"/>
              <w:jc w:val="left"/>
            </w:pPr>
            <w:r>
              <w:t xml:space="preserve">FRIA/DPIA/evaluación de riesgos conexa</w:t>
            </w:r>
          </w:p>
        </w:tc>
        <w:tc>
          <w:tcPr/>
          <w:p>
            <w:pPr>
              <w:pStyle w:val="Compact"/>
              <w:jc w:val="left"/>
            </w:pPr>
            <w:r>
              <w:t xml:space="preserve">- No, no.</w:t>
            </w:r>
          </w:p>
        </w:tc>
      </w:tr>
      <w:tr>
        <w:tc>
          <w:tcPr/>
          <w:p>
            <w:pPr>
              <w:pStyle w:val="Compact"/>
              <w:jc w:val="left"/>
            </w:pPr>
            <w:r>
              <w:t xml:space="preserve">Fuente jurídica actual y fecha de aplicación</w:t>
            </w:r>
          </w:p>
        </w:tc>
        <w:tc>
          <w:tcPr/>
          <w:p>
            <w:pPr>
              <w:pStyle w:val="Compact"/>
              <w:jc w:val="left"/>
            </w:pPr>
            <w:r>
              <w:t xml:space="preserve">- No, no.</w:t>
            </w:r>
          </w:p>
        </w:tc>
      </w:tr>
      <w:tr>
        <w:tc>
          <w:tcPr/>
          <w:p>
            <w:pPr>
              <w:pStyle w:val="Compact"/>
              <w:jc w:val="left"/>
            </w:pPr>
            <w:r>
              <w:t xml:space="preserve">Propietario del plan/fecha/versión</w:t>
            </w:r>
          </w:p>
        </w:tc>
        <w:tc>
          <w:tcPr/>
          <w:p>
            <w:pPr>
              <w:pStyle w:val="Compact"/>
              <w:jc w:val="left"/>
            </w:pPr>
            <w:r>
              <w:t xml:space="preserve">- No, no.</w:t>
            </w:r>
          </w:p>
        </w:tc>
      </w:tr>
    </w:tbl>
    <w:bookmarkEnd w:id="1563"/>
    <w:bookmarkStart w:id="1564" w:name="objetivos-de-supervisión"/>
    <w:p>
      <w:pPr>
        <w:pStyle w:val="Heading2"/>
      </w:pPr>
      <w:r>
        <w:rPr>
          <w:rStyle w:val="SectionNumber"/>
        </w:rPr>
        <w:t xml:space="preserve">2.150</w:t>
      </w:r>
      <w:r>
        <w:tab/>
      </w:r>
      <w:r>
        <w:t xml:space="preserve">2. Objetivos de supervisión</w:t>
      </w:r>
    </w:p>
    <w:p>
      <w:pPr>
        <w:pStyle w:val="FirstParagraph"/>
      </w:pPr>
      <w:r>
        <w:t xml:space="preserve">Definir la supervisión de los riesgos tiene por objeto prevenir o reducir, entre otras cosas:</w:t>
      </w:r>
    </w:p>
    <w:p>
      <w:pPr>
        <w:numPr>
          <w:ilvl w:val="0"/>
          <w:numId w:val="1549"/>
        </w:numPr>
        <w:pStyle w:val="Compact"/>
      </w:pPr>
      <w:r>
        <w:t xml:space="preserve">resultados inseguros o ilícitos;</w:t>
      </w:r>
    </w:p>
    <w:p>
      <w:pPr>
        <w:numPr>
          <w:ilvl w:val="0"/>
          <w:numId w:val="1549"/>
        </w:numPr>
        <w:pStyle w:val="Compact"/>
      </w:pPr>
      <w:r>
        <w:t xml:space="preserve">sesgo de automatización y dependencia excesiva;</w:t>
      </w:r>
    </w:p>
    <w:p>
      <w:pPr>
        <w:numPr>
          <w:ilvl w:val="0"/>
          <w:numId w:val="1549"/>
        </w:numPr>
        <w:pStyle w:val="Compact"/>
      </w:pPr>
      <w:r>
        <w:t xml:space="preserve">productos inexactos, poco fiables, discriminatorios o manipulados;</w:t>
      </w:r>
    </w:p>
    <w:p>
      <w:pPr>
        <w:numPr>
          <w:ilvl w:val="0"/>
          <w:numId w:val="1549"/>
        </w:numPr>
        <w:pStyle w:val="Compact"/>
      </w:pPr>
      <w:r>
        <w:t xml:space="preserve">utilización fuera de la finalidad prevista o de la población autorizada;</w:t>
      </w:r>
    </w:p>
    <w:p>
      <w:pPr>
        <w:numPr>
          <w:ilvl w:val="0"/>
          <w:numId w:val="1549"/>
        </w:numPr>
        <w:pStyle w:val="Compact"/>
      </w:pPr>
      <w:r>
        <w:t xml:space="preserve">no reconocer la incertidumbre, el comportamiento anormal, la deriva o las limitaciones del modelo;</w:t>
      </w:r>
    </w:p>
    <w:p>
      <w:pPr>
        <w:numPr>
          <w:ilvl w:val="0"/>
          <w:numId w:val="1549"/>
        </w:numPr>
        <w:pStyle w:val="Compact"/>
      </w:pPr>
      <w:r>
        <w:t xml:space="preserve">acción autónoma o uso inadecuado de herramientas;</w:t>
      </w:r>
    </w:p>
    <w:p>
      <w:pPr>
        <w:numPr>
          <w:ilvl w:val="0"/>
          <w:numId w:val="1549"/>
        </w:numPr>
        <w:pStyle w:val="Compact"/>
      </w:pPr>
      <w:r>
        <w:t xml:space="preserve">la demora en el incidente, la denuncia o la intensificación de la respuesta;</w:t>
      </w:r>
    </w:p>
    <w:p>
      <w:pPr>
        <w:numPr>
          <w:ilvl w:val="0"/>
          <w:numId w:val="1549"/>
        </w:numPr>
        <w:pStyle w:val="Compact"/>
      </w:pPr>
      <w:r>
        <w:t xml:space="preserve">incapacidad de las personas afectadas para obtener revisión humana, corrección, apelación o reparación;</w:t>
      </w:r>
    </w:p>
    <w:p>
      <w:pPr>
        <w:numPr>
          <w:ilvl w:val="0"/>
          <w:numId w:val="1549"/>
        </w:numPr>
        <w:pStyle w:val="Compact"/>
      </w:pPr>
      <w:r>
        <w:t xml:space="preserve">Retroceso inadecuado durante apagones, ataques, fallas del proveedor o condiciones inesperadas.</w:t>
      </w:r>
    </w:p>
    <w:bookmarkEnd w:id="1564"/>
    <w:bookmarkStart w:id="1565" w:name="Xa66046295c67157379447ec2ddc88a196ba3ef6"/>
    <w:p>
      <w:pPr>
        <w:pStyle w:val="Heading2"/>
      </w:pPr>
      <w:r>
        <w:rPr>
          <w:rStyle w:val="SectionNumber"/>
        </w:rPr>
        <w:t xml:space="preserve">2.151</w:t>
      </w:r>
      <w:r>
        <w:tab/>
      </w:r>
      <w:r>
        <w:t xml:space="preserve">3. Medidas de supervisión diseñadas por el proveedor</w:t>
      </w:r>
    </w:p>
    <w:p>
      <w:pPr>
        <w:pStyle w:val="FirstParagraph"/>
      </w:pPr>
      <w:r>
        <w:t xml:space="preserve">Capacidades de diseño de registros que permiten a las personas físicas:</w:t>
      </w:r>
    </w:p>
    <w:p>
      <w:pPr>
        <w:numPr>
          <w:ilvl w:val="0"/>
          <w:numId w:val="1550"/>
        </w:numPr>
        <w:pStyle w:val="Compact"/>
      </w:pPr>
      <w:r>
        <w:t xml:space="preserve">comprender las capacidades pertinentes, las limitaciones, los supuestos y el uso indebido previsible;</w:t>
      </w:r>
    </w:p>
    <w:p>
      <w:pPr>
        <w:numPr>
          <w:ilvl w:val="0"/>
          <w:numId w:val="1550"/>
        </w:numPr>
        <w:pStyle w:val="Compact"/>
      </w:pPr>
      <w:r>
        <w:t xml:space="preserve">ser conscientes de los sesgos de automatización y de los límites de rendimiento;</w:t>
      </w:r>
    </w:p>
    <w:p>
      <w:pPr>
        <w:numPr>
          <w:ilvl w:val="0"/>
          <w:numId w:val="1550"/>
        </w:numPr>
        <w:pStyle w:val="Compact"/>
      </w:pPr>
      <w:r>
        <w:t xml:space="preserve">interpretar correctamente los resultados en el contexto;</w:t>
      </w:r>
    </w:p>
    <w:p>
      <w:pPr>
        <w:numPr>
          <w:ilvl w:val="0"/>
          <w:numId w:val="1550"/>
        </w:numPr>
        <w:pStyle w:val="Compact"/>
      </w:pPr>
      <w:r>
        <w:t xml:space="preserve">acceder a los insumos pertinentes, la información de origen, los indicadores de confianza o incertidumbre cuando sean significativos, y las acciones previas;</w:t>
      </w:r>
    </w:p>
    <w:p>
      <w:pPr>
        <w:numPr>
          <w:ilvl w:val="0"/>
          <w:numId w:val="1550"/>
        </w:numPr>
        <w:pStyle w:val="Compact"/>
      </w:pPr>
      <w:r>
        <w:t xml:space="preserve">no tener en cuenta, anular, invertir o corregir las salidas;</w:t>
      </w:r>
    </w:p>
    <w:p>
      <w:pPr>
        <w:numPr>
          <w:ilvl w:val="0"/>
          <w:numId w:val="1550"/>
        </w:numPr>
        <w:pStyle w:val="Compact"/>
      </w:pPr>
      <w:r>
        <w:t xml:space="preserve">prevenir o aprobar acciones externas;</w:t>
      </w:r>
    </w:p>
    <w:p>
      <w:pPr>
        <w:numPr>
          <w:ilvl w:val="0"/>
          <w:numId w:val="1550"/>
        </w:numPr>
        <w:pStyle w:val="Compact"/>
      </w:pPr>
      <w:r>
        <w:t xml:space="preserve">interrumpir o detener el funcionamiento de forma segura;</w:t>
      </w:r>
    </w:p>
    <w:p>
      <w:pPr>
        <w:numPr>
          <w:ilvl w:val="0"/>
          <w:numId w:val="1550"/>
        </w:numPr>
        <w:pStyle w:val="Compact"/>
      </w:pPr>
      <w:r>
        <w:t xml:space="preserve">detectar anomalías, deriva, uso indebido y condiciones anormales;</w:t>
      </w:r>
    </w:p>
    <w:p>
      <w:pPr>
        <w:numPr>
          <w:ilvl w:val="0"/>
          <w:numId w:val="1550"/>
        </w:numPr>
        <w:pStyle w:val="Compact"/>
      </w:pPr>
      <w:r>
        <w:t xml:space="preserve">intensificar los incidentes, las preocupaciones en materia de derechos, los riesgos para la seguridad y los fallos de control;</w:t>
      </w:r>
    </w:p>
    <w:p>
      <w:pPr>
        <w:numPr>
          <w:ilvl w:val="0"/>
          <w:numId w:val="1550"/>
        </w:numPr>
        <w:pStyle w:val="Compact"/>
      </w:pPr>
      <w:r>
        <w:t xml:space="preserve">usar registros, explicaciones, información de versiones y pruebas necesarias para la revisión.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Medida</w:t>
            </w:r>
          </w:p>
        </w:tc>
        <w:tc>
          <w:tcPr/>
          <w:p>
            <w:pPr>
              <w:pStyle w:val="Compact"/>
              <w:jc w:val="left"/>
            </w:pPr>
            <w:r>
              <w:t xml:space="preserve">Propietario del diseño</w:t>
            </w:r>
          </w:p>
        </w:tc>
        <w:tc>
          <w:tcPr/>
          <w:p>
            <w:pPr>
              <w:pStyle w:val="Compact"/>
              <w:jc w:val="left"/>
            </w:pPr>
            <w:r>
              <w:t xml:space="preserve">Característica o procedimiento del sistema</w:t>
            </w:r>
          </w:p>
        </w:tc>
        <w:tc>
          <w:tcPr/>
          <w:p>
            <w:pPr>
              <w:pStyle w:val="Compact"/>
              <w:jc w:val="left"/>
            </w:pPr>
            <w:r>
              <w:t xml:space="preserve">Versión</w:t>
            </w:r>
          </w:p>
        </w:tc>
        <w:tc>
          <w:tcPr/>
          <w:p>
            <w:pPr>
              <w:pStyle w:val="Compact"/>
              <w:jc w:val="left"/>
            </w:pPr>
            <w:r>
              <w:t xml:space="preserve">Pruebas</w:t>
            </w:r>
          </w:p>
        </w:tc>
        <w:tc>
          <w:tcPr/>
          <w:p>
            <w:pPr>
              <w:pStyle w:val="Compact"/>
              <w:jc w:val="left"/>
            </w:pPr>
            <w:r>
              <w:t xml:space="preserve">Limitación</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65"/>
    <w:bookmarkStart w:id="1566" w:name="modelo-de-operación-de-despliegue"/>
    <w:p>
      <w:pPr>
        <w:pStyle w:val="Heading2"/>
      </w:pPr>
      <w:r>
        <w:rPr>
          <w:rStyle w:val="SectionNumber"/>
        </w:rPr>
        <w:t xml:space="preserve">2.152</w:t>
      </w:r>
      <w:r>
        <w:tab/>
      </w:r>
      <w:r>
        <w:t xml:space="preserve">4. Modelo de operación de despliegue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Función</w:t>
            </w:r>
          </w:p>
        </w:tc>
        <w:tc>
          <w:tcPr/>
          <w:p>
            <w:pPr>
              <w:pStyle w:val="Compact"/>
              <w:jc w:val="left"/>
            </w:pPr>
            <w:r>
              <w:t xml:space="preserve">Responsabilidades</w:t>
            </w:r>
          </w:p>
        </w:tc>
        <w:tc>
          <w:tcPr/>
          <w:p>
            <w:pPr>
              <w:pStyle w:val="Compact"/>
              <w:jc w:val="left"/>
            </w:pPr>
            <w:r>
              <w:t xml:space="preserve">Autoridad decisoria</w:t>
            </w:r>
          </w:p>
        </w:tc>
        <w:tc>
          <w:tcPr/>
          <w:p>
            <w:pPr>
              <w:pStyle w:val="Compact"/>
              <w:jc w:val="left"/>
            </w:pPr>
            <w:r>
              <w:t xml:space="preserve">Competencia requerida</w:t>
            </w:r>
          </w:p>
        </w:tc>
        <w:tc>
          <w:tcPr/>
          <w:p>
            <w:pPr>
              <w:pStyle w:val="Compact"/>
              <w:jc w:val="left"/>
            </w:pPr>
            <w:r>
              <w:t xml:space="preserve">Carga de trabajo/tiempo</w:t>
            </w:r>
          </w:p>
        </w:tc>
        <w:tc>
          <w:tcPr/>
          <w:p>
            <w:pPr>
              <w:pStyle w:val="Compact"/>
              <w:jc w:val="left"/>
            </w:pPr>
            <w:r>
              <w:t xml:space="preserve">Copia de seguridad</w:t>
            </w:r>
          </w:p>
        </w:tc>
        <w:tc>
          <w:tcPr/>
          <w:p>
            <w:pPr>
              <w:pStyle w:val="Compact"/>
              <w:jc w:val="left"/>
            </w:pPr>
            <w:r>
              <w:t xml:space="preserve">Ruta de escalada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Confirmar que el personal de supervisión:</w:t>
      </w:r>
    </w:p>
    <w:p>
      <w:pPr>
        <w:numPr>
          <w:ilvl w:val="0"/>
          <w:numId w:val="1551"/>
        </w:numPr>
        <w:pStyle w:val="Compact"/>
      </w:pPr>
      <w:r>
        <w:t xml:space="preserve">sean personas físicas;</w:t>
      </w:r>
    </w:p>
    <w:p>
      <w:pPr>
        <w:numPr>
          <w:ilvl w:val="0"/>
          <w:numId w:val="1551"/>
        </w:numPr>
        <w:pStyle w:val="Compact"/>
      </w:pPr>
      <w:r>
        <w:t xml:space="preserve">tener la competencia, formación, autoridad, independencia, tiempo, herramientas y apoyo necesarios;</w:t>
      </w:r>
    </w:p>
    <w:p>
      <w:pPr>
        <w:numPr>
          <w:ilvl w:val="0"/>
          <w:numId w:val="1551"/>
        </w:numPr>
        <w:pStyle w:val="Compact"/>
      </w:pPr>
      <w:r>
        <w:t xml:space="preserve">comprender el propósito previsto, las instrucciones, las limitaciones y los riesgos pertinentes;</w:t>
      </w:r>
    </w:p>
    <w:p>
      <w:pPr>
        <w:numPr>
          <w:ilvl w:val="0"/>
          <w:numId w:val="1551"/>
        </w:numPr>
        <w:pStyle w:val="Compact"/>
      </w:pPr>
      <w:r>
        <w:t xml:space="preserve">puede anular o detener el sistema sin represalias ni presiones de rendimiento contradictorias;</w:t>
      </w:r>
    </w:p>
    <w:p>
      <w:pPr>
        <w:numPr>
          <w:ilvl w:val="0"/>
          <w:numId w:val="1551"/>
        </w:numPr>
        <w:pStyle w:val="Compact"/>
      </w:pPr>
      <w:r>
        <w:t xml:space="preserve">tener acceso a especialistas y contactos de emergencia;</w:t>
      </w:r>
    </w:p>
    <w:p>
      <w:pPr>
        <w:numPr>
          <w:ilvl w:val="0"/>
          <w:numId w:val="1551"/>
        </w:numPr>
        <w:pStyle w:val="Compact"/>
      </w:pPr>
      <w:r>
        <w:t xml:space="preserve">no se asignen cargas de trabajo que hagan imposible una revisión significativa;</w:t>
      </w:r>
    </w:p>
    <w:p>
      <w:pPr>
        <w:numPr>
          <w:ilvl w:val="0"/>
          <w:numId w:val="1551"/>
        </w:numPr>
        <w:pStyle w:val="Compact"/>
      </w:pPr>
      <w:r>
        <w:t xml:space="preserve">cuentan con el apoyo de suplentes y arreglos de continuidad.</w:t>
      </w:r>
    </w:p>
    <w:bookmarkEnd w:id="1566"/>
    <w:bookmarkStart w:id="1567" w:name="puntos-de-decisión-e-intervenciones"/>
    <w:p>
      <w:pPr>
        <w:pStyle w:val="Heading2"/>
      </w:pPr>
      <w:r>
        <w:rPr>
          <w:rStyle w:val="SectionNumber"/>
        </w:rPr>
        <w:t xml:space="preserve">2.153</w:t>
      </w:r>
      <w:r>
        <w:tab/>
      </w:r>
      <w:r>
        <w:t xml:space="preserve">5. Puntos de decisión e intervenciones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Ciclo de vida/paso del proceso</w:t>
            </w:r>
          </w:p>
        </w:tc>
        <w:tc>
          <w:tcPr/>
          <w:p>
            <w:pPr>
              <w:pStyle w:val="Compact"/>
              <w:jc w:val="left"/>
            </w:pPr>
            <w:r>
              <w:t xml:space="preserve">Salida o acción de IA</w:t>
            </w:r>
          </w:p>
        </w:tc>
        <w:tc>
          <w:tcPr/>
          <w:p>
            <w:pPr>
              <w:pStyle w:val="Compact"/>
              <w:jc w:val="left"/>
            </w:pPr>
            <w:r>
              <w:t xml:space="preserve">Examen humano necesario</w:t>
            </w:r>
          </w:p>
        </w:tc>
        <w:tc>
          <w:tcPr/>
          <w:p>
            <w:pPr>
              <w:pStyle w:val="Compact"/>
              <w:jc w:val="left"/>
            </w:pPr>
            <w:r>
              <w:t xml:space="preserve">Información disponible</w:t>
            </w:r>
          </w:p>
        </w:tc>
        <w:tc>
          <w:tcPr/>
          <w:p>
            <w:pPr>
              <w:pStyle w:val="Compact"/>
              <w:jc w:val="left"/>
            </w:pPr>
            <w:r>
              <w:t xml:space="preserve">Método de anulación/parada</w:t>
            </w:r>
          </w:p>
        </w:tc>
        <w:tc>
          <w:tcPr/>
          <w:p>
            <w:pPr>
              <w:pStyle w:val="Compact"/>
              <w:jc w:val="left"/>
            </w:pPr>
            <w:r>
              <w:t xml:space="preserve">Umbral de escalada</w:t>
            </w:r>
          </w:p>
        </w:tc>
        <w:tc>
          <w:tcPr/>
          <w:p>
            <w:pPr>
              <w:pStyle w:val="Compact"/>
              <w:jc w:val="left"/>
            </w:pPr>
            <w:r>
              <w:t xml:space="preserve">Pruebas creadas</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Incluye aprobación previa a la liberación, operación en tiempo real, excepciones, apelaciones, respuesta a incidentes, reversión, restauración y jubilación cuando proceda.</w:t>
      </w:r>
    </w:p>
    <w:bookmarkEnd w:id="1567"/>
    <w:bookmarkStart w:id="1568" w:name="X28e7c1652a5336bdffc912b58e276a86ee93493"/>
    <w:p>
      <w:pPr>
        <w:pStyle w:val="Heading2"/>
      </w:pPr>
      <w:r>
        <w:rPr>
          <w:rStyle w:val="SectionNumber"/>
        </w:rPr>
        <w:t xml:space="preserve">2.154</w:t>
      </w:r>
      <w:r>
        <w:tab/>
      </w:r>
      <w:r>
        <w:t xml:space="preserve">6. Información de que disponen los examinadores</w:t>
      </w:r>
    </w:p>
    <w:p>
      <w:pPr>
        <w:pStyle w:val="FirstParagraph"/>
      </w:pPr>
      <w:r>
        <w:t xml:space="preserve">Confirme que los revisores reciben:</w:t>
      </w:r>
    </w:p>
    <w:p>
      <w:pPr>
        <w:numPr>
          <w:ilvl w:val="0"/>
          <w:numId w:val="1552"/>
        </w:numPr>
        <w:pStyle w:val="Compact"/>
      </w:pPr>
      <w:r>
        <w:t xml:space="preserve">la finalidad prevista, el uso autorizado y el uso prohibido o restringido;</w:t>
      </w:r>
    </w:p>
    <w:p>
      <w:pPr>
        <w:numPr>
          <w:ilvl w:val="0"/>
          <w:numId w:val="1552"/>
        </w:numPr>
        <w:pStyle w:val="Compact"/>
      </w:pPr>
      <w:r>
        <w:t xml:space="preserve">contexto de entrada y salida;</w:t>
      </w:r>
    </w:p>
    <w:p>
      <w:pPr>
        <w:numPr>
          <w:ilvl w:val="0"/>
          <w:numId w:val="1552"/>
        </w:numPr>
        <w:pStyle w:val="Compact"/>
      </w:pPr>
      <w:r>
        <w:t xml:space="preserve">información pertinente sobre la fuente, la recuperación, la herramienta y la acción;</w:t>
      </w:r>
    </w:p>
    <w:p>
      <w:pPr>
        <w:numPr>
          <w:ilvl w:val="0"/>
          <w:numId w:val="1552"/>
        </w:numPr>
        <w:pStyle w:val="Compact"/>
      </w:pPr>
      <w:r>
        <w:t xml:space="preserve">la confianza, la incertidumbre, la abstención o los indicadores de alerta cuando sean significativos;</w:t>
      </w:r>
    </w:p>
    <w:p>
      <w:pPr>
        <w:numPr>
          <w:ilvl w:val="0"/>
          <w:numId w:val="1552"/>
        </w:numPr>
        <w:pStyle w:val="Compact"/>
      </w:pPr>
      <w:r>
        <w:t xml:space="preserve">limitaciones de precisión, sesgo, subgrupo, lenguaje, accesibilidad, seguridad y robustez conocidas;</w:t>
      </w:r>
    </w:p>
    <w:p>
      <w:pPr>
        <w:numPr>
          <w:ilvl w:val="0"/>
          <w:numId w:val="1552"/>
        </w:numPr>
        <w:pStyle w:val="Compact"/>
      </w:pPr>
      <w:r>
        <w:t xml:space="preserve">criterios jurídicos, políticos y de decisión aplicables;</w:t>
      </w:r>
    </w:p>
    <w:p>
      <w:pPr>
        <w:numPr>
          <w:ilvl w:val="0"/>
          <w:numId w:val="1552"/>
        </w:numPr>
        <w:pStyle w:val="Compact"/>
      </w:pPr>
      <w:r>
        <w:t xml:space="preserve">las anulaciones previas, desacuerdos, incidentes, quejas y apelaciones;</w:t>
      </w:r>
    </w:p>
    <w:p>
      <w:pPr>
        <w:numPr>
          <w:ilvl w:val="0"/>
          <w:numId w:val="1552"/>
        </w:numPr>
        <w:pStyle w:val="Compact"/>
      </w:pPr>
      <w:r>
        <w:t xml:space="preserve">instrucciones de impugnación, corrección, anulación, suspensión, parada, escalada y retroceso;</w:t>
      </w:r>
    </w:p>
    <w:p>
      <w:pPr>
        <w:numPr>
          <w:ilvl w:val="0"/>
          <w:numId w:val="1552"/>
        </w:numPr>
        <w:pStyle w:val="Compact"/>
      </w:pPr>
      <w:r>
        <w:t xml:space="preserve">versión y cambio de información;</w:t>
      </w:r>
    </w:p>
    <w:p>
      <w:pPr>
        <w:numPr>
          <w:ilvl w:val="0"/>
          <w:numId w:val="1552"/>
        </w:numPr>
        <w:pStyle w:val="Compact"/>
      </w:pPr>
      <w:r>
        <w:t xml:space="preserve">rutas de contacto y apoyo.</w:t>
      </w:r>
    </w:p>
    <w:bookmarkEnd w:id="1568"/>
    <w:bookmarkStart w:id="1569" w:name="autoridad-independencia-e-incentivos"/>
    <w:p>
      <w:pPr>
        <w:pStyle w:val="Heading2"/>
      </w:pPr>
      <w:r>
        <w:rPr>
          <w:rStyle w:val="SectionNumber"/>
        </w:rPr>
        <w:t xml:space="preserve">2.155</w:t>
      </w:r>
      <w:r>
        <w:tab/>
      </w:r>
      <w:r>
        <w:t xml:space="preserve">7. Autoridad, independencia e incentivos</w:t>
      </w:r>
    </w:p>
    <w:p>
      <w:pPr>
        <w:pStyle w:val="FirstParagraph"/>
      </w:pPr>
      <w:r>
        <w:t xml:space="preserve">Documentar si los revisores pueden:</w:t>
      </w:r>
    </w:p>
    <w:p>
      <w:pPr>
        <w:numPr>
          <w:ilvl w:val="0"/>
          <w:numId w:val="1553"/>
        </w:numPr>
        <w:pStyle w:val="Compact"/>
      </w:pPr>
      <w:r>
        <w:t xml:space="preserve">hacer caso omiso, invertir o corregir la salida;</w:t>
      </w:r>
    </w:p>
    <w:p>
      <w:pPr>
        <w:numPr>
          <w:ilvl w:val="0"/>
          <w:numId w:val="1553"/>
        </w:numPr>
        <w:pStyle w:val="Compact"/>
      </w:pPr>
      <w:r>
        <w:t xml:space="preserve">exigir pruebas adicionales o un segundo examen;</w:t>
      </w:r>
    </w:p>
    <w:p>
      <w:pPr>
        <w:numPr>
          <w:ilvl w:val="0"/>
          <w:numId w:val="1553"/>
        </w:numPr>
        <w:pStyle w:val="Compact"/>
      </w:pPr>
      <w:r>
        <w:t xml:space="preserve">aplazar o rechazar una decisión;</w:t>
      </w:r>
    </w:p>
    <w:p>
      <w:pPr>
        <w:numPr>
          <w:ilvl w:val="0"/>
          <w:numId w:val="1553"/>
        </w:numPr>
        <w:pStyle w:val="Compact"/>
      </w:pPr>
      <w:r>
        <w:t xml:space="preserve">obtener asesoramiento jurídico, técnico, clínico, de recursos humanos, de seguridad o de dominio;</w:t>
      </w:r>
    </w:p>
    <w:p>
      <w:pPr>
        <w:numPr>
          <w:ilvl w:val="0"/>
          <w:numId w:val="1553"/>
        </w:numPr>
        <w:pStyle w:val="Compact"/>
      </w:pPr>
      <w:r>
        <w:t xml:space="preserve">detener, suspender, retroceder o aislar el sistema;</w:t>
      </w:r>
    </w:p>
    <w:p>
      <w:pPr>
        <w:numPr>
          <w:ilvl w:val="0"/>
          <w:numId w:val="1553"/>
        </w:numPr>
        <w:pStyle w:val="Compact"/>
      </w:pPr>
      <w:r>
        <w:t xml:space="preserve">aumentar sin represalias;</w:t>
      </w:r>
    </w:p>
    <w:p>
      <w:pPr>
        <w:numPr>
          <w:ilvl w:val="0"/>
          <w:numId w:val="1553"/>
        </w:numPr>
        <w:pStyle w:val="Compact"/>
      </w:pPr>
      <w:r>
        <w:t xml:space="preserve">registrar la disensión y la incertidumbre no resuelta;</w:t>
      </w:r>
    </w:p>
    <w:p>
      <w:pPr>
        <w:numPr>
          <w:ilvl w:val="0"/>
          <w:numId w:val="1553"/>
        </w:numPr>
        <w:pStyle w:val="Compact"/>
      </w:pPr>
      <w:r>
        <w:t xml:space="preserve">proteger a las personas afectadas mientras se procede a la investigación.</w:t>
      </w:r>
    </w:p>
    <w:p>
      <w:pPr>
        <w:pStyle w:val="FirstParagraph"/>
      </w:pPr>
      <w:r>
        <w:t xml:space="preserve">Evaluar si los objetivos de producción, las métricas de velocidad, la dotación de personal, los incentivos o la presión de la administración socavan una revisión significativa.</w:t>
      </w:r>
    </w:p>
    <w:bookmarkEnd w:id="1569"/>
    <w:bookmarkStart w:id="1570" w:name="controles-de-automatización-sesgo"/>
    <w:p>
      <w:pPr>
        <w:pStyle w:val="Heading2"/>
      </w:pPr>
      <w:r>
        <w:rPr>
          <w:rStyle w:val="SectionNumber"/>
        </w:rPr>
        <w:t xml:space="preserve">2.156</w:t>
      </w:r>
      <w:r>
        <w:tab/>
      </w:r>
      <w:r>
        <w:t xml:space="preserve">8. Controles de automatización-sesgo</w:t>
      </w:r>
    </w:p>
    <w:p>
      <w:pPr>
        <w:pStyle w:val="FirstParagraph"/>
      </w:pPr>
      <w:r>
        <w:t xml:space="preserve">Utilizar controles proporcionados, tales como:</w:t>
      </w:r>
    </w:p>
    <w:p>
      <w:pPr>
        <w:numPr>
          <w:ilvl w:val="0"/>
          <w:numId w:val="1554"/>
        </w:numPr>
        <w:pStyle w:val="Compact"/>
      </w:pPr>
      <w:r>
        <w:t xml:space="preserve">análisis independiente antes de mostrar la recomendación de IA;</w:t>
      </w:r>
    </w:p>
    <w:p>
      <w:pPr>
        <w:numPr>
          <w:ilvl w:val="0"/>
          <w:numId w:val="1554"/>
        </w:numPr>
        <w:pStyle w:val="Compact"/>
      </w:pPr>
      <w:r>
        <w:t xml:space="preserve">presentación escalonada de las pruebas de origen y la producción de IA;</w:t>
      </w:r>
    </w:p>
    <w:p>
      <w:pPr>
        <w:numPr>
          <w:ilvl w:val="0"/>
          <w:numId w:val="1554"/>
        </w:numPr>
        <w:pStyle w:val="Compact"/>
      </w:pPr>
      <w:r>
        <w:t xml:space="preserve">justificación obligatoria de la aceptación y anulación en las decisiones importantes;</w:t>
      </w:r>
    </w:p>
    <w:p>
      <w:pPr>
        <w:numPr>
          <w:ilvl w:val="0"/>
          <w:numId w:val="1554"/>
        </w:numPr>
        <w:pStyle w:val="Compact"/>
      </w:pPr>
      <w:r>
        <w:t xml:space="preserve">revisión aleatoria de la calidad;</w:t>
      </w:r>
    </w:p>
    <w:p>
      <w:pPr>
        <w:numPr>
          <w:ilvl w:val="0"/>
          <w:numId w:val="1554"/>
        </w:numPr>
        <w:pStyle w:val="Compact"/>
      </w:pPr>
      <w:r>
        <w:t xml:space="preserve">rotación de los examinadores y examen de segundo nivel;</w:t>
      </w:r>
    </w:p>
    <w:p>
      <w:pPr>
        <w:numPr>
          <w:ilvl w:val="0"/>
          <w:numId w:val="1554"/>
        </w:numPr>
        <w:pStyle w:val="Compact"/>
      </w:pPr>
      <w:r>
        <w:t xml:space="preserve">alertas para tasas de aceptación excepcionalmente altas o bajas de anulación;</w:t>
      </w:r>
    </w:p>
    <w:p>
      <w:pPr>
        <w:numPr>
          <w:ilvl w:val="0"/>
          <w:numId w:val="1554"/>
        </w:numPr>
        <w:pStyle w:val="Compact"/>
      </w:pPr>
      <w:r>
        <w:t xml:space="preserve">entrenamiento basado en escenarios y ejercicios de desafío;</w:t>
      </w:r>
    </w:p>
    <w:p>
      <w:pPr>
        <w:numPr>
          <w:ilvl w:val="0"/>
          <w:numId w:val="1554"/>
        </w:numPr>
        <w:pStyle w:val="Compact"/>
      </w:pPr>
      <w:r>
        <w:t xml:space="preserve">separación de los objetivos de producción de las medidas de calidad de supervisión;</w:t>
      </w:r>
    </w:p>
    <w:p>
      <w:pPr>
        <w:numPr>
          <w:ilvl w:val="0"/>
          <w:numId w:val="1554"/>
        </w:numPr>
        <w:pStyle w:val="Compact"/>
      </w:pPr>
      <w:r>
        <w:t xml:space="preserve">la supervisión de las pautas de desacuerdo, apelación e inversión;</w:t>
      </w:r>
    </w:p>
    <w:p>
      <w:pPr>
        <w:numPr>
          <w:ilvl w:val="0"/>
          <w:numId w:val="1554"/>
        </w:numPr>
        <w:pStyle w:val="Compact"/>
      </w:pPr>
      <w:r>
        <w:t xml:space="preserve">pruebas periódicas ciegas del juicio del revisor.</w:t>
      </w:r>
    </w:p>
    <w:bookmarkEnd w:id="1570"/>
    <w:bookmarkStart w:id="1571" w:name="competencia-y-capacitación"/>
    <w:p>
      <w:pPr>
        <w:pStyle w:val="Heading2"/>
      </w:pPr>
      <w:r>
        <w:rPr>
          <w:rStyle w:val="SectionNumber"/>
        </w:rPr>
        <w:t xml:space="preserve">2.157</w:t>
      </w:r>
      <w:r>
        <w:tab/>
      </w:r>
      <w:r>
        <w:t xml:space="preserve">9. Competencia y capacitación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Formación/competencia</w:t>
            </w:r>
          </w:p>
        </w:tc>
        <w:tc>
          <w:tcPr/>
          <w:p>
            <w:pPr>
              <w:pStyle w:val="Compact"/>
              <w:jc w:val="left"/>
            </w:pPr>
            <w:r>
              <w:t xml:space="preserve">Audiencia</w:t>
            </w:r>
          </w:p>
        </w:tc>
        <w:tc>
          <w:tcPr/>
          <w:p>
            <w:pPr>
              <w:pStyle w:val="Compact"/>
              <w:jc w:val="left"/>
            </w:pPr>
            <w:r>
              <w:t xml:space="preserve">Frecuencia</w:t>
            </w:r>
          </w:p>
        </w:tc>
        <w:tc>
          <w:tcPr/>
          <w:p>
            <w:pPr>
              <w:pStyle w:val="Compact"/>
              <w:jc w:val="left"/>
            </w:pPr>
            <w:r>
              <w:t xml:space="preserve">Pruebas de conclusión</w:t>
            </w:r>
          </w:p>
        </w:tc>
        <w:tc>
          <w:tcPr/>
          <w:p>
            <w:pPr>
              <w:pStyle w:val="Compact"/>
              <w:jc w:val="left"/>
            </w:pPr>
            <w:r>
              <w:t xml:space="preserve">Prueba de competencia</w:t>
            </w:r>
          </w:p>
        </w:tc>
        <w:tc>
          <w:tcPr/>
          <w:p>
            <w:pPr>
              <w:pStyle w:val="Compact"/>
              <w:jc w:val="left"/>
            </w:pPr>
            <w:r>
              <w:t xml:space="preserve">Activador del refresco</w:t>
            </w:r>
          </w:p>
        </w:tc>
      </w:tr>
      <w:tr>
        <w:tc>
          <w:tcPr/>
          <w:p>
            <w:pPr>
              <w:pStyle w:val="Compact"/>
              <w:jc w:val="left"/>
            </w:pPr>
            <w:r>
              <w:t xml:space="preserve">Propósito previsto y limitaciones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Interpretación e incertidumbre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Sesgo de automatización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Derechos, seguridad, privacidad y riesgos de discriminación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Anular, detener, retroceder y escalar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Incidentes y preservación de pruebas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Accesibilidad y comunicación entre las personas afectadas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La finalización del entrenamiento por sí sola no demuestra competencia. Utilice la observación, simulación, pruebas y pruebas de rendimiento.</w:t>
      </w:r>
    </w:p>
    <w:bookmarkEnd w:id="1571"/>
    <w:bookmarkStart w:id="1572" w:name="Xc0b23e70ca0b3dd7f40f185ccc390a690e29c18"/>
    <w:p>
      <w:pPr>
        <w:pStyle w:val="Heading2"/>
      </w:pPr>
      <w:r>
        <w:rPr>
          <w:rStyle w:val="SectionNumber"/>
        </w:rPr>
        <w:t xml:space="preserve">2.158</w:t>
      </w:r>
      <w:r>
        <w:tab/>
      </w:r>
      <w:r>
        <w:t xml:space="preserve">10. Procedimiento de anulación y aumento de la escala</w:t>
      </w:r>
    </w:p>
    <w:p>
      <w:pPr>
        <w:numPr>
          <w:ilvl w:val="0"/>
          <w:numId w:val="1555"/>
        </w:numPr>
        <w:pStyle w:val="Compact"/>
      </w:pPr>
      <w:r>
        <w:t xml:space="preserve">Identifique la dudosa situación de salida, acción o operación.</w:t>
      </w:r>
    </w:p>
    <w:p>
      <w:pPr>
        <w:numPr>
          <w:ilvl w:val="0"/>
          <w:numId w:val="1555"/>
        </w:numPr>
        <w:pStyle w:val="Compact"/>
      </w:pPr>
      <w:r>
        <w:t xml:space="preserve">Prevenir o contener daños inmediatos y utilizar la reserva aprobada cuando sea necesario.</w:t>
      </w:r>
    </w:p>
    <w:p>
      <w:pPr>
        <w:numPr>
          <w:ilvl w:val="0"/>
          <w:numId w:val="1555"/>
        </w:numPr>
        <w:pStyle w:val="Compact"/>
      </w:pPr>
      <w:r>
        <w:t xml:space="preserve">Preservar entradas, salidas, avisos, herramientas, versiones, registros, decisiones y contexto relevantes.</w:t>
      </w:r>
    </w:p>
    <w:p>
      <w:pPr>
        <w:numPr>
          <w:ilvl w:val="0"/>
          <w:numId w:val="1555"/>
        </w:numPr>
        <w:pStyle w:val="Compact"/>
      </w:pPr>
      <w:r>
        <w:t xml:space="preserve">Aplicar el proceso alternativo o manual aprobado.</w:t>
      </w:r>
    </w:p>
    <w:p>
      <w:pPr>
        <w:numPr>
          <w:ilvl w:val="0"/>
          <w:numId w:val="1555"/>
        </w:numPr>
        <w:pStyle w:val="Compact"/>
      </w:pPr>
      <w:r>
        <w:t xml:space="preserve">Registrar la decisión del revisor, la evidencia, la razón de ser y la incertidumbre.</w:t>
      </w:r>
    </w:p>
    <w:p>
      <w:pPr>
        <w:numPr>
          <w:ilvl w:val="0"/>
          <w:numId w:val="1555"/>
        </w:numPr>
        <w:pStyle w:val="Compact"/>
      </w:pPr>
      <w:r>
        <w:t xml:space="preserve">Notificar a las personas afectadas o a las funciones responsables cuando sea necesario.</w:t>
      </w:r>
    </w:p>
    <w:p>
      <w:pPr>
        <w:numPr>
          <w:ilvl w:val="0"/>
          <w:numId w:val="1555"/>
        </w:numPr>
        <w:pStyle w:val="Compact"/>
      </w:pPr>
      <w:r>
        <w:t xml:space="preserve">Acelerar cuestiones materiales, repetidas, sistémicas, jurídicas, de seguridad, de derechos o de seguridad.</w:t>
      </w:r>
    </w:p>
    <w:p>
      <w:pPr>
        <w:numPr>
          <w:ilvl w:val="0"/>
          <w:numId w:val="1555"/>
        </w:numPr>
        <w:pStyle w:val="Compact"/>
      </w:pPr>
      <w:r>
        <w:t xml:space="preserve">Incidente de activación, riesgo, cambio, proveedor, notificación o procesos de acción correctiva cuando sea necesario.</w:t>
      </w:r>
    </w:p>
    <w:p>
      <w:pPr>
        <w:numPr>
          <w:ilvl w:val="0"/>
          <w:numId w:val="1555"/>
        </w:numPr>
        <w:pStyle w:val="Compact"/>
      </w:pPr>
      <w:r>
        <w:t xml:space="preserve">Validar la rehabilitación y restauración antes de que se reanude la operación normal.</w:t>
      </w:r>
    </w:p>
    <w:p>
      <w:pPr>
        <w:numPr>
          <w:ilvl w:val="0"/>
          <w:numId w:val="1555"/>
        </w:numPr>
        <w:pStyle w:val="Compact"/>
      </w:pPr>
      <w:r>
        <w:t xml:space="preserve">Comunicar los resultados y la experiencia adquirida.</w:t>
      </w:r>
    </w:p>
    <w:bookmarkEnd w:id="1572"/>
    <w:bookmarkStart w:id="1573" w:name="validación"/>
    <w:p>
      <w:pPr>
        <w:pStyle w:val="Heading2"/>
      </w:pPr>
      <w:r>
        <w:rPr>
          <w:rStyle w:val="SectionNumber"/>
        </w:rPr>
        <w:t xml:space="preserve">2.159</w:t>
      </w:r>
      <w:r>
        <w:tab/>
      </w:r>
      <w:r>
        <w:t xml:space="preserve">11. Validación</w:t>
      </w:r>
    </w:p>
    <w:p>
      <w:pPr>
        <w:pStyle w:val="FirstParagraph"/>
      </w:pPr>
      <w:r>
        <w:t xml:space="preserve">Ensayo:</w:t>
      </w:r>
    </w:p>
    <w:p>
      <w:pPr>
        <w:numPr>
          <w:ilvl w:val="0"/>
          <w:numId w:val="1556"/>
        </w:numPr>
        <w:pStyle w:val="Compact"/>
      </w:pPr>
      <w:r>
        <w:t xml:space="preserve">la comprensión por parte del revisor de la finalidad y las limitaciones del sistema;</w:t>
      </w:r>
    </w:p>
    <w:p>
      <w:pPr>
        <w:numPr>
          <w:ilvl w:val="0"/>
          <w:numId w:val="1556"/>
        </w:numPr>
        <w:pStyle w:val="Compact"/>
      </w:pPr>
      <w:r>
        <w:t xml:space="preserve">acceso a la información requerida;</w:t>
      </w:r>
    </w:p>
    <w:p>
      <w:pPr>
        <w:numPr>
          <w:ilvl w:val="0"/>
          <w:numId w:val="1556"/>
        </w:numPr>
        <w:pStyle w:val="Compact"/>
      </w:pPr>
      <w:r>
        <w:t xml:space="preserve">autoridad para ignorar, anular, interrumpir, detener e intensificar;</w:t>
      </w:r>
    </w:p>
    <w:p>
      <w:pPr>
        <w:numPr>
          <w:ilvl w:val="0"/>
          <w:numId w:val="1556"/>
        </w:numPr>
        <w:pStyle w:val="Compact"/>
      </w:pPr>
      <w:r>
        <w:t xml:space="preserve">la eficacia técnica de los mecanismos de anulación y detención;</w:t>
      </w:r>
    </w:p>
    <w:p>
      <w:pPr>
        <w:numPr>
          <w:ilvl w:val="0"/>
          <w:numId w:val="1556"/>
        </w:numPr>
        <w:pStyle w:val="Compact"/>
      </w:pPr>
      <w:r>
        <w:t xml:space="preserve">la recuperación manual y la continuidad;</w:t>
      </w:r>
    </w:p>
    <w:p>
      <w:pPr>
        <w:numPr>
          <w:ilvl w:val="0"/>
          <w:numId w:val="1556"/>
        </w:numPr>
        <w:pStyle w:val="Compact"/>
      </w:pPr>
      <w:r>
        <w:t xml:space="preserve">carga de trabajo, personal, fatiga y tiempo de respuesta;</w:t>
      </w:r>
    </w:p>
    <w:p>
      <w:pPr>
        <w:numPr>
          <w:ilvl w:val="0"/>
          <w:numId w:val="1556"/>
        </w:numPr>
        <w:pStyle w:val="Compact"/>
      </w:pPr>
      <w:r>
        <w:t xml:space="preserve">resistencia al sesgo de automatización y a la presión de gestión;</w:t>
      </w:r>
    </w:p>
    <w:p>
      <w:pPr>
        <w:numPr>
          <w:ilvl w:val="0"/>
          <w:numId w:val="1556"/>
        </w:numPr>
        <w:pStyle w:val="Compact"/>
      </w:pPr>
      <w:r>
        <w:t xml:space="preserve">apoyo a la lengua y la accesibilidad;</w:t>
      </w:r>
    </w:p>
    <w:p>
      <w:pPr>
        <w:numPr>
          <w:ilvl w:val="0"/>
          <w:numId w:val="1556"/>
        </w:numPr>
        <w:pStyle w:val="Compact"/>
      </w:pPr>
      <w:r>
        <w:t xml:space="preserve">detección de condiciones anormales, uso indebido, deriva e incertidumbre;</w:t>
      </w:r>
    </w:p>
    <w:p>
      <w:pPr>
        <w:numPr>
          <w:ilvl w:val="0"/>
          <w:numId w:val="1556"/>
        </w:numPr>
        <w:pStyle w:val="Compact"/>
      </w:pPr>
      <w:r>
        <w:t xml:space="preserve">intensificación y eficacia de la respuesta a los incidentes;</w:t>
      </w:r>
    </w:p>
    <w:p>
      <w:pPr>
        <w:numPr>
          <w:ilvl w:val="0"/>
          <w:numId w:val="1556"/>
        </w:numPr>
        <w:pStyle w:val="Compact"/>
      </w:pPr>
      <w:r>
        <w:t xml:space="preserve">creación de pruebas y recuperabilidad.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 de ensayo</w:t>
            </w:r>
          </w:p>
        </w:tc>
        <w:tc>
          <w:tcPr/>
          <w:p>
            <w:pPr>
              <w:pStyle w:val="Compact"/>
              <w:jc w:val="left"/>
            </w:pPr>
            <w:r>
              <w:t xml:space="preserve">Criterio de aceptación</w:t>
            </w:r>
          </w:p>
        </w:tc>
        <w:tc>
          <w:tcPr/>
          <w:p>
            <w:pPr>
              <w:pStyle w:val="Compact"/>
              <w:jc w:val="left"/>
            </w:pPr>
            <w:r>
              <w:t xml:space="preserve">Resultado</w:t>
            </w:r>
          </w:p>
        </w:tc>
        <w:tc>
          <w:tcPr/>
          <w:p>
            <w:pPr>
              <w:pStyle w:val="Compact"/>
              <w:jc w:val="left"/>
            </w:pPr>
            <w:r>
              <w:t xml:space="preserve">Defecto</w:t>
            </w:r>
          </w:p>
        </w:tc>
        <w:tc>
          <w:tcPr/>
          <w:p>
            <w:pPr>
              <w:pStyle w:val="Compact"/>
              <w:jc w:val="left"/>
            </w:pPr>
            <w:r>
              <w:t xml:space="preserve">Propietario</w:t>
            </w:r>
          </w:p>
        </w:tc>
        <w:tc>
          <w:tcPr/>
          <w:p>
            <w:pPr>
              <w:pStyle w:val="Compact"/>
              <w:jc w:val="left"/>
            </w:pPr>
            <w:r>
              <w:t xml:space="preserve">Pruebas de reprueba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73"/>
    <w:bookmarkStart w:id="1574" w:name="vigilancia"/>
    <w:p>
      <w:pPr>
        <w:pStyle w:val="Heading2"/>
      </w:pPr>
      <w:r>
        <w:rPr>
          <w:rStyle w:val="SectionNumber"/>
        </w:rPr>
        <w:t xml:space="preserve">2.160</w:t>
      </w:r>
      <w:r>
        <w:tab/>
      </w:r>
      <w:r>
        <w:t xml:space="preserve">12. Vigilancia</w:t>
      </w:r>
    </w:p>
    <w:p>
      <w:pPr>
        <w:pStyle w:val="FirstParagraph"/>
      </w:pPr>
      <w:r>
        <w:t xml:space="preserve">Pista:</w:t>
      </w:r>
    </w:p>
    <w:p>
      <w:pPr>
        <w:numPr>
          <w:ilvl w:val="0"/>
          <w:numId w:val="1557"/>
        </w:numPr>
        <w:pStyle w:val="Compact"/>
      </w:pPr>
      <w:r>
        <w:t xml:space="preserve">las tasas de aceptación, anulación, corrección e inversión;</w:t>
      </w:r>
    </w:p>
    <w:p>
      <w:pPr>
        <w:numPr>
          <w:ilvl w:val="0"/>
          <w:numId w:val="1557"/>
        </w:numPr>
        <w:pStyle w:val="Compact"/>
      </w:pPr>
      <w:r>
        <w:t xml:space="preserve">desacuerdo de los examinadores y resultados del segundo examen;</w:t>
      </w:r>
    </w:p>
    <w:p>
      <w:pPr>
        <w:numPr>
          <w:ilvl w:val="0"/>
          <w:numId w:val="1557"/>
        </w:numPr>
        <w:pStyle w:val="Compact"/>
      </w:pPr>
      <w:r>
        <w:t xml:space="preserve">tiempo de revisión e intensificación;</w:t>
      </w:r>
    </w:p>
    <w:p>
      <w:pPr>
        <w:numPr>
          <w:ilvl w:val="0"/>
          <w:numId w:val="1557"/>
        </w:numPr>
        <w:pStyle w:val="Compact"/>
      </w:pPr>
      <w:r>
        <w:t xml:space="preserve">las tasas de dependencia inusualmente altas o las bajas tasas de desafío;</w:t>
      </w:r>
    </w:p>
    <w:p>
      <w:pPr>
        <w:numPr>
          <w:ilvl w:val="0"/>
          <w:numId w:val="1557"/>
        </w:numPr>
        <w:pStyle w:val="Compact"/>
      </w:pPr>
      <w:r>
        <w:t xml:space="preserve">defectos de calidad, falsos positivos, falsos negativos y abstenciones;</w:t>
      </w:r>
    </w:p>
    <w:p>
      <w:pPr>
        <w:numPr>
          <w:ilvl w:val="0"/>
          <w:numId w:val="1557"/>
        </w:numPr>
        <w:pStyle w:val="Compact"/>
      </w:pPr>
      <w:r>
        <w:t xml:space="preserve">subgrupo, idioma, discapacidad y diferencias de accesibilidad;</w:t>
      </w:r>
    </w:p>
    <w:p>
      <w:pPr>
        <w:numPr>
          <w:ilvl w:val="0"/>
          <w:numId w:val="1557"/>
        </w:numPr>
        <w:pStyle w:val="Compact"/>
      </w:pPr>
      <w:r>
        <w:t xml:space="preserve">quejas, apelaciones, recursos y resultados de las personas afectadas;</w:t>
      </w:r>
    </w:p>
    <w:p>
      <w:pPr>
        <w:numPr>
          <w:ilvl w:val="0"/>
          <w:numId w:val="1557"/>
        </w:numPr>
        <w:pStyle w:val="Compact"/>
      </w:pPr>
      <w:r>
        <w:t xml:space="preserve">carga de trabajo del examinador, fatiga, rotación de personal y deficiencias de personal;</w:t>
      </w:r>
    </w:p>
    <w:p>
      <w:pPr>
        <w:numPr>
          <w:ilvl w:val="0"/>
          <w:numId w:val="1557"/>
        </w:numPr>
        <w:pStyle w:val="Compact"/>
      </w:pPr>
      <w:r>
        <w:t xml:space="preserve">formación y nivel de competencia;</w:t>
      </w:r>
    </w:p>
    <w:p>
      <w:pPr>
        <w:numPr>
          <w:ilvl w:val="0"/>
          <w:numId w:val="1557"/>
        </w:numPr>
        <w:pStyle w:val="Compact"/>
      </w:pPr>
      <w:r>
        <w:t xml:space="preserve">intervenciones fallidas, detener las fallas y las fallas de reserva;</w:t>
      </w:r>
    </w:p>
    <w:p>
      <w:pPr>
        <w:numPr>
          <w:ilvl w:val="0"/>
          <w:numId w:val="1557"/>
        </w:numPr>
        <w:pStyle w:val="Compact"/>
      </w:pPr>
      <w:r>
        <w:t xml:space="preserve">repetir las cuestiones tras la adopción de medidas correctivas.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Indicador</w:t>
            </w:r>
          </w:p>
        </w:tc>
        <w:tc>
          <w:tcPr/>
          <w:p>
            <w:pPr>
              <w:pStyle w:val="Compact"/>
              <w:jc w:val="left"/>
            </w:pPr>
            <w:r>
              <w:t xml:space="preserve">Umbral</w:t>
            </w:r>
          </w:p>
        </w:tc>
        <w:tc>
          <w:tcPr/>
          <w:p>
            <w:pPr>
              <w:pStyle w:val="Compact"/>
              <w:jc w:val="left"/>
            </w:pPr>
            <w:r>
              <w:t xml:space="preserve">Fuente</w:t>
            </w:r>
          </w:p>
        </w:tc>
        <w:tc>
          <w:tcPr/>
          <w:p>
            <w:pPr>
              <w:pStyle w:val="Compact"/>
              <w:jc w:val="left"/>
            </w:pPr>
            <w:r>
              <w:t xml:space="preserve">Frecuencia</w:t>
            </w:r>
          </w:p>
        </w:tc>
        <w:tc>
          <w:tcPr/>
          <w:p>
            <w:pPr>
              <w:pStyle w:val="Compact"/>
              <w:jc w:val="left"/>
            </w:pPr>
            <w:r>
              <w:t xml:space="preserve">Propietario</w:t>
            </w:r>
          </w:p>
        </w:tc>
        <w:tc>
          <w:tcPr/>
          <w:p>
            <w:pPr>
              <w:pStyle w:val="Compact"/>
              <w:jc w:val="left"/>
            </w:pPr>
            <w:r>
              <w:t xml:space="preserve">Medidas necesarias</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74"/>
    <w:bookmarkStart w:id="1575" w:name="fracaso-y-retroceso"/>
    <w:p>
      <w:pPr>
        <w:pStyle w:val="Heading2"/>
      </w:pPr>
      <w:r>
        <w:rPr>
          <w:rStyle w:val="SectionNumber"/>
        </w:rPr>
        <w:t xml:space="preserve">2.161</w:t>
      </w:r>
      <w:r>
        <w:tab/>
      </w:r>
      <w:r>
        <w:t xml:space="preserve">13. Fracaso y retroceso</w:t>
      </w:r>
    </w:p>
    <w:p>
      <w:pPr>
        <w:pStyle w:val="FirstParagraph"/>
      </w:pPr>
      <w:r>
        <w:t xml:space="preserve">Documento:</w:t>
      </w:r>
    </w:p>
    <w:p>
      <w:pPr>
        <w:numPr>
          <w:ilvl w:val="0"/>
          <w:numId w:val="1558"/>
        </w:numPr>
        <w:pStyle w:val="Compact"/>
      </w:pPr>
      <w:r>
        <w:t xml:space="preserve">criterios de suspensión y parada seguras;</w:t>
      </w:r>
    </w:p>
    <w:p>
      <w:pPr>
        <w:numPr>
          <w:ilvl w:val="0"/>
          <w:numId w:val="1558"/>
        </w:numPr>
        <w:pStyle w:val="Compact"/>
      </w:pPr>
      <w:r>
        <w:t xml:space="preserve">proceso manual o alternativo;</w:t>
      </w:r>
    </w:p>
    <w:p>
      <w:pPr>
        <w:numPr>
          <w:ilvl w:val="0"/>
          <w:numId w:val="1558"/>
        </w:numPr>
        <w:pStyle w:val="Compact"/>
      </w:pPr>
      <w:r>
        <w:t xml:space="preserve">contactos de emergencia y especializados;</w:t>
      </w:r>
    </w:p>
    <w:p>
      <w:pPr>
        <w:numPr>
          <w:ilvl w:val="0"/>
          <w:numId w:val="1558"/>
        </w:numPr>
        <w:pStyle w:val="Compact"/>
      </w:pPr>
      <w:r>
        <w:t xml:space="preserve">los acuerdos de continuidad, recuperación y restauración;</w:t>
      </w:r>
    </w:p>
    <w:p>
      <w:pPr>
        <w:numPr>
          <w:ilvl w:val="0"/>
          <w:numId w:val="1558"/>
        </w:numPr>
        <w:pStyle w:val="Compact"/>
      </w:pPr>
      <w:r>
        <w:t xml:space="preserve">la preservación de pruebas;</w:t>
      </w:r>
    </w:p>
    <w:p>
      <w:pPr>
        <w:numPr>
          <w:ilvl w:val="0"/>
          <w:numId w:val="1558"/>
        </w:numPr>
        <w:pStyle w:val="Compact"/>
      </w:pPr>
      <w:r>
        <w:t xml:space="preserve">comunicación a las personas, clientes, trabajadores o autoridades afectados;</w:t>
      </w:r>
    </w:p>
    <w:p>
      <w:pPr>
        <w:numPr>
          <w:ilvl w:val="0"/>
          <w:numId w:val="1558"/>
        </w:numPr>
        <w:pStyle w:val="Compact"/>
      </w:pPr>
      <w:r>
        <w:t xml:space="preserve">restricciones durante una operación degradada;</w:t>
      </w:r>
    </w:p>
    <w:p>
      <w:pPr>
        <w:numPr>
          <w:ilvl w:val="0"/>
          <w:numId w:val="1558"/>
        </w:numPr>
        <w:pStyle w:val="Compact"/>
      </w:pPr>
      <w:r>
        <w:t xml:space="preserve">aprobación y validación necesarias antes de la restauración.</w:t>
      </w:r>
    </w:p>
    <w:bookmarkEnd w:id="1575"/>
    <w:bookmarkStart w:id="1576" w:name="decisión-4"/>
    <w:p>
      <w:pPr>
        <w:pStyle w:val="Heading2"/>
      </w:pPr>
      <w:r>
        <w:rPr>
          <w:rStyle w:val="SectionNumber"/>
        </w:rPr>
        <w:t xml:space="preserve">2.162</w:t>
      </w:r>
      <w:r>
        <w:tab/>
      </w:r>
      <w:r>
        <w:t xml:space="preserve">14. Decisión</w:t>
      </w:r>
    </w:p>
    <w:p>
      <w:pPr>
        <w:numPr>
          <w:ilvl w:val="0"/>
          <w:numId w:val="1559"/>
        </w:numPr>
        <w:pStyle w:val="Compact"/>
      </w:pPr>
      <w:r>
        <w:t xml:space="preserve">☐ Diseño de supervisión y modelo operativo aprobado</w:t>
      </w:r>
    </w:p>
    <w:p>
      <w:pPr>
        <w:numPr>
          <w:ilvl w:val="0"/>
          <w:numId w:val="1559"/>
        </w:numPr>
        <w:pStyle w:val="Compact"/>
      </w:pPr>
      <w:r>
        <w:t xml:space="preserve">☐ Aprobado con condiciones</w:t>
      </w:r>
    </w:p>
    <w:p>
      <w:pPr>
        <w:numPr>
          <w:ilvl w:val="0"/>
          <w:numId w:val="1559"/>
        </w:numPr>
        <w:pStyle w:val="Compact"/>
      </w:pPr>
      <w:r>
        <w:t xml:space="preserve">☐ Piloto restringido solamente</w:t>
      </w:r>
    </w:p>
    <w:p>
      <w:pPr>
        <w:numPr>
          <w:ilvl w:val="0"/>
          <w:numId w:val="1559"/>
        </w:numPr>
        <w:pStyle w:val="Compact"/>
      </w:pPr>
      <w:r>
        <w:t xml:space="preserve">☐ Remediación y pruebas necesarias</w:t>
      </w:r>
    </w:p>
    <w:p>
      <w:pPr>
        <w:numPr>
          <w:ilvl w:val="0"/>
          <w:numId w:val="1559"/>
        </w:numPr>
        <w:pStyle w:val="Compact"/>
      </w:pPr>
      <w:r>
        <w:t xml:space="preserve">☐ Despliegue bloqueado o suspendido</w:t>
      </w:r>
    </w:p>
    <w:p>
      <w:pPr>
        <w:numPr>
          <w:ilvl w:val="0"/>
          <w:numId w:val="1559"/>
        </w:numPr>
        <w:pStyle w:val="Compact"/>
      </w:pPr>
      <w:r>
        <w:t xml:space="preserve">☐ Se requiere un examen jurídico o especializado cualificado</w:t>
      </w:r>
    </w:p>
    <w:p>
      <w:pPr>
        <w:pStyle w:val="FirstParagraph"/>
      </w:pPr>
      <w:r>
        <w:t xml:space="preserve">** Justificación de la decisión:</w:t>
      </w:r>
      <w:r>
        <w:rPr>
          <w:bCs/>
          <w:b/>
        </w:rPr>
        <w:t xml:space="preserve"> </w:t>
      </w:r>
      <w:r>
        <w:t xml:space="preserve"> </w:t>
      </w:r>
      <w:r>
        <w:t xml:space="preserve">Limitaciones de los recursos:</w:t>
      </w:r>
      <w:r>
        <w:rPr>
          <w:bCs/>
          <w:b/>
        </w:rPr>
        <w:t xml:space="preserve"> </w:t>
      </w:r>
      <w:r>
        <w:t xml:space="preserve">Condiciones y restricciones:</w:t>
      </w:r>
      <w:r>
        <w:rPr>
          <w:bCs/>
          <w:b/>
        </w:rPr>
        <w:t xml:space="preserve"> </w:t>
      </w:r>
      <w:r>
        <w:t xml:space="preserve">Acción abierta y fecha de vencimiento:**</w:t>
      </w:r>
    </w:p>
    <w:bookmarkEnd w:id="1576"/>
    <w:bookmarkStart w:id="1577" w:name="detonadores-de-la-revisión-4"/>
    <w:p>
      <w:pPr>
        <w:pStyle w:val="Heading2"/>
      </w:pPr>
      <w:r>
        <w:rPr>
          <w:rStyle w:val="SectionNumber"/>
        </w:rPr>
        <w:t xml:space="preserve">2.163</w:t>
      </w:r>
      <w:r>
        <w:tab/>
      </w:r>
      <w:r>
        <w:t xml:space="preserve">15. Detonadores de la revisión</w:t>
      </w:r>
    </w:p>
    <w:p>
      <w:pPr>
        <w:pStyle w:val="FirstParagraph"/>
      </w:pPr>
      <w:r>
        <w:t xml:space="preserve">Volver a evaluar después de:</w:t>
      </w:r>
    </w:p>
    <w:p>
      <w:pPr>
        <w:numPr>
          <w:ilvl w:val="0"/>
          <w:numId w:val="1560"/>
        </w:numPr>
        <w:pStyle w:val="Compact"/>
      </w:pPr>
      <w:r>
        <w:t xml:space="preserve">modelo, datos, rapidez, herramienta, agente, interfaz, umbral o cambio de flujo de trabajo;</w:t>
      </w:r>
    </w:p>
    <w:p>
      <w:pPr>
        <w:numPr>
          <w:ilvl w:val="0"/>
          <w:numId w:val="1560"/>
        </w:numPr>
        <w:pStyle w:val="Compact"/>
      </w:pPr>
      <w:r>
        <w:t xml:space="preserve">el cambio de propósito, población, jurisdicción o automatización;</w:t>
      </w:r>
    </w:p>
    <w:p>
      <w:pPr>
        <w:numPr>
          <w:ilvl w:val="0"/>
          <w:numId w:val="1560"/>
        </w:numPr>
        <w:pStyle w:val="Compact"/>
      </w:pPr>
      <w:r>
        <w:t xml:space="preserve">instrucción del proveedor o cambio del proveedor;</w:t>
      </w:r>
    </w:p>
    <w:p>
      <w:pPr>
        <w:numPr>
          <w:ilvl w:val="0"/>
          <w:numId w:val="1560"/>
        </w:numPr>
        <w:pStyle w:val="Compact"/>
      </w:pPr>
      <w:r>
        <w:t xml:space="preserve">personal, carga de trabajo, competencia, incentivo o cambio de autoridad;</w:t>
      </w:r>
    </w:p>
    <w:p>
      <w:pPr>
        <w:numPr>
          <w:ilvl w:val="0"/>
          <w:numId w:val="1560"/>
        </w:numPr>
        <w:pStyle w:val="Compact"/>
      </w:pPr>
      <w:r>
        <w:t xml:space="preserve">incidente, queja, apelación, resultado negativo o intervención fallida;</w:t>
      </w:r>
    </w:p>
    <w:p>
      <w:pPr>
        <w:numPr>
          <w:ilvl w:val="0"/>
          <w:numId w:val="1560"/>
        </w:numPr>
        <w:pStyle w:val="Compact"/>
      </w:pPr>
      <w:r>
        <w:t xml:space="preserve">rendimiento, sesgo, lenguaje, accesibilidad o deriva de seguridad;</w:t>
      </w:r>
    </w:p>
    <w:p>
      <w:pPr>
        <w:numPr>
          <w:ilvl w:val="0"/>
          <w:numId w:val="1560"/>
        </w:numPr>
        <w:pStyle w:val="Compact"/>
      </w:pPr>
      <w:r>
        <w:t xml:space="preserve">modificación sustancial, reclasificación o cambio legal.</w:t>
      </w:r>
    </w:p>
    <w:bookmarkEnd w:id="1577"/>
    <w:bookmarkStart w:id="1578" w:name="X1fb5f0bcdbde6ea66665ab14bb97196c277fa6c"/>
    <w:p>
      <w:pPr>
        <w:pStyle w:val="Heading2"/>
      </w:pPr>
      <w:r>
        <w:rPr>
          <w:rStyle w:val="SectionNumber"/>
        </w:rPr>
        <w:t xml:space="preserve">2.164</w:t>
      </w:r>
      <w:r>
        <w:tab/>
      </w:r>
      <w:r>
        <w:t xml:space="preserve">Ejemplo de servicios de viajes de GlobalWay</w:t>
      </w:r>
    </w:p>
    <w:p>
      <w:pPr>
        <w:pStyle w:val="FirstParagraph"/>
      </w:pPr>
      <w:r>
        <w:t xml:space="preserve">El asistente de disrupción de viajeros de GlobalWay recomienda rereservar y reembolsar acciones. El plan de supervisión requiere un consultor de viajes para confirmar cambios sensibles a la seguridad y todas las acciones financieras externas. Los consultores reciben contexto de itinerario, reglas de proveedores, advertencias de incertidumbre y acciones de herramientas previas. El monitoreo detecta tasas de aceptación inusualmente altas durante el tiempo severo. GlobalWay reduce la carga de trabajo, agrega revisión independiente para acciones de alto impacto, reentrena al personal y bloquea la ejecución automática hasta que las pruebas de anulación y escalada pasen.</w:t>
      </w:r>
    </w:p>
    <w:bookmarkEnd w:id="1578"/>
    <w:bookmarkStart w:id="1579" w:name="homologación-7"/>
    <w:p>
      <w:pPr>
        <w:pStyle w:val="Heading2"/>
      </w:pPr>
      <w:r>
        <w:rPr>
          <w:rStyle w:val="SectionNumber"/>
        </w:rPr>
        <w:t xml:space="preserve">2.165</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Proveedor/propietario técnico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Empleador/propietario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 la supervisión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Riesgo/Privacidad/Seguridad/HR,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 </w:t>
      </w:r>
      <w:r>
        <w:t xml:space="preserve">Limitaciones de los recursos:</w:t>
      </w:r>
      <w:r>
        <w:rPr>
          <w:bCs/>
          <w:b/>
        </w:rPr>
        <w:t xml:space="preserve"> </w:t>
      </w:r>
      <w:r>
        <w:t xml:space="preserve">Pedido/fecha de la próxima revisión:</w:t>
      </w:r>
      <w:r>
        <w:rPr>
          <w:bCs/>
          <w:b/>
        </w:rPr>
        <w:t xml:space="preserve"> </w:t>
      </w:r>
      <w:r>
        <w:t xml:space="preserve"> </w:t>
      </w:r>
      <w:r>
        <w:t xml:space="preserve">Versión del plan:**</w:t>
      </w:r>
    </w:p>
    <w:bookmarkEnd w:id="1579"/>
    <w:bookmarkStart w:id="1580" w:name="referencias-jurídicas-primarias-116"/>
    <w:p>
      <w:pPr>
        <w:pStyle w:val="Heading2"/>
      </w:pPr>
      <w:r>
        <w:rPr>
          <w:rStyle w:val="SectionNumber"/>
        </w:rPr>
        <w:t xml:space="preserve">2.166</w:t>
      </w:r>
      <w:r>
        <w:tab/>
      </w:r>
      <w:r>
        <w:t xml:space="preserve">Referencias jurídicas primarias</w:t>
      </w:r>
    </w:p>
    <w:p>
      <w:pPr>
        <w:numPr>
          <w:ilvl w:val="0"/>
          <w:numId w:val="1561"/>
        </w:numPr>
        <w:pStyle w:val="Compact"/>
      </w:pPr>
      <w:r>
        <w:t xml:space="preserve">Reglamento (UE) 2024/1689, modificado: artículo 14 y disposiciones aplicables sobre el proveedor, el despliegue, la gestión de riesgos, la transparencia, la tala, el seguimiento, los incidentes, las medidas correctoras y la autoridad.</w:t>
      </w:r>
    </w:p>
    <w:p>
      <w:pPr>
        <w:numPr>
          <w:ilvl w:val="0"/>
          <w:numId w:val="1561"/>
        </w:numPr>
        <w:pStyle w:val="Compact"/>
      </w:pPr>
      <w:r>
        <w:t xml:space="preserve">Reglamento (UE) 2026/1744, en su caso.</w:t>
      </w:r>
    </w:p>
    <w:p>
      <w:pPr>
        <w:numPr>
          <w:ilvl w:val="0"/>
          <w:numId w:val="1561"/>
        </w:numPr>
        <w:pStyle w:val="Compact"/>
      </w:pPr>
      <w:r>
        <w:t xml:space="preserve">Empleo aplicable, igualdad, accesibilidad, privacidad, seguridad, protección del consumidor y legislación sectorial.</w:t>
      </w:r>
    </w:p>
    <w:p>
      <w:pPr>
        <w:numPr>
          <w:ilvl w:val="0"/>
          <w:numId w:val="1561"/>
        </w:numPr>
        <w:pStyle w:val="Compact"/>
      </w:pPr>
      <w:r>
        <w:t xml:space="preserve">Los textos oficiales consolidados actuales y las instrucciones del proveedor controlan esta plantilla.</w:t>
      </w:r>
    </w:p>
    <w:bookmarkEnd w:id="1580"/>
    <w:bookmarkStart w:id="1581" w:name="Xc3eaf79c0f60a19e08009d9b0978c1ff8cfcd24"/>
    <w:p>
      <w:pPr>
        <w:pStyle w:val="Heading2"/>
      </w:pPr>
      <w:r>
        <w:rPr>
          <w:rStyle w:val="SectionNumber"/>
        </w:rPr>
        <w:t xml:space="preserve">2.167</w:t>
      </w:r>
      <w:r>
        <w:tab/>
      </w:r>
      <w:r>
        <w:t xml:space="preserve">Apéndice K — Índice de documentación técnica</w:t>
      </w:r>
    </w:p>
    <w:p>
      <w:pPr>
        <w:pStyle w:val="BlockText"/>
      </w:pPr>
      <w:r>
        <w:rPr>
          <w:bCs/>
          <w:b/>
        </w:rPr>
        <w:t xml:space="preserve">Estatus legal:</w:t>
      </w:r>
      <w:r>
        <w:t xml:space="preserve"> </w:t>
      </w:r>
      <w:r>
        <w:t xml:space="preserve">Maestro inglés corregido. Para los proveedores de sistemas de IA de alto riesgo, utilice este índice para apoyar la documentación del Artículo 11 y Anexo IV. Para otros actores o sistemas, utilícelo como evidencia de gobernanza y no lo represente como documentación legal del Anexo IV a menos que se aplique el desencadenante legal.</w:t>
      </w:r>
    </w:p>
    <w:bookmarkEnd w:id="1581"/>
    <w:bookmarkStart w:id="1582" w:name="finalidad-27"/>
    <w:p>
      <w:pPr>
        <w:pStyle w:val="Heading2"/>
      </w:pPr>
      <w:r>
        <w:rPr>
          <w:rStyle w:val="SectionNumber"/>
        </w:rPr>
        <w:t xml:space="preserve">2.168</w:t>
      </w:r>
      <w:r>
        <w:tab/>
      </w:r>
      <w:r>
        <w:t xml:space="preserve">Finalidad</w:t>
      </w:r>
    </w:p>
    <w:p>
      <w:pPr>
        <w:pStyle w:val="FirstParagraph"/>
      </w:pPr>
      <w:r>
        <w:t xml:space="preserve">Utilice este índice para organizar, controlar, conciliar y evidenciar la documentación técnica necesaria para explicar el diseño, desarrollo, datos, operación, pruebas, controles de riesgo, supervisión, monitoreo, cambios y estado de conformidad de un sistema de IA.</w:t>
      </w:r>
    </w:p>
    <w:p>
      <w:pPr>
        <w:pStyle w:val="BodyText"/>
      </w:pPr>
      <w:r>
        <w:t xml:space="preserve">El índice debe vincularse a la versión exacta de producción y actualizarse antes de su publicación, después del cambio de material y siempre que cambien los requisitos legales o de conformidad.</w:t>
      </w:r>
    </w:p>
    <w:bookmarkEnd w:id="1582"/>
    <w:bookmarkStart w:id="1583" w:name="aplicabilidad-y-control-de-documentos"/>
    <w:p>
      <w:pPr>
        <w:pStyle w:val="Heading2"/>
      </w:pPr>
      <w:r>
        <w:rPr>
          <w:rStyle w:val="SectionNumber"/>
        </w:rPr>
        <w:t xml:space="preserve">2.169</w:t>
      </w:r>
      <w:r>
        <w:tab/>
      </w:r>
      <w:r>
        <w:t xml:space="preserve">1. Aplicabilidad y control de documentos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Sistema/modelo</w:t>
            </w:r>
          </w:p>
        </w:tc>
        <w:tc>
          <w:tcPr/>
          <w:p>
            <w:pPr>
              <w:pStyle w:val="Compact"/>
              <w:jc w:val="left"/>
            </w:pPr>
            <w:r>
              <w:t xml:space="preserve">- No, no.</w:t>
            </w:r>
          </w:p>
        </w:tc>
      </w:tr>
      <w:tr>
        <w:tc>
          <w:tcPr/>
          <w:p>
            <w:pPr>
              <w:pStyle w:val="Compact"/>
              <w:jc w:val="left"/>
            </w:pPr>
            <w:r>
              <w:t xml:space="preserve">ID de inventario</w:t>
            </w:r>
          </w:p>
        </w:tc>
        <w:tc>
          <w:tcPr/>
          <w:p>
            <w:pPr>
              <w:pStyle w:val="Compact"/>
              <w:jc w:val="left"/>
            </w:pPr>
            <w:r>
              <w:t xml:space="preserve">- No, no.</w:t>
            </w:r>
          </w:p>
        </w:tc>
      </w:tr>
      <w:tr>
        <w:tc>
          <w:tcPr/>
          <w:p>
            <w:pPr>
              <w:pStyle w:val="Compact"/>
              <w:jc w:val="left"/>
            </w:pPr>
            <w:r>
              <w:t xml:space="preserve">Entidad jurídica y función de actor</w:t>
            </w:r>
          </w:p>
        </w:tc>
        <w:tc>
          <w:tcPr/>
          <w:p>
            <w:pPr>
              <w:pStyle w:val="Compact"/>
              <w:jc w:val="left"/>
            </w:pPr>
            <w:r>
              <w:t xml:space="preserve">- No, no.</w:t>
            </w:r>
          </w:p>
        </w:tc>
      </w:tr>
      <w:tr>
        <w:tc>
          <w:tcPr/>
          <w:p>
            <w:pPr>
              <w:pStyle w:val="Compact"/>
              <w:jc w:val="left"/>
            </w:pPr>
            <w:r>
              <w:t xml:space="preserve">Base jurídica de alto riesgo</w:t>
            </w:r>
          </w:p>
        </w:tc>
        <w:tc>
          <w:tcPr/>
          <w:p>
            <w:pPr>
              <w:pStyle w:val="Compact"/>
              <w:jc w:val="left"/>
            </w:pPr>
            <w:r>
              <w:t xml:space="preserve">- No, no.</w:t>
            </w:r>
          </w:p>
        </w:tc>
      </w:tr>
      <w:tr>
        <w:tc>
          <w:tcPr/>
          <w:p>
            <w:pPr>
              <w:pStyle w:val="Compact"/>
              <w:jc w:val="left"/>
            </w:pPr>
            <w:r>
              <w:t xml:space="preserve">Finalidad prevista</w:t>
            </w:r>
          </w:p>
        </w:tc>
        <w:tc>
          <w:tcPr/>
          <w:p>
            <w:pPr>
              <w:pStyle w:val="Compact"/>
              <w:jc w:val="left"/>
            </w:pPr>
            <w:r>
              <w:t xml:space="preserve">- No, no.</w:t>
            </w:r>
          </w:p>
        </w:tc>
      </w:tr>
      <w:tr>
        <w:tc>
          <w:tcPr/>
          <w:p>
            <w:pPr>
              <w:pStyle w:val="Compact"/>
              <w:jc w:val="left"/>
            </w:pPr>
            <w:r>
              <w:t xml:space="preserve">Versión de producción/configuración</w:t>
            </w:r>
          </w:p>
        </w:tc>
        <w:tc>
          <w:tcPr/>
          <w:p>
            <w:pPr>
              <w:pStyle w:val="Compact"/>
              <w:jc w:val="left"/>
            </w:pPr>
            <w:r>
              <w:t xml:space="preserve">- No, no.</w:t>
            </w:r>
          </w:p>
        </w:tc>
      </w:tr>
      <w:tr>
        <w:tc>
          <w:tcPr/>
          <w:p>
            <w:pPr>
              <w:pStyle w:val="Compact"/>
              <w:jc w:val="left"/>
            </w:pPr>
            <w:r>
              <w:t xml:space="preserve">Proveedor/vendor</w:t>
            </w:r>
          </w:p>
        </w:tc>
        <w:tc>
          <w:tcPr/>
          <w:p>
            <w:pPr>
              <w:pStyle w:val="Compact"/>
              <w:jc w:val="left"/>
            </w:pPr>
            <w:r>
              <w:t xml:space="preserve">- No, no.</w:t>
            </w:r>
          </w:p>
        </w:tc>
      </w:tr>
      <w:tr>
        <w:tc>
          <w:tcPr/>
          <w:p>
            <w:pPr>
              <w:pStyle w:val="Compact"/>
              <w:jc w:val="left"/>
            </w:pPr>
            <w:r>
              <w:t xml:space="preserve">¿Se aplica el anexo IV?</w:t>
            </w:r>
          </w:p>
        </w:tc>
        <w:tc>
          <w:tcPr/>
          <w:p>
            <w:pPr>
              <w:pStyle w:val="Compact"/>
              <w:jc w:val="left"/>
            </w:pPr>
            <w:r>
              <w:t xml:space="preserve">- No, no.</w:t>
            </w:r>
          </w:p>
        </w:tc>
      </w:tr>
      <w:tr>
        <w:tc>
          <w:tcPr/>
          <w:p>
            <w:pPr>
              <w:pStyle w:val="Compact"/>
              <w:jc w:val="left"/>
            </w:pPr>
            <w:r>
              <w:t xml:space="preserve">Ruta de conformidad aplicable</w:t>
            </w:r>
          </w:p>
        </w:tc>
        <w:tc>
          <w:tcPr/>
          <w:p>
            <w:pPr>
              <w:pStyle w:val="Compact"/>
              <w:jc w:val="left"/>
            </w:pPr>
            <w:r>
              <w:t xml:space="preserve">- No, no.</w:t>
            </w:r>
          </w:p>
        </w:tc>
      </w:tr>
      <w:tr>
        <w:tc>
          <w:tcPr/>
          <w:p>
            <w:pPr>
              <w:pStyle w:val="Compact"/>
              <w:jc w:val="left"/>
            </w:pPr>
            <w:r>
              <w:t xml:space="preserve">Fuente jurídica actual y fecha de aplicación</w:t>
            </w:r>
          </w:p>
        </w:tc>
        <w:tc>
          <w:tcPr/>
          <w:p>
            <w:pPr>
              <w:pStyle w:val="Compact"/>
              <w:jc w:val="left"/>
            </w:pPr>
            <w:r>
              <w:t xml:space="preserve">- No, no.</w:t>
            </w:r>
          </w:p>
        </w:tc>
      </w:tr>
      <w:tr>
        <w:tc>
          <w:tcPr/>
          <w:p>
            <w:pPr>
              <w:pStyle w:val="Compact"/>
              <w:jc w:val="left"/>
            </w:pPr>
            <w:r>
              <w:t xml:space="preserve">Propietario de la documentación</w:t>
            </w:r>
          </w:p>
        </w:tc>
        <w:tc>
          <w:tcPr/>
          <w:p>
            <w:pPr>
              <w:pStyle w:val="Compact"/>
              <w:jc w:val="left"/>
            </w:pPr>
            <w:r>
              <w:t xml:space="preserve">- No, no.</w:t>
            </w:r>
          </w:p>
        </w:tc>
      </w:tr>
      <w:tr>
        <w:tc>
          <w:tcPr/>
          <w:p>
            <w:pPr>
              <w:pStyle w:val="Compact"/>
              <w:jc w:val="left"/>
            </w:pPr>
            <w:r>
              <w:t xml:space="preserve">Depósito/sistema de registro</w:t>
            </w:r>
          </w:p>
        </w:tc>
        <w:tc>
          <w:tcPr/>
          <w:p>
            <w:pPr>
              <w:pStyle w:val="Compact"/>
              <w:jc w:val="left"/>
            </w:pPr>
            <w:r>
              <w:t xml:space="preserve">- No, no.</w:t>
            </w:r>
          </w:p>
        </w:tc>
      </w:tr>
      <w:tr>
        <w:tc>
          <w:tcPr/>
          <w:p>
            <w:pPr>
              <w:pStyle w:val="Compact"/>
              <w:jc w:val="left"/>
            </w:pPr>
            <w:r>
              <w:t xml:space="preserve">Índice y fecha de revisión</w:t>
            </w:r>
          </w:p>
        </w:tc>
        <w:tc>
          <w:tcPr/>
          <w:p>
            <w:pPr>
              <w:pStyle w:val="Compact"/>
              <w:jc w:val="left"/>
            </w:pPr>
            <w:r>
              <w:t xml:space="preserve">- No, no.</w:t>
            </w:r>
          </w:p>
        </w:tc>
      </w:tr>
    </w:tbl>
    <w:bookmarkEnd w:id="1583"/>
    <w:bookmarkStart w:id="1584" w:name="Xc751379f42563d7e7fcf2b64a7e0d31ebc61170"/>
    <w:p>
      <w:pPr>
        <w:pStyle w:val="Heading2"/>
      </w:pPr>
      <w:r>
        <w:rPr>
          <w:rStyle w:val="SectionNumber"/>
        </w:rPr>
        <w:t xml:space="preserve">2.170</w:t>
      </w:r>
      <w:r>
        <w:tab/>
      </w:r>
      <w:r>
        <w:t xml:space="preserve">2. El cruce peatonal del anexo IV, cuando proceda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Zona del anexo IV</w:t>
            </w:r>
          </w:p>
        </w:tc>
        <w:tc>
          <w:tcPr/>
          <w:p>
            <w:pPr>
              <w:pStyle w:val="Compact"/>
              <w:jc w:val="left"/>
            </w:pPr>
            <w:r>
              <w:t xml:space="preserve">Contenido exigido</w:t>
            </w:r>
          </w:p>
        </w:tc>
        <w:tc>
          <w:tcPr/>
          <w:p>
            <w:pPr>
              <w:pStyle w:val="Compact"/>
              <w:jc w:val="left"/>
            </w:pPr>
            <w:r>
              <w:t xml:space="preserve">Documento/referencia de pruebas</w:t>
            </w:r>
          </w:p>
        </w:tc>
        <w:tc>
          <w:tcPr/>
          <w:p>
            <w:pPr>
              <w:pStyle w:val="Compact"/>
              <w:jc w:val="left"/>
            </w:pPr>
            <w:r>
              <w:t xml:space="preserve">Propietario</w:t>
            </w:r>
          </w:p>
        </w:tc>
        <w:tc>
          <w:tcPr/>
          <w:p>
            <w:pPr>
              <w:pStyle w:val="Compact"/>
              <w:jc w:val="left"/>
            </w:pPr>
            <w:r>
              <w:t xml:space="preserve">Versión</w:t>
            </w:r>
          </w:p>
        </w:tc>
        <w:tc>
          <w:tcPr/>
          <w:p>
            <w:pPr>
              <w:pStyle w:val="Compact"/>
              <w:jc w:val="left"/>
            </w:pPr>
            <w:r>
              <w:t xml:space="preserve">Situación</w:t>
            </w:r>
          </w:p>
        </w:tc>
        <w:tc>
          <w:tcPr/>
          <w:p>
            <w:pPr>
              <w:pStyle w:val="Compact"/>
              <w:jc w:val="left"/>
            </w:pPr>
            <w:r>
              <w:t xml:space="preserve">Brecha/medida</w:t>
            </w:r>
          </w:p>
        </w:tc>
      </w:tr>
      <w:tr>
        <w:tc>
          <w:tcPr/>
          <w:p>
            <w:pPr>
              <w:pStyle w:val="Compact"/>
              <w:jc w:val="left"/>
            </w:pPr>
            <w:r>
              <w:t xml:space="preserve">Descripción general</w:t>
            </w:r>
          </w:p>
        </w:tc>
        <w:tc>
          <w:tcPr/>
          <w:p>
            <w:pPr>
              <w:pStyle w:val="Compact"/>
              <w:jc w:val="left"/>
            </w:pPr>
            <w:r>
              <w:t xml:space="preserve">Nombre del sistema, proveedor, versión, propósito previsto, usuarios, contexto operativo, interfaces, dependencias de hardware/software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Elementos del sistema y proceso de desarrollo</w:t>
            </w:r>
          </w:p>
        </w:tc>
        <w:tc>
          <w:tcPr/>
          <w:p>
            <w:pPr>
              <w:pStyle w:val="Compact"/>
              <w:jc w:val="left"/>
            </w:pPr>
            <w:r>
              <w:t xml:space="preserve">Decisiones de diseño, métodos, herramientas, entornos, arquitectura, componentes, recursos de computación, dependencias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Especificaciones de diseño e hipótesis</w:t>
            </w:r>
          </w:p>
        </w:tc>
        <w:tc>
          <w:tcPr/>
          <w:p>
            <w:pPr>
              <w:pStyle w:val="Compact"/>
              <w:jc w:val="left"/>
            </w:pPr>
            <w:r>
              <w:t xml:space="preserve">Opciones de diseño, supuestos, compensaciones, limitaciones, uso indebido previsible, usos prohibidos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Gobernanza de los datos y los datos</w:t>
            </w:r>
          </w:p>
        </w:tc>
        <w:tc>
          <w:tcPr/>
          <w:p>
            <w:pPr>
              <w:pStyle w:val="Compact"/>
              <w:jc w:val="left"/>
            </w:pPr>
            <w:r>
              <w:t xml:space="preserve">Fuentes, procedencia, recolección, preparación, anotación, calidad, representatividad, sesgo, linaje, retención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Capacitación, afinación y desarrollo</w:t>
            </w:r>
          </w:p>
        </w:tc>
        <w:tc>
          <w:tcPr/>
          <w:p>
            <w:pPr>
              <w:pStyle w:val="Compact"/>
              <w:jc w:val="left"/>
            </w:pPr>
            <w:r>
              <w:t xml:space="preserve">Métodos, parámetros, ejecuciones, recursos, versiones, reproducibilidad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Validación y pruebas</w:t>
            </w:r>
          </w:p>
        </w:tc>
        <w:tc>
          <w:tcPr/>
          <w:p>
            <w:pPr>
              <w:pStyle w:val="Compact"/>
              <w:jc w:val="left"/>
            </w:pPr>
            <w:r>
              <w:t xml:space="preserve">Métricas, escenarios, criterios de aceptación, subgrupo, lenguaje, accesibilidad, robustez, mal uso y pruebas de seguridad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Precisión, robustez, ciberseguridad y resiliencia</w:t>
            </w:r>
          </w:p>
        </w:tc>
        <w:tc>
          <w:tcPr/>
          <w:p>
            <w:pPr>
              <w:pStyle w:val="Compact"/>
              <w:jc w:val="left"/>
            </w:pPr>
            <w:r>
              <w:t xml:space="preserve">Rendimiento, incertidumbre, estrés, ataque, recuperación, continuidad y evidencia de retroceso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Supervisión humana</w:t>
            </w:r>
          </w:p>
        </w:tc>
        <w:tc>
          <w:tcPr/>
          <w:p>
            <w:pPr>
              <w:pStyle w:val="Compact"/>
              <w:jc w:val="left"/>
            </w:pPr>
            <w:r>
              <w:t xml:space="preserve">Funciones, competencia, información, autoridad, anulación, detención, retroceso, escalada y pruebas de prueba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Transparencia e instrucciones</w:t>
            </w:r>
          </w:p>
        </w:tc>
        <w:tc>
          <w:tcPr/>
          <w:p>
            <w:pPr>
              <w:pStyle w:val="Compact"/>
              <w:jc w:val="left"/>
            </w:pPr>
            <w:r>
              <w:t xml:space="preserve">Instrucciones de uso, limitaciones, avisos, divulgación, accesibilidad, idioma, información del usuario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Registro y mantenimiento de registros</w:t>
            </w:r>
          </w:p>
        </w:tc>
        <w:tc>
          <w:tcPr/>
          <w:p>
            <w:pPr>
              <w:pStyle w:val="Compact"/>
              <w:jc w:val="left"/>
            </w:pPr>
            <w:r>
              <w:t xml:space="preserve">Eventos capturados, retención, acceso, integridad, enlace de versiones y exportación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 de gestión de riesgos</w:t>
            </w:r>
          </w:p>
        </w:tc>
        <w:tc>
          <w:tcPr/>
          <w:p>
            <w:pPr>
              <w:pStyle w:val="Compact"/>
              <w:jc w:val="left"/>
            </w:pPr>
            <w:r>
              <w:t xml:space="preserve">Riesgos, escenarios, controles, riesgos residuales, decisiones y actualizaciones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 de gestión de la calidad</w:t>
            </w:r>
          </w:p>
        </w:tc>
        <w:tc>
          <w:tcPr/>
          <w:p>
            <w:pPr>
              <w:pStyle w:val="Compact"/>
              <w:jc w:val="left"/>
            </w:pPr>
            <w:r>
              <w:t xml:space="preserve">Políticas, procedimientos, propiedad, liberación, proveedor, incidentes, medidas correctivas y control de cambios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Cambios predeterminados e historial de versiones</w:t>
            </w:r>
          </w:p>
        </w:tc>
        <w:tc>
          <w:tcPr/>
          <w:p>
            <w:pPr>
              <w:pStyle w:val="Compact"/>
              <w:jc w:val="left"/>
            </w:pPr>
            <w:r>
              <w:t xml:space="preserve">Plan de cambio aprobado, historial de lanzamiento, modificaciones, reevaluación, reversión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Normas y conformidad</w:t>
            </w:r>
          </w:p>
        </w:tc>
        <w:tc>
          <w:tcPr/>
          <w:p>
            <w:pPr>
              <w:pStyle w:val="Compact"/>
              <w:jc w:val="left"/>
            </w:pPr>
            <w:r>
              <w:t xml:space="preserve">Normas armonizadas, especificaciones comunes, ruta de conformidad, registros de organismos notificados, declaraciones, registro, marcado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Seguimiento posterior a la comercialización</w:t>
            </w:r>
          </w:p>
        </w:tc>
        <w:tc>
          <w:tcPr/>
          <w:p>
            <w:pPr>
              <w:pStyle w:val="Compact"/>
              <w:jc w:val="left"/>
            </w:pPr>
            <w:r>
              <w:t xml:space="preserve">Plan de seguimiento, métricas, umbrales, quejas, incidentes, tendencias, medidas correctivas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Prueba del proveedor y los componentes</w:t>
            </w:r>
          </w:p>
        </w:tc>
        <w:tc>
          <w:tcPr/>
          <w:p>
            <w:pPr>
              <w:pStyle w:val="Compact"/>
              <w:jc w:val="left"/>
            </w:pPr>
            <w:r>
              <w:t xml:space="preserve">Contratos, tarjetas modelo/sistema, certificaciones, licencias, dependencias, avisos de cambio, pruebas de auditoría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Incidentes y medidas correctivas</w:t>
            </w:r>
          </w:p>
        </w:tc>
        <w:tc>
          <w:tcPr/>
          <w:p>
            <w:pPr>
              <w:pStyle w:val="Compact"/>
              <w:jc w:val="left"/>
            </w:pPr>
            <w:r>
              <w:t xml:space="preserve">Cronología de incidentes, notificación, contención, causa raíz, acción correctiva, validación, lecciones aprendidas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84"/>
    <w:bookmarkStart w:id="1585" w:name="Xd7cd32c134eac519b92225230e024cc4d55bb0f"/>
    <w:p>
      <w:pPr>
        <w:pStyle w:val="Heading2"/>
      </w:pPr>
      <w:r>
        <w:rPr>
          <w:rStyle w:val="SectionNumber"/>
        </w:rPr>
        <w:t xml:space="preserve">2.171</w:t>
      </w:r>
      <w:r>
        <w:tab/>
      </w:r>
      <w:r>
        <w:t xml:space="preserve">3. Apoyo a la documentación sobre gobernanza</w:t>
      </w:r>
    </w:p>
    <w:p>
      <w:pPr>
        <w:pStyle w:val="FirstParagraph"/>
      </w:pPr>
      <w:r>
        <w:t xml:space="preserve">Cuando proceda, Índice:</w:t>
      </w:r>
    </w:p>
    <w:p>
      <w:pPr>
        <w:numPr>
          <w:ilvl w:val="0"/>
          <w:numId w:val="1562"/>
        </w:numPr>
        <w:pStyle w:val="Compact"/>
      </w:pPr>
      <w:r>
        <w:t xml:space="preserve">aplicabilidad, función, prácticas prohibidas y evaluaciones de alto riesgo;</w:t>
      </w:r>
    </w:p>
    <w:p>
      <w:pPr>
        <w:numPr>
          <w:ilvl w:val="0"/>
          <w:numId w:val="1562"/>
        </w:numPr>
        <w:pStyle w:val="Compact"/>
      </w:pPr>
      <w:r>
        <w:t xml:space="preserve">FRIA, DPIA, gobernanza de los datos, seguridad, proveedores y evaluaciones de riesgos;</w:t>
      </w:r>
    </w:p>
    <w:p>
      <w:pPr>
        <w:numPr>
          <w:ilvl w:val="0"/>
          <w:numId w:val="1562"/>
        </w:numPr>
        <w:pStyle w:val="Compact"/>
      </w:pPr>
      <w:r>
        <w:t xml:space="preserve">los registros de control y pruebas;</w:t>
      </w:r>
    </w:p>
    <w:p>
      <w:pPr>
        <w:numPr>
          <w:ilvl w:val="0"/>
          <w:numId w:val="1562"/>
        </w:numPr>
        <w:pStyle w:val="Compact"/>
      </w:pPr>
      <w:r>
        <w:t xml:space="preserve">liberación, riesgo residual, excepción y aprobación ejecutiva;</w:t>
      </w:r>
    </w:p>
    <w:p>
      <w:pPr>
        <w:numPr>
          <w:ilvl w:val="0"/>
          <w:numId w:val="1562"/>
        </w:numPr>
        <w:pStyle w:val="Compact"/>
      </w:pPr>
      <w:r>
        <w:t xml:space="preserve">entrega, instrucciones, entrenamiento y pruebas de competencia;</w:t>
      </w:r>
    </w:p>
    <w:p>
      <w:pPr>
        <w:numPr>
          <w:ilvl w:val="0"/>
          <w:numId w:val="1562"/>
        </w:numPr>
        <w:pStyle w:val="Compact"/>
      </w:pPr>
      <w:r>
        <w:t xml:space="preserve">autoridad, organismo notificado, auditor, cliente y proveedor de correspondencia.</w:t>
      </w:r>
    </w:p>
    <w:bookmarkEnd w:id="1585"/>
    <w:bookmarkStart w:id="1586" w:name="conciliación-producción-versión"/>
    <w:p>
      <w:pPr>
        <w:pStyle w:val="Heading2"/>
      </w:pPr>
      <w:r>
        <w:rPr>
          <w:rStyle w:val="SectionNumber"/>
        </w:rPr>
        <w:t xml:space="preserve">2.172</w:t>
      </w:r>
      <w:r>
        <w:tab/>
      </w:r>
      <w:r>
        <w:t xml:space="preserve">4. Conciliación producción-versión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Componente de producción</w:t>
            </w:r>
          </w:p>
        </w:tc>
        <w:tc>
          <w:tcPr/>
          <w:p>
            <w:pPr>
              <w:pStyle w:val="Compact"/>
              <w:jc w:val="left"/>
            </w:pPr>
            <w:r>
              <w:t xml:space="preserve">Versión de producción/checksum</w:t>
            </w:r>
          </w:p>
        </w:tc>
        <w:tc>
          <w:tcPr/>
          <w:p>
            <w:pPr>
              <w:pStyle w:val="Compact"/>
              <w:jc w:val="left"/>
            </w:pPr>
            <w:r>
              <w:t xml:space="preserve">Versión de documentación</w:t>
            </w:r>
          </w:p>
        </w:tc>
        <w:tc>
          <w:tcPr/>
          <w:p>
            <w:pPr>
              <w:pStyle w:val="Compact"/>
              <w:jc w:val="left"/>
            </w:pPr>
            <w:r>
              <w:t xml:space="preserve">Localización de las pruebas</w:t>
            </w:r>
          </w:p>
        </w:tc>
        <w:tc>
          <w:tcPr/>
          <w:p>
            <w:pPr>
              <w:pStyle w:val="Compact"/>
              <w:jc w:val="left"/>
            </w:pPr>
            <w:r>
              <w:t xml:space="preserve">¿Coincidencia?</w:t>
            </w:r>
          </w:p>
        </w:tc>
        <w:tc>
          <w:tcPr/>
          <w:p>
            <w:pPr>
              <w:pStyle w:val="Compact"/>
              <w:jc w:val="left"/>
            </w:pPr>
            <w:r>
              <w:t xml:space="preserve">Resolución/propietario</w:t>
            </w:r>
          </w:p>
        </w:tc>
      </w:tr>
      <w:tr>
        <w:tc>
          <w:tcPr/>
          <w:p>
            <w:pPr>
              <w:pStyle w:val="Compact"/>
              <w:jc w:val="left"/>
            </w:pPr>
            <w:r>
              <w:t xml:space="preserve">Modelo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Código del sistema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Prontas instrucciones/sistema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Herramientas/agentes/integraciones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Conjuntos de datos/fuentes de recuperación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Configuración/umbrales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Interfaz de usuario/notificaciones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Configuración de seguimiento/logging</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Ninguna versión puede basarse en documentación que describa un sistema, modelo, conjunto de datos, configuración o proceso de supervisión materialmente diferente.</w:t>
      </w:r>
    </w:p>
    <w:bookmarkEnd w:id="1586"/>
    <w:bookmarkStart w:id="1587" w:name="Xfae51a188837ac8dc65bfe20482b1ed20581b3b"/>
    <w:p>
      <w:pPr>
        <w:pStyle w:val="Heading2"/>
      </w:pPr>
      <w:r>
        <w:rPr>
          <w:rStyle w:val="SectionNumber"/>
        </w:rPr>
        <w:t xml:space="preserve">2.173</w:t>
      </w:r>
      <w:r>
        <w:tab/>
      </w:r>
      <w:r>
        <w:t xml:space="preserve">5. Comprobaciones de la calidad de las pruebas</w:t>
      </w:r>
    </w:p>
    <w:p>
      <w:pPr>
        <w:pStyle w:val="FirstParagraph"/>
      </w:pPr>
      <w:r>
        <w:t xml:space="preserve">Para cada elemento indizado, confirme:</w:t>
      </w:r>
    </w:p>
    <w:p>
      <w:pPr>
        <w:numPr>
          <w:ilvl w:val="0"/>
          <w:numId w:val="1563"/>
        </w:numPr>
        <w:pStyle w:val="Compact"/>
      </w:pPr>
      <w:r>
        <w:t xml:space="preserve">auténtico y atribuible a un propietario responsable;</w:t>
      </w:r>
    </w:p>
    <w:p>
      <w:pPr>
        <w:numPr>
          <w:ilvl w:val="0"/>
          <w:numId w:val="1563"/>
        </w:numPr>
        <w:pStyle w:val="Compact"/>
      </w:pPr>
      <w:r>
        <w:t xml:space="preserve">completa para el fin jurídico aplicable;</w:t>
      </w:r>
    </w:p>
    <w:p>
      <w:pPr>
        <w:numPr>
          <w:ilvl w:val="0"/>
          <w:numId w:val="1563"/>
        </w:numPr>
        <w:pStyle w:val="Compact"/>
      </w:pPr>
      <w:r>
        <w:t xml:space="preserve">actualizada, aprobada y vinculada a la versión desplegada;</w:t>
      </w:r>
    </w:p>
    <w:p>
      <w:pPr>
        <w:numPr>
          <w:ilvl w:val="0"/>
          <w:numId w:val="1563"/>
        </w:numPr>
        <w:pStyle w:val="Compact"/>
      </w:pPr>
      <w:r>
        <w:t xml:space="preserve">la coherencia interna con otros documentos;</w:t>
      </w:r>
    </w:p>
    <w:p>
      <w:pPr>
        <w:numPr>
          <w:ilvl w:val="0"/>
          <w:numId w:val="1563"/>
        </w:numPr>
        <w:pStyle w:val="Compact"/>
      </w:pPr>
      <w:r>
        <w:t xml:space="preserve">que estén respaldadas por pruebas de origen y reproducibles cuando sea necesario;</w:t>
      </w:r>
    </w:p>
    <w:p>
      <w:pPr>
        <w:numPr>
          <w:ilvl w:val="0"/>
          <w:numId w:val="1563"/>
        </w:numPr>
        <w:pStyle w:val="Compact"/>
      </w:pPr>
      <w:r>
        <w:t xml:space="preserve">protegido de las alteraciones no autorizadas;</w:t>
      </w:r>
    </w:p>
    <w:p>
      <w:pPr>
        <w:numPr>
          <w:ilvl w:val="0"/>
          <w:numId w:val="1563"/>
        </w:numPr>
        <w:pStyle w:val="Compact"/>
      </w:pPr>
      <w:r>
        <w:t xml:space="preserve">accesible únicamente a las personas autorizadas mientras estén disponibles para los auditores, los organismos notificados y las autoridades legalmente requeridos;</w:t>
      </w:r>
    </w:p>
    <w:p>
      <w:pPr>
        <w:numPr>
          <w:ilvl w:val="0"/>
          <w:numId w:val="1563"/>
        </w:numPr>
        <w:pStyle w:val="Compact"/>
      </w:pPr>
      <w:r>
        <w:t xml:space="preserve">recuperable dentro de los plazos requeridos;</w:t>
      </w:r>
    </w:p>
    <w:p>
      <w:pPr>
        <w:numPr>
          <w:ilvl w:val="0"/>
          <w:numId w:val="1563"/>
        </w:numPr>
        <w:pStyle w:val="Compact"/>
      </w:pPr>
      <w:r>
        <w:t xml:space="preserve">mantenidos con arreglo al calendario legal, contractual, operativo y legal aplicable;</w:t>
      </w:r>
    </w:p>
    <w:p>
      <w:pPr>
        <w:numPr>
          <w:ilvl w:val="0"/>
          <w:numId w:val="1563"/>
        </w:numPr>
        <w:pStyle w:val="Compact"/>
      </w:pPr>
      <w:r>
        <w:t xml:space="preserve">disponible en el idioma y formato requeridos.</w:t>
      </w:r>
    </w:p>
    <w:bookmarkEnd w:id="1587"/>
    <w:bookmarkStart w:id="1588" w:name="lagunas-y-decisión-de-liberación"/>
    <w:p>
      <w:pPr>
        <w:pStyle w:val="Heading2"/>
      </w:pPr>
      <w:r>
        <w:rPr>
          <w:rStyle w:val="SectionNumber"/>
        </w:rPr>
        <w:t xml:space="preserve">2.174</w:t>
      </w:r>
      <w:r>
        <w:tab/>
      </w:r>
      <w:r>
        <w:t xml:space="preserve">6. Lagunas y decisión de liberación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Brecha</w:t>
            </w:r>
          </w:p>
        </w:tc>
        <w:tc>
          <w:tcPr/>
          <w:p>
            <w:pPr>
              <w:pStyle w:val="Compact"/>
              <w:jc w:val="left"/>
            </w:pPr>
            <w:r>
              <w:t xml:space="preserve">Impacto jurídico/operativo</w:t>
            </w:r>
          </w:p>
        </w:tc>
        <w:tc>
          <w:tcPr/>
          <w:p>
            <w:pPr>
              <w:pStyle w:val="Compact"/>
              <w:jc w:val="left"/>
            </w:pPr>
            <w:r>
              <w:t xml:space="preserve">Control provisional</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Validación</w:t>
            </w:r>
          </w:p>
        </w:tc>
        <w:tc>
          <w:tcPr/>
          <w:p>
            <w:pPr>
              <w:pStyle w:val="Compact"/>
              <w:jc w:val="left"/>
            </w:pPr>
            <w:r>
              <w:t xml:space="preserve">¿Liberar bloqueador?</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numPr>
          <w:ilvl w:val="0"/>
          <w:numId w:val="1564"/>
        </w:numPr>
        <w:pStyle w:val="Compact"/>
      </w:pPr>
      <w:r>
        <w:t xml:space="preserve">☐ Completa para el fin jurídico aplicable</w:t>
      </w:r>
    </w:p>
    <w:p>
      <w:pPr>
        <w:numPr>
          <w:ilvl w:val="0"/>
          <w:numId w:val="1564"/>
        </w:numPr>
        <w:pStyle w:val="Compact"/>
      </w:pPr>
      <w:r>
        <w:t xml:space="preserve">☐ Completar con las condiciones aprobadas</w:t>
      </w:r>
    </w:p>
    <w:p>
      <w:pPr>
        <w:numPr>
          <w:ilvl w:val="0"/>
          <w:numId w:val="1564"/>
        </w:numPr>
        <w:pStyle w:val="Compact"/>
      </w:pPr>
      <w:r>
        <w:t xml:space="preserve">☐ Índice de gobernanza únicamente; no se aplica el anexo IV</w:t>
      </w:r>
    </w:p>
    <w:p>
      <w:pPr>
        <w:numPr>
          <w:ilvl w:val="0"/>
          <w:numId w:val="1564"/>
        </w:numPr>
        <w:pStyle w:val="Compact"/>
      </w:pPr>
      <w:r>
        <w:t xml:space="preserve">☐ Incompleto: bloqueo de la liberación o la revisión de la conformidad</w:t>
      </w:r>
    </w:p>
    <w:p>
      <w:pPr>
        <w:numPr>
          <w:ilvl w:val="0"/>
          <w:numId w:val="1564"/>
        </w:numPr>
        <w:pStyle w:val="Compact"/>
      </w:pPr>
      <w:r>
        <w:t xml:space="preserve">☐ Exámenes jurídicos o de conformidad calificados requeridos</w:t>
      </w:r>
    </w:p>
    <w:p>
      <w:pPr>
        <w:pStyle w:val="FirstParagraph"/>
      </w:pPr>
      <w:r>
        <w:t xml:space="preserve">** Justificación de la decisión:</w:t>
      </w:r>
      <w:r>
        <w:rPr>
          <w:bCs/>
          <w:b/>
        </w:rPr>
        <w:t xml:space="preserve"> </w:t>
      </w:r>
      <w:r>
        <w:t xml:space="preserve"> </w:t>
      </w:r>
      <w:r>
        <w:t xml:space="preserve">Condiciones abiertas:</w:t>
      </w:r>
      <w:r>
        <w:rPr>
          <w:bCs/>
          <w:b/>
        </w:rPr>
        <w:t xml:space="preserve"> </w:t>
      </w:r>
      <w:r>
        <w:t xml:space="preserve"> </w:t>
      </w:r>
      <w:r>
        <w:t xml:space="preserve">Consecuencias para la conformidad:**</w:t>
      </w:r>
    </w:p>
    <w:bookmarkEnd w:id="1588"/>
    <w:bookmarkStart w:id="1589" w:name="activadores-de-cambios-y-revisiones"/>
    <w:p>
      <w:pPr>
        <w:pStyle w:val="Heading2"/>
      </w:pPr>
      <w:r>
        <w:rPr>
          <w:rStyle w:val="SectionNumber"/>
        </w:rPr>
        <w:t xml:space="preserve">2.175</w:t>
      </w:r>
      <w:r>
        <w:tab/>
      </w:r>
      <w:r>
        <w:t xml:space="preserve">7. Activadores de cambios y revisiones</w:t>
      </w:r>
    </w:p>
    <w:p>
      <w:pPr>
        <w:pStyle w:val="FirstParagraph"/>
      </w:pPr>
      <w:r>
        <w:t xml:space="preserve">Actualizar después de:</w:t>
      </w:r>
    </w:p>
    <w:p>
      <w:pPr>
        <w:numPr>
          <w:ilvl w:val="0"/>
          <w:numId w:val="1565"/>
        </w:numPr>
        <w:pStyle w:val="Compact"/>
      </w:pPr>
      <w:r>
        <w:t xml:space="preserve">modelo, sistema, código, rapidez, herramienta, datos, umbral o cambio de infraestructura;</w:t>
      </w:r>
    </w:p>
    <w:p>
      <w:pPr>
        <w:numPr>
          <w:ilvl w:val="0"/>
          <w:numId w:val="1565"/>
        </w:numPr>
        <w:pStyle w:val="Compact"/>
      </w:pPr>
      <w:r>
        <w:t xml:space="preserve">fines previstos, función del actor, población, jurisdicción o cambio de producto;</w:t>
      </w:r>
    </w:p>
    <w:p>
      <w:pPr>
        <w:numPr>
          <w:ilvl w:val="0"/>
          <w:numId w:val="1565"/>
        </w:numPr>
        <w:pStyle w:val="Compact"/>
      </w:pPr>
      <w:r>
        <w:t xml:space="preserve">cambio de proveedor, componente, licencia o dependencia;</w:t>
      </w:r>
    </w:p>
    <w:p>
      <w:pPr>
        <w:numPr>
          <w:ilvl w:val="0"/>
          <w:numId w:val="1565"/>
        </w:numPr>
        <w:pStyle w:val="Compact"/>
      </w:pPr>
      <w:r>
        <w:t xml:space="preserve">validación, seguimiento, incidente, denuncia o comprobación de auditoría;</w:t>
      </w:r>
    </w:p>
    <w:p>
      <w:pPr>
        <w:numPr>
          <w:ilvl w:val="0"/>
          <w:numId w:val="1565"/>
        </w:numPr>
        <w:pStyle w:val="Compact"/>
      </w:pPr>
      <w:r>
        <w:t xml:space="preserve">uso predeterminado del plan de cambio o modificación sustancial;</w:t>
      </w:r>
    </w:p>
    <w:p>
      <w:pPr>
        <w:numPr>
          <w:ilvl w:val="0"/>
          <w:numId w:val="1565"/>
        </w:numPr>
        <w:pStyle w:val="Compact"/>
      </w:pPr>
      <w:r>
        <w:t xml:space="preserve">conformidad, registro, declaración, marcado, autoridad o desarrollo jurídico;</w:t>
      </w:r>
    </w:p>
    <w:p>
      <w:pPr>
        <w:numPr>
          <w:ilvl w:val="0"/>
          <w:numId w:val="1565"/>
        </w:numPr>
        <w:pStyle w:val="Compact"/>
      </w:pPr>
      <w:r>
        <w:t xml:space="preserve">suspensión, retroceso, retirada, retirada o jubilación.</w:t>
      </w:r>
    </w:p>
    <w:bookmarkEnd w:id="1589"/>
    <w:bookmarkStart w:id="1590" w:name="Xe534a534d9602ff3950acc3f1dfaff4d987b14b"/>
    <w:p>
      <w:pPr>
        <w:pStyle w:val="Heading2"/>
      </w:pPr>
      <w:r>
        <w:rPr>
          <w:rStyle w:val="SectionNumber"/>
        </w:rPr>
        <w:t xml:space="preserve">2.176</w:t>
      </w:r>
      <w:r>
        <w:tab/>
      </w:r>
      <w:r>
        <w:t xml:space="preserve">Ejemplo de servicios de viajes de GlobalWay</w:t>
      </w:r>
    </w:p>
    <w:p>
      <w:pPr>
        <w:pStyle w:val="FirstParagraph"/>
      </w:pPr>
      <w:r>
        <w:t xml:space="preserve">GlobalWay compagina la documentación técnica de un sistema de asignación de empleados con la producción. La revisión concluye que el modelo de proveedor desplegado y la interfaz multilingüe difieren de las versiones documentadas. La versión de la versión sigue bloqueada hasta que la versión del modelo, las pruebas de datos, las instrucciones de supervisión, los avisos de transparencia, los umbrales de supervisión y las pruebas de conformidad se actualicen y reconcilien de forma independiente.</w:t>
      </w:r>
    </w:p>
    <w:bookmarkEnd w:id="1590"/>
    <w:bookmarkStart w:id="1591" w:name="homologación-8"/>
    <w:p>
      <w:pPr>
        <w:pStyle w:val="Heading2"/>
      </w:pPr>
      <w:r>
        <w:rPr>
          <w:rStyle w:val="SectionNumber"/>
        </w:rPr>
        <w:t xml:space="preserve">2.177</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Proveedor/propietario técnico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Calidad/Cumplimiento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Titular legal/de la 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Seguridad/Datos/Privacidad,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Variaciones y restricciones residuales:</w:t>
      </w:r>
      <w:r>
        <w:rPr>
          <w:bCs/>
          <w:b/>
        </w:rPr>
        <w:t xml:space="preserve"> </w:t>
      </w:r>
      <w:r>
        <w:t xml:space="preserve">Pedido/fecha de la próxima revisión:</w:t>
      </w:r>
      <w:r>
        <w:rPr>
          <w:bCs/>
          <w:b/>
        </w:rPr>
        <w:t xml:space="preserve"> </w:t>
      </w:r>
      <w:r>
        <w:t xml:space="preserve"> </w:t>
      </w:r>
      <w:r>
        <w:t xml:space="preserve">Versión Índex:**</w:t>
      </w:r>
    </w:p>
    <w:bookmarkEnd w:id="1591"/>
    <w:bookmarkStart w:id="1592" w:name="referencias-jurídicas-primarias-117"/>
    <w:p>
      <w:pPr>
        <w:pStyle w:val="Heading2"/>
      </w:pPr>
      <w:r>
        <w:rPr>
          <w:rStyle w:val="SectionNumber"/>
        </w:rPr>
        <w:t xml:space="preserve">2.178</w:t>
      </w:r>
      <w:r>
        <w:tab/>
      </w:r>
      <w:r>
        <w:t xml:space="preserve">Referencias jurídicas primarias</w:t>
      </w:r>
    </w:p>
    <w:p>
      <w:pPr>
        <w:numPr>
          <w:ilvl w:val="0"/>
          <w:numId w:val="1566"/>
        </w:numPr>
        <w:pStyle w:val="Compact"/>
      </w:pPr>
      <w:r>
        <w:t xml:space="preserve">Reglamento (UE) 2024/1689, modificado: artículo 11, anexo IV, y disposiciones aplicables sobre gestión de riesgos, datos, registro, transparencia, supervisión, exactitud, robustez, ciberseguridad, gestión de la calidad, conformidad, seguimiento, incidentes y acceso de la autoridad.</w:t>
      </w:r>
    </w:p>
    <w:p>
      <w:pPr>
        <w:numPr>
          <w:ilvl w:val="0"/>
          <w:numId w:val="1566"/>
        </w:numPr>
        <w:pStyle w:val="Compact"/>
      </w:pPr>
      <w:r>
        <w:t xml:space="preserve">Reglamento (UE) 2026/1744, en su caso.</w:t>
      </w:r>
    </w:p>
    <w:p>
      <w:pPr>
        <w:numPr>
          <w:ilvl w:val="0"/>
          <w:numId w:val="1566"/>
        </w:numPr>
        <w:pStyle w:val="Compact"/>
      </w:pPr>
      <w:r>
        <w:t xml:space="preserve">Legislación aplicable sobre productos del anexo I y requisitos de conformidad.</w:t>
      </w:r>
    </w:p>
    <w:p>
      <w:pPr>
        <w:numPr>
          <w:ilvl w:val="0"/>
          <w:numId w:val="1566"/>
        </w:numPr>
        <w:pStyle w:val="Compact"/>
      </w:pPr>
      <w:r>
        <w:t xml:space="preserve">Los textos oficiales consolidados actuales controlan este índice.</w:t>
      </w:r>
    </w:p>
    <w:bookmarkEnd w:id="1592"/>
    <w:bookmarkStart w:id="1593" w:name="X0e9129de13d42b141c5fe1509a6880bff5ac258"/>
    <w:p>
      <w:pPr>
        <w:pStyle w:val="Heading2"/>
      </w:pPr>
      <w:r>
        <w:rPr>
          <w:rStyle w:val="SectionNumber"/>
        </w:rPr>
        <w:t xml:space="preserve">2.179</w:t>
      </w:r>
      <w:r>
        <w:tab/>
      </w:r>
      <w:r>
        <w:t xml:space="preserve">Apéndice L — Lista de comprobación de conformidad y preparación</w:t>
      </w:r>
    </w:p>
    <w:p>
      <w:pPr>
        <w:pStyle w:val="BlockText"/>
      </w:pPr>
      <w:r>
        <w:rPr>
          <w:bCs/>
          <w:b/>
        </w:rPr>
        <w:t xml:space="preserve">Situación jurídica:</w:t>
      </w:r>
      <w:r>
        <w:t xml:space="preserve"> </w:t>
      </w:r>
      <w:r>
        <w:t xml:space="preserve">Maestro inglés corregido. Esta revisión interna de la preparación no sustituye el procedimiento de evaluación de la conformidad, la participación del organismo notificado, el procedimiento del sector del producto, la declaración, el registro, el marcado CE o la decisión de la autoridad requerida por la ley.</w:t>
      </w:r>
    </w:p>
    <w:bookmarkEnd w:id="1593"/>
    <w:bookmarkStart w:id="1594" w:name="finalidad-28"/>
    <w:p>
      <w:pPr>
        <w:pStyle w:val="Heading2"/>
      </w:pPr>
      <w:r>
        <w:rPr>
          <w:rStyle w:val="SectionNumber"/>
        </w:rPr>
        <w:t xml:space="preserve">2.180</w:t>
      </w:r>
      <w:r>
        <w:tab/>
      </w:r>
      <w:r>
        <w:t xml:space="preserve">Finalidad</w:t>
      </w:r>
    </w:p>
    <w:p>
      <w:pPr>
        <w:pStyle w:val="FirstParagraph"/>
      </w:pPr>
      <w:r>
        <w:t xml:space="preserve">Utilice esta lista de verificación para determinar si un sistema de IA y su gobernanza, documentación, controles, ensayos y pruebas de apoyo están listos para introducir el procedimiento de conformidad aplicable.</w:t>
      </w:r>
    </w:p>
    <w:p>
      <w:pPr>
        <w:pStyle w:val="BodyText"/>
      </w:pPr>
      <w:r>
        <w:t xml:space="preserve">La preparación debe evaluarse en función de la función exacta del proveedor, la ruta de alto riesgo, la finalidad prevista, la versión del sistema, la legislación sobre productos, la fecha de aplicación y el procedimiento de conformidad.</w:t>
      </w:r>
    </w:p>
    <w:bookmarkEnd w:id="1594"/>
    <w:bookmarkStart w:id="1595" w:name="aplicabilidad-y-ruta"/>
    <w:p>
      <w:pPr>
        <w:pStyle w:val="Heading2"/>
      </w:pPr>
      <w:r>
        <w:rPr>
          <w:rStyle w:val="SectionNumber"/>
        </w:rPr>
        <w:t xml:space="preserve">2.181</w:t>
      </w:r>
      <w:r>
        <w:tab/>
      </w:r>
      <w:r>
        <w:t xml:space="preserve">1. Aplicabilidad y ruta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Proveedor/entidad jurídica</w:t>
            </w:r>
          </w:p>
        </w:tc>
        <w:tc>
          <w:tcPr/>
          <w:p>
            <w:pPr>
              <w:pStyle w:val="Compact"/>
              <w:jc w:val="left"/>
            </w:pPr>
            <w:r>
              <w:t xml:space="preserve">- No, no.</w:t>
            </w:r>
          </w:p>
        </w:tc>
      </w:tr>
      <w:tr>
        <w:tc>
          <w:tcPr/>
          <w:p>
            <w:pPr>
              <w:pStyle w:val="Compact"/>
              <w:jc w:val="left"/>
            </w:pPr>
            <w:r>
              <w:t xml:space="preserve">Nombre del sistema e identificación del inventario</w:t>
            </w:r>
          </w:p>
        </w:tc>
        <w:tc>
          <w:tcPr/>
          <w:p>
            <w:pPr>
              <w:pStyle w:val="Compact"/>
              <w:jc w:val="left"/>
            </w:pPr>
            <w:r>
              <w:t xml:space="preserve">- No, no.</w:t>
            </w:r>
          </w:p>
        </w:tc>
      </w:tr>
      <w:tr>
        <w:tc>
          <w:tcPr/>
          <w:p>
            <w:pPr>
              <w:pStyle w:val="Compact"/>
              <w:jc w:val="left"/>
            </w:pPr>
            <w:r>
              <w:t xml:space="preserve">Versión/configuración evaluada</w:t>
            </w:r>
          </w:p>
        </w:tc>
        <w:tc>
          <w:tcPr/>
          <w:p>
            <w:pPr>
              <w:pStyle w:val="Compact"/>
              <w:jc w:val="left"/>
            </w:pPr>
            <w:r>
              <w:t xml:space="preserve">- No, no.</w:t>
            </w:r>
          </w:p>
        </w:tc>
      </w:tr>
      <w:tr>
        <w:tc>
          <w:tcPr/>
          <w:p>
            <w:pPr>
              <w:pStyle w:val="Compact"/>
              <w:jc w:val="left"/>
            </w:pPr>
            <w:r>
              <w:t xml:space="preserve">Finalidad prevista</w:t>
            </w:r>
          </w:p>
        </w:tc>
        <w:tc>
          <w:tcPr/>
          <w:p>
            <w:pPr>
              <w:pStyle w:val="Compact"/>
              <w:jc w:val="left"/>
            </w:pPr>
            <w:r>
              <w:t xml:space="preserve">- No, no.</w:t>
            </w:r>
          </w:p>
        </w:tc>
      </w:tr>
      <w:tr>
        <w:tc>
          <w:tcPr/>
          <w:p>
            <w:pPr>
              <w:pStyle w:val="Compact"/>
              <w:jc w:val="left"/>
            </w:pPr>
            <w:r>
              <w:t xml:space="preserve">Usuarios y personas afectadas</w:t>
            </w:r>
          </w:p>
        </w:tc>
        <w:tc>
          <w:tcPr/>
          <w:p>
            <w:pPr>
              <w:pStyle w:val="Compact"/>
              <w:jc w:val="left"/>
            </w:pPr>
            <w:r>
              <w:t xml:space="preserve">- No, no.</w:t>
            </w:r>
          </w:p>
        </w:tc>
      </w:tr>
      <w:tr>
        <w:tc>
          <w:tcPr/>
          <w:p>
            <w:pPr>
              <w:pStyle w:val="Compact"/>
              <w:jc w:val="left"/>
            </w:pPr>
            <w:r>
              <w:t xml:space="preserve">Artículo 6, apartado 1, anexo I o artículo 6, apartado 2, anexo III</w:t>
            </w:r>
          </w:p>
        </w:tc>
        <w:tc>
          <w:tcPr/>
          <w:p>
            <w:pPr>
              <w:pStyle w:val="Compact"/>
              <w:jc w:val="left"/>
            </w:pPr>
            <w:r>
              <w:t xml:space="preserve">- No, no.</w:t>
            </w:r>
          </w:p>
        </w:tc>
      </w:tr>
      <w:tr>
        <w:tc>
          <w:tcPr/>
          <w:p>
            <w:pPr>
              <w:pStyle w:val="Compact"/>
              <w:jc w:val="left"/>
            </w:pPr>
            <w:r>
              <w:t xml:space="preserve">Legislación exacta del anexo I o punto del anexo III</w:t>
            </w:r>
          </w:p>
        </w:tc>
        <w:tc>
          <w:tcPr/>
          <w:p>
            <w:pPr>
              <w:pStyle w:val="Compact"/>
              <w:jc w:val="left"/>
            </w:pPr>
            <w:r>
              <w:t xml:space="preserve">- No, no.</w:t>
            </w:r>
          </w:p>
        </w:tc>
      </w:tr>
      <w:tr>
        <w:tc>
          <w:tcPr/>
          <w:p>
            <w:pPr>
              <w:pStyle w:val="Compact"/>
              <w:jc w:val="left"/>
            </w:pPr>
            <w:r>
              <w:t xml:space="preserve">Legislación aplicable en materia de productos</w:t>
            </w:r>
          </w:p>
        </w:tc>
        <w:tc>
          <w:tcPr/>
          <w:p>
            <w:pPr>
              <w:pStyle w:val="Compact"/>
              <w:jc w:val="left"/>
            </w:pPr>
            <w:r>
              <w:t xml:space="preserve">- No, no.</w:t>
            </w:r>
          </w:p>
        </w:tc>
      </w:tr>
      <w:tr>
        <w:tc>
          <w:tcPr/>
          <w:p>
            <w:pPr>
              <w:pStyle w:val="Compact"/>
              <w:jc w:val="left"/>
            </w:pPr>
            <w:r>
              <w:t xml:space="preserve">Artículo 43, ruta de conformidad</w:t>
            </w:r>
          </w:p>
        </w:tc>
        <w:tc>
          <w:tcPr/>
          <w:p>
            <w:pPr>
              <w:pStyle w:val="Compact"/>
              <w:jc w:val="left"/>
            </w:pPr>
            <w:r>
              <w:t xml:space="preserve">- No, no.</w:t>
            </w:r>
          </w:p>
        </w:tc>
      </w:tr>
      <w:tr>
        <w:tc>
          <w:tcPr/>
          <w:p>
            <w:pPr>
              <w:pStyle w:val="Compact"/>
              <w:jc w:val="left"/>
            </w:pPr>
            <w:r>
              <w:t xml:space="preserve">¿La ruta de control interno está disponible?</w:t>
            </w:r>
          </w:p>
        </w:tc>
        <w:tc>
          <w:tcPr/>
          <w:p>
            <w:pPr>
              <w:pStyle w:val="Compact"/>
              <w:jc w:val="left"/>
            </w:pPr>
            <w:r>
              <w:t xml:space="preserve">- No, no.</w:t>
            </w:r>
          </w:p>
        </w:tc>
      </w:tr>
      <w:tr>
        <w:tc>
          <w:tcPr/>
          <w:p>
            <w:pPr>
              <w:pStyle w:val="Compact"/>
              <w:jc w:val="left"/>
            </w:pPr>
            <w:r>
              <w:t xml:space="preserve">¿Se requiere un cuerpo notificado?</w:t>
            </w:r>
          </w:p>
        </w:tc>
        <w:tc>
          <w:tcPr/>
          <w:p>
            <w:pPr>
              <w:pStyle w:val="Compact"/>
              <w:jc w:val="left"/>
            </w:pPr>
            <w:r>
              <w:t xml:space="preserve">- No, no.</w:t>
            </w:r>
          </w:p>
        </w:tc>
      </w:tr>
      <w:tr>
        <w:tc>
          <w:tcPr/>
          <w:p>
            <w:pPr>
              <w:pStyle w:val="Compact"/>
              <w:jc w:val="left"/>
            </w:pPr>
            <w:r>
              <w:t xml:space="preserve">Normas armonizadas/especificaciones comunes en las que se basa</w:t>
            </w:r>
          </w:p>
        </w:tc>
        <w:tc>
          <w:tcPr/>
          <w:p>
            <w:pPr>
              <w:pStyle w:val="Compact"/>
              <w:jc w:val="left"/>
            </w:pPr>
            <w:r>
              <w:t xml:space="preserve">- No, no.</w:t>
            </w:r>
          </w:p>
        </w:tc>
      </w:tr>
      <w:tr>
        <w:tc>
          <w:tcPr/>
          <w:p>
            <w:pPr>
              <w:pStyle w:val="Compact"/>
              <w:jc w:val="left"/>
            </w:pPr>
            <w:r>
              <w:t xml:space="preserve">Fecha actual de aplicación/regla transitoria</w:t>
            </w:r>
          </w:p>
        </w:tc>
        <w:tc>
          <w:tcPr/>
          <w:p>
            <w:pPr>
              <w:pStyle w:val="Compact"/>
              <w:jc w:val="left"/>
            </w:pPr>
            <w:r>
              <w:t xml:space="preserve">- No, no.</w:t>
            </w:r>
          </w:p>
        </w:tc>
      </w:tr>
      <w:tr>
        <w:tc>
          <w:tcPr/>
          <w:p>
            <w:pPr>
              <w:pStyle w:val="Compact"/>
              <w:jc w:val="left"/>
            </w:pPr>
            <w:r>
              <w:t xml:space="preserve">Titular legal/de la conformidad</w:t>
            </w:r>
          </w:p>
        </w:tc>
        <w:tc>
          <w:tcPr/>
          <w:p>
            <w:pPr>
              <w:pStyle w:val="Compact"/>
              <w:jc w:val="left"/>
            </w:pPr>
            <w:r>
              <w:t xml:space="preserve">- No, no.</w:t>
            </w:r>
          </w:p>
        </w:tc>
      </w:tr>
      <w:tr>
        <w:tc>
          <w:tcPr/>
          <w:p>
            <w:pPr>
              <w:pStyle w:val="Compact"/>
              <w:jc w:val="left"/>
            </w:pPr>
            <w:r>
              <w:t xml:space="preserve">Fecha/versión de la evaluación</w:t>
            </w:r>
          </w:p>
        </w:tc>
        <w:tc>
          <w:tcPr/>
          <w:p>
            <w:pPr>
              <w:pStyle w:val="Compact"/>
              <w:jc w:val="left"/>
            </w:pPr>
            <w:r>
              <w:t xml:space="preserve">- No, no.</w:t>
            </w:r>
          </w:p>
        </w:tc>
      </w:tr>
    </w:tbl>
    <w:bookmarkEnd w:id="1595"/>
    <w:bookmarkStart w:id="1596" w:name="gobernanza-y-rendición-de-cuentas"/>
    <w:p>
      <w:pPr>
        <w:pStyle w:val="Heading2"/>
      </w:pPr>
      <w:r>
        <w:rPr>
          <w:rStyle w:val="SectionNumber"/>
        </w:rPr>
        <w:t xml:space="preserve">2.182</w:t>
      </w:r>
      <w:r>
        <w:tab/>
      </w:r>
      <w:r>
        <w:t xml:space="preserve">2. Gobernanza y rendición de cuentas</w:t>
      </w:r>
    </w:p>
    <w:p>
      <w:pPr>
        <w:numPr>
          <w:ilvl w:val="0"/>
          <w:numId w:val="1567"/>
        </w:numPr>
        <w:pStyle w:val="Compact"/>
      </w:pPr>
      <w:r>
        <w:t xml:space="preserve">☐ La función jurídica y la clasificación de alto riesgo están documentadas y son actuales.</w:t>
      </w:r>
    </w:p>
    <w:p>
      <w:pPr>
        <w:numPr>
          <w:ilvl w:val="0"/>
          <w:numId w:val="1567"/>
        </w:numPr>
        <w:pStyle w:val="Compact"/>
      </w:pPr>
      <w:r>
        <w:t xml:space="preserve">☐ Se asignan proveedores responsables, técnicos, de calidad, legales, de riesgo, datos, seguridad y propietarios de negocios.</w:t>
      </w:r>
    </w:p>
    <w:p>
      <w:pPr>
        <w:numPr>
          <w:ilvl w:val="0"/>
          <w:numId w:val="1567"/>
        </w:numPr>
        <w:pStyle w:val="Compact"/>
      </w:pPr>
      <w:r>
        <w:t xml:space="preserve">☐ Los procedimientos de gestión de la calidad están aprobados y en funcionamiento.</w:t>
      </w:r>
    </w:p>
    <w:p>
      <w:pPr>
        <w:numPr>
          <w:ilvl w:val="0"/>
          <w:numId w:val="1567"/>
        </w:numPr>
        <w:pStyle w:val="Compact"/>
      </w:pPr>
      <w:r>
        <w:t xml:space="preserve">☐ Se definen las responsabilidades de gestión de riesgos y la autoridad de aceptación.</w:t>
      </w:r>
    </w:p>
    <w:p>
      <w:pPr>
        <w:numPr>
          <w:ilvl w:val="0"/>
          <w:numId w:val="1567"/>
        </w:numPr>
        <w:pStyle w:val="Compact"/>
      </w:pPr>
      <w:r>
        <w:t xml:space="preserve">☐ Se controlan las actividades de diseño, desarrollo, validación, liberación y cambio.</w:t>
      </w:r>
    </w:p>
    <w:p>
      <w:pPr>
        <w:numPr>
          <w:ilvl w:val="0"/>
          <w:numId w:val="1567"/>
        </w:numPr>
        <w:pStyle w:val="Compact"/>
      </w:pPr>
      <w:r>
        <w:t xml:space="preserve">☐ Se documentan las responsabilidades del proveedor, componente, importador, distribuidor, representante y fabricante de productos.</w:t>
      </w:r>
    </w:p>
    <w:p>
      <w:pPr>
        <w:numPr>
          <w:ilvl w:val="0"/>
          <w:numId w:val="1567"/>
        </w:numPr>
        <w:pStyle w:val="Compact"/>
      </w:pPr>
      <w:r>
        <w:t xml:space="preserve">☐ Las conclusiones, excepciones, desviaciones y acciones correctivas son rastreadas.</w:t>
      </w:r>
    </w:p>
    <w:p>
      <w:pPr>
        <w:numPr>
          <w:ilvl w:val="0"/>
          <w:numId w:val="1567"/>
        </w:numPr>
        <w:pStyle w:val="Compact"/>
      </w:pPr>
      <w:r>
        <w:t xml:space="preserve">☐ Los requisitos de independencia y competencia se definen para la labor de validación y conformidad.</w:t>
      </w:r>
    </w:p>
    <w:bookmarkEnd w:id="1596"/>
    <w:bookmarkStart w:id="1597" w:name="X76b09b0a05cbd5a9419d26bfe3f1c05ccaf6137"/>
    <w:p>
      <w:pPr>
        <w:pStyle w:val="Heading2"/>
      </w:pPr>
      <w:r>
        <w:rPr>
          <w:rStyle w:val="SectionNumber"/>
        </w:rPr>
        <w:t xml:space="preserve">2.183</w:t>
      </w:r>
      <w:r>
        <w:tab/>
      </w:r>
      <w:r>
        <w:t xml:space="preserve">3. Preparación para necesidades de alto riesgo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Zona</w:t>
            </w:r>
          </w:p>
        </w:tc>
        <w:tc>
          <w:tcPr/>
          <w:p>
            <w:pPr>
              <w:pStyle w:val="Compact"/>
              <w:jc w:val="left"/>
            </w:pPr>
            <w:r>
              <w:t xml:space="preserve">¿Aplicable?</w:t>
            </w:r>
          </w:p>
        </w:tc>
        <w:tc>
          <w:tcPr/>
          <w:p>
            <w:pPr>
              <w:pStyle w:val="Compact"/>
              <w:jc w:val="left"/>
            </w:pPr>
            <w:r>
              <w:t xml:space="preserve">¿Listo?</w:t>
            </w:r>
          </w:p>
        </w:tc>
        <w:tc>
          <w:tcPr/>
          <w:p>
            <w:pPr>
              <w:pStyle w:val="Compact"/>
              <w:jc w:val="left"/>
            </w:pPr>
            <w:r>
              <w:t xml:space="preserve">Pruebas</w:t>
            </w:r>
          </w:p>
        </w:tc>
        <w:tc>
          <w:tcPr/>
          <w:p>
            <w:pPr>
              <w:pStyle w:val="Compact"/>
              <w:jc w:val="left"/>
            </w:pPr>
            <w:r>
              <w:t xml:space="preserve">Brecha/medida</w:t>
            </w:r>
          </w:p>
        </w:tc>
      </w:tr>
      <w:tr>
        <w:tc>
          <w:tcPr/>
          <w:p>
            <w:pPr>
              <w:pStyle w:val="Compact"/>
              <w:jc w:val="left"/>
            </w:pPr>
            <w:r>
              <w:t xml:space="preserve">Artículo 9 Sistema de gestión de riesgos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Gobernanza de los datos y los datos del artículo 10</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Artículo 11 Documentación técnica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Artículo 12 Registro/loging</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Artículo 13 Transparencia e instrucciones de uso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Artículo 14 Supervisión humana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Artículo 15 precisión, robustez, ciberseguridad y resiliencia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 de gestión de la calidad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Obligaciones del proveedor y rendición de cuentas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Información sobre la cadena de valor y controles de proveedores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Seguimiento posterior a la comercialización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Notificación de incidentes graves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Acción correctiva, restricción, retirada y retirada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Cooperación y acceso de las autoridades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Requisitos relativos a la legislación sobre productos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597"/>
    <w:bookmarkStart w:id="1598" w:name="preparación-para-la-gestión-de-riesgos"/>
    <w:p>
      <w:pPr>
        <w:pStyle w:val="Heading2"/>
      </w:pPr>
      <w:r>
        <w:rPr>
          <w:rStyle w:val="SectionNumber"/>
        </w:rPr>
        <w:t xml:space="preserve">2.184</w:t>
      </w:r>
      <w:r>
        <w:tab/>
      </w:r>
      <w:r>
        <w:t xml:space="preserve">4. Preparación para la gestión de riesgos</w:t>
      </w:r>
    </w:p>
    <w:p>
      <w:pPr>
        <w:numPr>
          <w:ilvl w:val="0"/>
          <w:numId w:val="1568"/>
        </w:numPr>
        <w:pStyle w:val="Compact"/>
      </w:pPr>
      <w:r>
        <w:t xml:space="preserve">☐ Los riesgos previsibles se identifican a lo largo del ciclo de vida.</w:t>
      </w:r>
    </w:p>
    <w:p>
      <w:pPr>
        <w:numPr>
          <w:ilvl w:val="0"/>
          <w:numId w:val="1568"/>
        </w:numPr>
        <w:pStyle w:val="Compact"/>
      </w:pPr>
      <w:r>
        <w:t xml:space="preserve">☐ Se evalúan escenarios de seguridad, derechos fundamentales, privacidad, ciberseguridad, operativos y uso indebido.</w:t>
      </w:r>
    </w:p>
    <w:p>
      <w:pPr>
        <w:numPr>
          <w:ilvl w:val="0"/>
          <w:numId w:val="1568"/>
        </w:numPr>
        <w:pStyle w:val="Compact"/>
      </w:pPr>
      <w:r>
        <w:t xml:space="preserve">☐ Los controles de riesgo son implementados y probados.</w:t>
      </w:r>
    </w:p>
    <w:p>
      <w:pPr>
        <w:numPr>
          <w:ilvl w:val="0"/>
          <w:numId w:val="1568"/>
        </w:numPr>
        <w:pStyle w:val="Compact"/>
      </w:pPr>
      <w:r>
        <w:t xml:space="preserve">☐ Los criterios de aceptación fueron aprobados antes de la validación.</w:t>
      </w:r>
    </w:p>
    <w:p>
      <w:pPr>
        <w:numPr>
          <w:ilvl w:val="0"/>
          <w:numId w:val="1568"/>
        </w:numPr>
        <w:pStyle w:val="Compact"/>
      </w:pPr>
      <w:r>
        <w:t xml:space="preserve">☐ Se documentan los riesgos residuales, las limitaciones y la información requerida del usuario.</w:t>
      </w:r>
    </w:p>
    <w:p>
      <w:pPr>
        <w:numPr>
          <w:ilvl w:val="0"/>
          <w:numId w:val="1568"/>
        </w:numPr>
        <w:pStyle w:val="Compact"/>
      </w:pPr>
      <w:r>
        <w:t xml:space="preserve">☐ Las pruebas de riesgo coinciden con las versiones evaluadas y de producción.</w:t>
      </w:r>
    </w:p>
    <w:p>
      <w:pPr>
        <w:numPr>
          <w:ilvl w:val="0"/>
          <w:numId w:val="1568"/>
        </w:numPr>
        <w:pStyle w:val="Compact"/>
      </w:pPr>
      <w:r>
        <w:t xml:space="preserve">☐ Se definen los factores desencadenantes de la vigilancia y la reevaluación.</w:t>
      </w:r>
    </w:p>
    <w:p>
      <w:pPr>
        <w:numPr>
          <w:ilvl w:val="0"/>
          <w:numId w:val="1568"/>
        </w:numPr>
        <w:pStyle w:val="Compact"/>
      </w:pPr>
      <w:r>
        <w:t xml:space="preserve">☐ Los bloqueadores legales no pueden ser anulados por la aceptación interna del riesgo.</w:t>
      </w:r>
    </w:p>
    <w:bookmarkEnd w:id="1598"/>
    <w:bookmarkStart w:id="1599" w:name="X908f8aabf095e22f02b1ff67209d28e036b6d38"/>
    <w:p>
      <w:pPr>
        <w:pStyle w:val="Heading2"/>
      </w:pPr>
      <w:r>
        <w:rPr>
          <w:rStyle w:val="SectionNumber"/>
        </w:rPr>
        <w:t xml:space="preserve">2.185</w:t>
      </w:r>
      <w:r>
        <w:tab/>
      </w:r>
      <w:r>
        <w:t xml:space="preserve">5. Preparación para la gobernanza de los datos</w:t>
      </w:r>
    </w:p>
    <w:p>
      <w:pPr>
        <w:numPr>
          <w:ilvl w:val="0"/>
          <w:numId w:val="1569"/>
        </w:numPr>
        <w:pStyle w:val="Compact"/>
      </w:pPr>
      <w:r>
        <w:t xml:space="preserve">☐ Se documentan las fuentes de datos, procedencia, derechos, licencias y adquisición.</w:t>
      </w:r>
    </w:p>
    <w:p>
      <w:pPr>
        <w:numPr>
          <w:ilvl w:val="0"/>
          <w:numId w:val="1569"/>
        </w:numPr>
        <w:pStyle w:val="Compact"/>
      </w:pPr>
      <w:r>
        <w:t xml:space="preserve">☐ Se evalúa la pertinencia, idoneidad, calidad, representatividad y propiedades estadísticas.</w:t>
      </w:r>
    </w:p>
    <w:p>
      <w:pPr>
        <w:numPr>
          <w:ilvl w:val="0"/>
          <w:numId w:val="1569"/>
        </w:numPr>
        <w:pStyle w:val="Compact"/>
      </w:pPr>
      <w:r>
        <w:t xml:space="preserve">☐ Se evalúan y mitigan los riesgos de Bias y subgrupos.</w:t>
      </w:r>
    </w:p>
    <w:p>
      <w:pPr>
        <w:numPr>
          <w:ilvl w:val="0"/>
          <w:numId w:val="1569"/>
        </w:numPr>
        <w:pStyle w:val="Compact"/>
      </w:pPr>
      <w:r>
        <w:t xml:space="preserve">☐ Preparación, anotación, transformación y versión son reproducibles.</w:t>
      </w:r>
    </w:p>
    <w:p>
      <w:pPr>
        <w:numPr>
          <w:ilvl w:val="0"/>
          <w:numId w:val="1569"/>
        </w:numPr>
        <w:pStyle w:val="Compact"/>
      </w:pPr>
      <w:r>
        <w:t xml:space="preserve">☐ Los controles de privacidad, minimización, retención, acceso, transferencia y seguridad funcionan.</w:t>
      </w:r>
    </w:p>
    <w:p>
      <w:pPr>
        <w:numPr>
          <w:ilvl w:val="0"/>
          <w:numId w:val="1569"/>
        </w:numPr>
        <w:pStyle w:val="Compact"/>
      </w:pPr>
      <w:r>
        <w:t xml:space="preserve">☐ Las versiones de dataset están vinculadas a entrenamiento, validación, pruebas y producción.</w:t>
      </w:r>
    </w:p>
    <w:p>
      <w:pPr>
        <w:numPr>
          <w:ilvl w:val="0"/>
          <w:numId w:val="1569"/>
        </w:numPr>
        <w:pStyle w:val="Compact"/>
      </w:pPr>
      <w:r>
        <w:t xml:space="preserve">☐ El uso de datos de categoría especial ha calificado la aprobación legal y de privacidad cuando procede.</w:t>
      </w:r>
    </w:p>
    <w:bookmarkEnd w:id="1599"/>
    <w:bookmarkStart w:id="1600" w:name="X172c71f1a8328c4bf1f3b68ddd994778c144e9b"/>
    <w:p>
      <w:pPr>
        <w:pStyle w:val="Heading2"/>
      </w:pPr>
      <w:r>
        <w:rPr>
          <w:rStyle w:val="SectionNumber"/>
        </w:rPr>
        <w:t xml:space="preserve">2.186</w:t>
      </w:r>
      <w:r>
        <w:tab/>
      </w:r>
      <w:r>
        <w:t xml:space="preserve">6. Preparación para la documentación técnica</w:t>
      </w:r>
    </w:p>
    <w:p>
      <w:pPr>
        <w:numPr>
          <w:ilvl w:val="0"/>
          <w:numId w:val="1570"/>
        </w:numPr>
        <w:pStyle w:val="Compact"/>
      </w:pPr>
      <w:r>
        <w:t xml:space="preserve">☐ Se confirma la aplicabilidad del anexo IV.</w:t>
      </w:r>
    </w:p>
    <w:p>
      <w:pPr>
        <w:numPr>
          <w:ilvl w:val="0"/>
          <w:numId w:val="1570"/>
        </w:numPr>
        <w:pStyle w:val="Compact"/>
      </w:pPr>
      <w:r>
        <w:t xml:space="preserve">☐ La arquitectura del sistema, componentes, interfaces, recursos y dependencias son actuales.</w:t>
      </w:r>
    </w:p>
    <w:p>
      <w:pPr>
        <w:numPr>
          <w:ilvl w:val="0"/>
          <w:numId w:val="1570"/>
        </w:numPr>
        <w:pStyle w:val="Compact"/>
      </w:pPr>
      <w:r>
        <w:t xml:space="preserve">☐ Modelo, configuración, avisos, herramientas, agentes, datos e información de versión están completos.</w:t>
      </w:r>
    </w:p>
    <w:p>
      <w:pPr>
        <w:numPr>
          <w:ilvl w:val="0"/>
          <w:numId w:val="1570"/>
        </w:numPr>
        <w:pStyle w:val="Compact"/>
      </w:pPr>
      <w:r>
        <w:t xml:space="preserve">☐ Los fines previstos, los usos prohibidos, las limitaciones y el uso indebido previsible son claros.</w:t>
      </w:r>
    </w:p>
    <w:p>
      <w:pPr>
        <w:numPr>
          <w:ilvl w:val="0"/>
          <w:numId w:val="1570"/>
        </w:numPr>
        <w:pStyle w:val="Compact"/>
      </w:pPr>
      <w:r>
        <w:t xml:space="preserve">☐ El desarrollo, la formación, la afinación, la validación, las pruebas y la historia del cambio están documentados.</w:t>
      </w:r>
    </w:p>
    <w:p>
      <w:pPr>
        <w:numPr>
          <w:ilvl w:val="0"/>
          <w:numId w:val="1570"/>
        </w:numPr>
        <w:pStyle w:val="Compact"/>
      </w:pPr>
      <w:r>
        <w:t xml:space="preserve">☐ Se dispone de pruebas de precisión, robustez, ciberseguridad y resiliencia.</w:t>
      </w:r>
    </w:p>
    <w:p>
      <w:pPr>
        <w:numPr>
          <w:ilvl w:val="0"/>
          <w:numId w:val="1570"/>
        </w:numPr>
        <w:pStyle w:val="Compact"/>
      </w:pPr>
      <w:r>
        <w:t xml:space="preserve">☐ La información sobre el diseño y el despliegue de la supervisión humana está documentada.</w:t>
      </w:r>
    </w:p>
    <w:p>
      <w:pPr>
        <w:numPr>
          <w:ilvl w:val="0"/>
          <w:numId w:val="1570"/>
        </w:numPr>
        <w:pStyle w:val="Compact"/>
      </w:pPr>
      <w:r>
        <w:t xml:space="preserve">☐ La documentación es coherente internamente y se reconcilia con la producción.</w:t>
      </w:r>
    </w:p>
    <w:bookmarkEnd w:id="1600"/>
    <w:bookmarkStart w:id="1601" w:name="Xe1487d3188f3f17cb233ad941968b535e6cf0cf"/>
    <w:p>
      <w:pPr>
        <w:pStyle w:val="Heading2"/>
      </w:pPr>
      <w:r>
        <w:rPr>
          <w:rStyle w:val="SectionNumber"/>
        </w:rPr>
        <w:t xml:space="preserve">2.187</w:t>
      </w:r>
      <w:r>
        <w:tab/>
      </w:r>
      <w:r>
        <w:t xml:space="preserve">7. Preparación para el registro y la trazabilidad</w:t>
      </w:r>
    </w:p>
    <w:p>
      <w:pPr>
        <w:numPr>
          <w:ilvl w:val="0"/>
          <w:numId w:val="1571"/>
        </w:numPr>
        <w:pStyle w:val="Compact"/>
      </w:pPr>
      <w:r>
        <w:t xml:space="preserve">☐ Los eventos requeridos se registran automáticamente cuando es necesario.</w:t>
      </w:r>
    </w:p>
    <w:p>
      <w:pPr>
        <w:numPr>
          <w:ilvl w:val="0"/>
          <w:numId w:val="1571"/>
        </w:numPr>
        <w:pStyle w:val="Compact"/>
      </w:pPr>
      <w:r>
        <w:t xml:space="preserve">☐ Se controla la retención de registros, la integridad, el acceso, la confidencialidad y la exportación.</w:t>
      </w:r>
    </w:p>
    <w:p>
      <w:pPr>
        <w:numPr>
          <w:ilvl w:val="0"/>
          <w:numId w:val="1571"/>
        </w:numPr>
        <w:pStyle w:val="Compact"/>
      </w:pPr>
      <w:r>
        <w:t xml:space="preserve">☐ Las entradas, salidas, anulaciones, acciones de herramientas, advertencias, errores e incidentes son rastreables.</w:t>
      </w:r>
    </w:p>
    <w:p>
      <w:pPr>
        <w:numPr>
          <w:ilvl w:val="0"/>
          <w:numId w:val="1571"/>
        </w:numPr>
        <w:pStyle w:val="Compact"/>
      </w:pPr>
      <w:r>
        <w:t xml:space="preserve">☐ Las versiones de producción y documentación pueden conciliarse.</w:t>
      </w:r>
    </w:p>
    <w:p>
      <w:pPr>
        <w:numPr>
          <w:ilvl w:val="0"/>
          <w:numId w:val="1571"/>
        </w:numPr>
        <w:pStyle w:val="Compact"/>
      </w:pPr>
      <w:r>
        <w:t xml:space="preserve">☐ Las pruebas están vinculadas a versiones y se pueden recuperar dentro de los plazos requeridos.</w:t>
      </w:r>
    </w:p>
    <w:p>
      <w:pPr>
        <w:numPr>
          <w:ilvl w:val="0"/>
          <w:numId w:val="1571"/>
        </w:numPr>
        <w:pStyle w:val="Compact"/>
      </w:pPr>
      <w:r>
        <w:t xml:space="preserve">☐ Los registros y las pruebas controlados por los proveedores son accesibles desde el punto de vista contractual y operacional.</w:t>
      </w:r>
    </w:p>
    <w:bookmarkEnd w:id="1601"/>
    <w:bookmarkStart w:id="1602" w:name="Xba02ee4002947155993ad8158e38a0cc7fb7108"/>
    <w:p>
      <w:pPr>
        <w:pStyle w:val="Heading2"/>
      </w:pPr>
      <w:r>
        <w:rPr>
          <w:rStyle w:val="SectionNumber"/>
        </w:rPr>
        <w:t xml:space="preserve">2.188</w:t>
      </w:r>
      <w:r>
        <w:tab/>
      </w:r>
      <w:r>
        <w:t xml:space="preserve">8. Transparencia y preparación para la supervisión humana</w:t>
      </w:r>
    </w:p>
    <w:p>
      <w:pPr>
        <w:numPr>
          <w:ilvl w:val="0"/>
          <w:numId w:val="1572"/>
        </w:numPr>
        <w:pStyle w:val="Compact"/>
      </w:pPr>
      <w:r>
        <w:t xml:space="preserve">☐ Las instrucciones de uso son completas y precisas.</w:t>
      </w:r>
    </w:p>
    <w:p>
      <w:pPr>
        <w:numPr>
          <w:ilvl w:val="0"/>
          <w:numId w:val="1572"/>
        </w:numPr>
        <w:pStyle w:val="Compact"/>
      </w:pPr>
      <w:r>
        <w:t xml:space="preserve">☐ Se divulgan los objetivos, el desempeño, las limitaciones, los riesgos y los requisitos de supervisión previstos.</w:t>
      </w:r>
    </w:p>
    <w:p>
      <w:pPr>
        <w:numPr>
          <w:ilvl w:val="0"/>
          <w:numId w:val="1572"/>
        </w:numPr>
        <w:pStyle w:val="Compact"/>
      </w:pPr>
      <w:r>
        <w:t xml:space="preserve">☐ Se implementan las notificaciones, etiquetas, divulgaciones, idiomas y accesibilidad requeridos.</w:t>
      </w:r>
    </w:p>
    <w:p>
      <w:pPr>
        <w:numPr>
          <w:ilvl w:val="0"/>
          <w:numId w:val="1572"/>
        </w:numPr>
        <w:pStyle w:val="Compact"/>
      </w:pPr>
      <w:r>
        <w:t xml:space="preserve">☐ Los revisores humanos son competentes, capacitados, autorizados, apoyados y adecuadamente dotados de personal.</w:t>
      </w:r>
    </w:p>
    <w:p>
      <w:pPr>
        <w:numPr>
          <w:ilvl w:val="0"/>
          <w:numId w:val="1572"/>
        </w:numPr>
        <w:pStyle w:val="Compact"/>
      </w:pPr>
      <w:r>
        <w:t xml:space="preserve">☐ Los mecanismos de anulación, detención, retirada, escalada, apelación y denuncia funcionan.</w:t>
      </w:r>
    </w:p>
    <w:p>
      <w:pPr>
        <w:numPr>
          <w:ilvl w:val="0"/>
          <w:numId w:val="1572"/>
        </w:numPr>
        <w:pStyle w:val="Compact"/>
      </w:pPr>
      <w:r>
        <w:t xml:space="preserve">☐ Los controles Automation-bias son implementados y probados.</w:t>
      </w:r>
    </w:p>
    <w:p>
      <w:pPr>
        <w:numPr>
          <w:ilvl w:val="0"/>
          <w:numId w:val="1572"/>
        </w:numPr>
        <w:pStyle w:val="Compact"/>
      </w:pPr>
      <w:r>
        <w:t xml:space="preserve">La entrega del desplegador y las pruebas de entrenamiento están completas.</w:t>
      </w:r>
    </w:p>
    <w:bookmarkEnd w:id="1602"/>
    <w:bookmarkStart w:id="1603" w:name="Xf44a326b2a07e00877d6f81e5fe912873f20e26"/>
    <w:p>
      <w:pPr>
        <w:pStyle w:val="Heading2"/>
      </w:pPr>
      <w:r>
        <w:rPr>
          <w:rStyle w:val="SectionNumber"/>
        </w:rPr>
        <w:t xml:space="preserve">2.189</w:t>
      </w:r>
      <w:r>
        <w:tab/>
      </w:r>
      <w:r>
        <w:t xml:space="preserve">9. Validación y preparación para las pruebas</w:t>
      </w:r>
    </w:p>
    <w:p>
      <w:pPr>
        <w:numPr>
          <w:ilvl w:val="0"/>
          <w:numId w:val="1573"/>
        </w:numPr>
        <w:pStyle w:val="Compact"/>
      </w:pPr>
      <w:r>
        <w:t xml:space="preserve">☐ Los criterios de aceptación están aprobados y basados en el riesgo.</w:t>
      </w:r>
    </w:p>
    <w:p>
      <w:pPr>
        <w:numPr>
          <w:ilvl w:val="0"/>
          <w:numId w:val="1573"/>
        </w:numPr>
        <w:pStyle w:val="Compact"/>
      </w:pPr>
      <w:r>
        <w:t xml:space="preserve">☐ Se prueba la eficacia del diseño y la eficacia del funcionamiento.</w:t>
      </w:r>
    </w:p>
    <w:p>
      <w:pPr>
        <w:numPr>
          <w:ilvl w:val="0"/>
          <w:numId w:val="1573"/>
        </w:numPr>
        <w:pStyle w:val="Compact"/>
      </w:pPr>
      <w:r>
        <w:t xml:space="preserve">☐ El rendimiento se prueba en condiciones esperadas, de borde, adversas y de mal uso.</w:t>
      </w:r>
    </w:p>
    <w:p>
      <w:pPr>
        <w:numPr>
          <w:ilvl w:val="0"/>
          <w:numId w:val="1573"/>
        </w:numPr>
        <w:pStyle w:val="Compact"/>
      </w:pPr>
      <w:r>
        <w:t xml:space="preserve">☐ Se evalúan subgrupos, idiomas, jurisdicciones y escenarios de accesibilidad pertinentes.</w:t>
      </w:r>
    </w:p>
    <w:p>
      <w:pPr>
        <w:numPr>
          <w:ilvl w:val="0"/>
          <w:numId w:val="1573"/>
        </w:numPr>
        <w:pStyle w:val="Compact"/>
      </w:pPr>
      <w:r>
        <w:t xml:space="preserve">☐ Precisión, incertidumbre, robustez, seguridad, resiliencia, retroceso y recuperación son probados.</w:t>
      </w:r>
    </w:p>
    <w:p>
      <w:pPr>
        <w:numPr>
          <w:ilvl w:val="0"/>
          <w:numId w:val="1573"/>
        </w:numPr>
        <w:pStyle w:val="Compact"/>
      </w:pPr>
      <w:r>
        <w:t xml:space="preserve">☐ Supervisión humana, anulación, parada y escalada son probados.</w:t>
      </w:r>
    </w:p>
    <w:p>
      <w:pPr>
        <w:numPr>
          <w:ilvl w:val="0"/>
          <w:numId w:val="1573"/>
        </w:numPr>
        <w:pStyle w:val="Compact"/>
      </w:pPr>
      <w:r>
        <w:t xml:space="preserve">☐ Se documentan conjuntos de datos de prueba, métodos, entornos, limitaciones, defectos y pruebas de reprueba.</w:t>
      </w:r>
    </w:p>
    <w:p>
      <w:pPr>
        <w:numPr>
          <w:ilvl w:val="0"/>
          <w:numId w:val="1573"/>
        </w:numPr>
        <w:pStyle w:val="Compact"/>
      </w:pPr>
      <w:r>
        <w:t xml:space="preserve">☐ Los defectos no resueltos se rigen como bloqueadores de liberación o condiciones aprobadas.</w:t>
      </w:r>
    </w:p>
    <w:bookmarkEnd w:id="1603"/>
    <w:bookmarkStart w:id="1604" w:name="X31ca1173eaf24978affea5bc34cd0813470e5e2"/>
    <w:p>
      <w:pPr>
        <w:pStyle w:val="Heading2"/>
      </w:pPr>
      <w:r>
        <w:rPr>
          <w:rStyle w:val="SectionNumber"/>
        </w:rPr>
        <w:t xml:space="preserve">2.190</w:t>
      </w:r>
      <w:r>
        <w:tab/>
      </w:r>
      <w:r>
        <w:t xml:space="preserve">10. Preparación para la gestión de la calidad</w:t>
      </w:r>
    </w:p>
    <w:p>
      <w:pPr>
        <w:pStyle w:val="FirstParagraph"/>
      </w:pPr>
      <w:r>
        <w:t xml:space="preserve">Confirme que el SGQ se dirige a:</w:t>
      </w:r>
    </w:p>
    <w:p>
      <w:pPr>
        <w:numPr>
          <w:ilvl w:val="0"/>
          <w:numId w:val="1574"/>
        </w:numPr>
        <w:pStyle w:val="Compact"/>
      </w:pPr>
      <w:r>
        <w:t xml:space="preserve">estrategia de cumplimiento y responsabilidad;</w:t>
      </w:r>
    </w:p>
    <w:p>
      <w:pPr>
        <w:numPr>
          <w:ilvl w:val="0"/>
          <w:numId w:val="1574"/>
        </w:numPr>
        <w:pStyle w:val="Compact"/>
      </w:pPr>
      <w:r>
        <w:t xml:space="preserve">control del diseño y del desarrollo;</w:t>
      </w:r>
    </w:p>
    <w:p>
      <w:pPr>
        <w:numPr>
          <w:ilvl w:val="0"/>
          <w:numId w:val="1574"/>
        </w:numPr>
        <w:pStyle w:val="Compact"/>
      </w:pPr>
      <w:r>
        <w:t xml:space="preserve">validación y aceptación;</w:t>
      </w:r>
    </w:p>
    <w:p>
      <w:pPr>
        <w:numPr>
          <w:ilvl w:val="0"/>
          <w:numId w:val="1574"/>
        </w:numPr>
        <w:pStyle w:val="Compact"/>
      </w:pPr>
      <w:r>
        <w:t xml:space="preserve">gobernanza de los datos;</w:t>
      </w:r>
    </w:p>
    <w:p>
      <w:pPr>
        <w:numPr>
          <w:ilvl w:val="0"/>
          <w:numId w:val="1574"/>
        </w:numPr>
        <w:pStyle w:val="Compact"/>
      </w:pPr>
      <w:r>
        <w:t xml:space="preserve">documentación técnica y registros;</w:t>
      </w:r>
    </w:p>
    <w:p>
      <w:pPr>
        <w:numPr>
          <w:ilvl w:val="0"/>
          <w:numId w:val="1574"/>
        </w:numPr>
        <w:pStyle w:val="Compact"/>
      </w:pPr>
      <w:r>
        <w:t xml:space="preserve">gobernanza de proveedores y componentes;</w:t>
      </w:r>
    </w:p>
    <w:p>
      <w:pPr>
        <w:numPr>
          <w:ilvl w:val="0"/>
          <w:numId w:val="1574"/>
        </w:numPr>
        <w:pStyle w:val="Compact"/>
      </w:pPr>
      <w:r>
        <w:t xml:space="preserve">liberación, configuración y control de cambios;</w:t>
      </w:r>
    </w:p>
    <w:p>
      <w:pPr>
        <w:numPr>
          <w:ilvl w:val="0"/>
          <w:numId w:val="1574"/>
        </w:numPr>
        <w:pStyle w:val="Compact"/>
      </w:pPr>
      <w:r>
        <w:t xml:space="preserve">seguimiento post-comercialización;</w:t>
      </w:r>
    </w:p>
    <w:p>
      <w:pPr>
        <w:numPr>
          <w:ilvl w:val="0"/>
          <w:numId w:val="1574"/>
        </w:numPr>
        <w:pStyle w:val="Compact"/>
      </w:pPr>
      <w:r>
        <w:t xml:space="preserve">incidentes, quejas y medidas correctivas;</w:t>
      </w:r>
    </w:p>
    <w:p>
      <w:pPr>
        <w:numPr>
          <w:ilvl w:val="0"/>
          <w:numId w:val="1574"/>
        </w:numPr>
        <w:pStyle w:val="Compact"/>
      </w:pPr>
      <w:r>
        <w:t xml:space="preserve">autoridad, organismo notificado y cooperación con el cliente;</w:t>
      </w:r>
    </w:p>
    <w:p>
      <w:pPr>
        <w:numPr>
          <w:ilvl w:val="0"/>
          <w:numId w:val="1574"/>
        </w:numPr>
        <w:pStyle w:val="Compact"/>
      </w:pPr>
      <w:r>
        <w:t xml:space="preserve">competencia, formación y garantía interna;</w:t>
      </w:r>
    </w:p>
    <w:p>
      <w:pPr>
        <w:numPr>
          <w:ilvl w:val="0"/>
          <w:numId w:val="1574"/>
        </w:numPr>
        <w:pStyle w:val="Compact"/>
      </w:pPr>
      <w:r>
        <w:t xml:space="preserve">retención de documentos y control de versiones.</w:t>
      </w:r>
    </w:p>
    <w:bookmarkEnd w:id="1604"/>
    <w:bookmarkStart w:id="1605" w:name="X980cd2839b1b73503cbb013622b8bd0962b4bb7"/>
    <w:p>
      <w:pPr>
        <w:pStyle w:val="Heading2"/>
      </w:pPr>
      <w:r>
        <w:rPr>
          <w:rStyle w:val="SectionNumber"/>
        </w:rPr>
        <w:t xml:space="preserve">2.191</w:t>
      </w:r>
      <w:r>
        <w:tab/>
      </w:r>
      <w:r>
        <w:t xml:space="preserve">11. Preparación para situaciones posteriores a la comercialización e incidentes</w:t>
      </w:r>
    </w:p>
    <w:p>
      <w:pPr>
        <w:numPr>
          <w:ilvl w:val="0"/>
          <w:numId w:val="1575"/>
        </w:numPr>
        <w:pStyle w:val="Compact"/>
      </w:pPr>
      <w:r>
        <w:t xml:space="preserve">☐ Se definen indicadores de seguimiento, umbrales, frecuencia y propietarios.</w:t>
      </w:r>
    </w:p>
    <w:p>
      <w:pPr>
        <w:numPr>
          <w:ilvl w:val="0"/>
          <w:numId w:val="1575"/>
        </w:numPr>
        <w:pStyle w:val="Compact"/>
      </w:pPr>
      <w:r>
        <w:t xml:space="preserve">☐ Las quejas, apelaciones, incidentes, deriva, anulaciones y cambios de proveedores son revisados.</w:t>
      </w:r>
    </w:p>
    <w:p>
      <w:pPr>
        <w:numPr>
          <w:ilvl w:val="0"/>
          <w:numId w:val="1575"/>
        </w:numPr>
        <w:pStyle w:val="Compact"/>
      </w:pPr>
      <w:r>
        <w:t xml:space="preserve">☐ Se documentan las rutas de evaluación y notificación de incidentes graves.</w:t>
      </w:r>
    </w:p>
    <w:p>
      <w:pPr>
        <w:numPr>
          <w:ilvl w:val="0"/>
          <w:numId w:val="1575"/>
        </w:numPr>
        <w:pStyle w:val="Compact"/>
      </w:pPr>
      <w:r>
        <w:t xml:space="preserve">☐ Se prueban los procesos de acción correctiva, restricción, retroceso, retirada, y restauración.</w:t>
      </w:r>
    </w:p>
    <w:p>
      <w:pPr>
        <w:numPr>
          <w:ilvl w:val="0"/>
          <w:numId w:val="1575"/>
        </w:numPr>
        <w:pStyle w:val="Compact"/>
      </w:pPr>
      <w:r>
        <w:t xml:space="preserve">☐ Se rastrean los compromisos reglamentarios y las comunicaciones de autoridad.</w:t>
      </w:r>
    </w:p>
    <w:p>
      <w:pPr>
        <w:numPr>
          <w:ilvl w:val="0"/>
          <w:numId w:val="1575"/>
        </w:numPr>
        <w:pStyle w:val="Compact"/>
      </w:pPr>
      <w:r>
        <w:t xml:space="preserve">☐ La vigilancia y las pruebas de incidentes están vinculadas a la versión de producción.</w:t>
      </w:r>
    </w:p>
    <w:bookmarkEnd w:id="1605"/>
    <w:bookmarkStart w:id="1606" w:name="Xe4751e62ae04d7e612d0502b76d4c7b2bff3be8"/>
    <w:p>
      <w:pPr>
        <w:pStyle w:val="Heading2"/>
      </w:pPr>
      <w:r>
        <w:rPr>
          <w:rStyle w:val="SectionNumber"/>
        </w:rPr>
        <w:t xml:space="preserve">2.192</w:t>
      </w:r>
      <w:r>
        <w:tab/>
      </w:r>
      <w:r>
        <w:t xml:space="preserve">12. Ruta de conformidad y productos oficiales</w:t>
      </w:r>
    </w:p>
    <w:p>
      <w:pPr>
        <w:pStyle w:val="FirstParagraph"/>
      </w:pPr>
      <w:r>
        <w:t xml:space="preserve">Confirme, según proceda:</w:t>
      </w:r>
    </w:p>
    <w:p>
      <w:pPr>
        <w:numPr>
          <w:ilvl w:val="0"/>
          <w:numId w:val="1576"/>
        </w:numPr>
        <w:pStyle w:val="Compact"/>
      </w:pPr>
      <w:r>
        <w:t xml:space="preserve">☐ ruta de control interno o de organismo notificado seleccionada correctamente;</w:t>
      </w:r>
    </w:p>
    <w:p>
      <w:pPr>
        <w:numPr>
          <w:ilvl w:val="0"/>
          <w:numId w:val="1576"/>
        </w:numPr>
        <w:pStyle w:val="Compact"/>
      </w:pPr>
      <w:r>
        <w:t xml:space="preserve">☐ se identifica el procedimiento de conformidad del sector del producto;</w:t>
      </w:r>
    </w:p>
    <w:p>
      <w:pPr>
        <w:numPr>
          <w:ilvl w:val="0"/>
          <w:numId w:val="1576"/>
        </w:numPr>
        <w:pStyle w:val="Compact"/>
      </w:pPr>
      <w:r>
        <w:t xml:space="preserve">☐ Compromiso y alcance de los organismos notificados completados;</w:t>
      </w:r>
    </w:p>
    <w:p>
      <w:pPr>
        <w:numPr>
          <w:ilvl w:val="0"/>
          <w:numId w:val="1576"/>
        </w:numPr>
        <w:pStyle w:val="Compact"/>
      </w:pPr>
      <w:r>
        <w:t xml:space="preserve">☐ las normas armonizadas o las especificaciones comunes identificadas, incluidas las limitaciones;</w:t>
      </w:r>
    </w:p>
    <w:p>
      <w:pPr>
        <w:numPr>
          <w:ilvl w:val="0"/>
          <w:numId w:val="1576"/>
        </w:numPr>
        <w:pStyle w:val="Compact"/>
      </w:pPr>
      <w:r>
        <w:t xml:space="preserve">☐ Documentación completa del anexo IV;</w:t>
      </w:r>
    </w:p>
    <w:p>
      <w:pPr>
        <w:numPr>
          <w:ilvl w:val="0"/>
          <w:numId w:val="1576"/>
        </w:numPr>
        <w:pStyle w:val="Compact"/>
      </w:pPr>
      <w:r>
        <w:t xml:space="preserve">☐ documentación técnica y de calidad disponible para su examen;</w:t>
      </w:r>
    </w:p>
    <w:p>
      <w:pPr>
        <w:numPr>
          <w:ilvl w:val="0"/>
          <w:numId w:val="1576"/>
        </w:numPr>
        <w:pStyle w:val="Compact"/>
      </w:pPr>
      <w:r>
        <w:t xml:space="preserve">☐ Declaración UE de conformidad preparada y aprobada;</w:t>
      </w:r>
    </w:p>
    <w:p>
      <w:pPr>
        <w:numPr>
          <w:ilvl w:val="0"/>
          <w:numId w:val="1576"/>
        </w:numPr>
        <w:pStyle w:val="Compact"/>
      </w:pPr>
      <w:r>
        <w:t xml:space="preserve">☐ Se cumplen los requisitos de marcado CE;</w:t>
      </w:r>
    </w:p>
    <w:p>
      <w:pPr>
        <w:numPr>
          <w:ilvl w:val="0"/>
          <w:numId w:val="1576"/>
        </w:numPr>
        <w:pStyle w:val="Compact"/>
      </w:pPr>
      <w:r>
        <w:t xml:space="preserve">☐ Registro completo de la base de datos de la UE;</w:t>
      </w:r>
    </w:p>
    <w:p>
      <w:pPr>
        <w:numPr>
          <w:ilvl w:val="0"/>
          <w:numId w:val="1576"/>
        </w:numPr>
        <w:pStyle w:val="Compact"/>
      </w:pPr>
      <w:r>
        <w:t xml:space="preserve">☐ derechos de representante, importador, distribuidor y fabricante de productos autorizados completos;</w:t>
      </w:r>
    </w:p>
    <w:p>
      <w:pPr>
        <w:numPr>
          <w:ilvl w:val="0"/>
          <w:numId w:val="1576"/>
        </w:numPr>
        <w:pStyle w:val="Compact"/>
      </w:pPr>
      <w:r>
        <w:t xml:space="preserve">☐ se conservan pruebas de conformidad, declaración, registro, marcado y versión.</w:t>
      </w:r>
    </w:p>
    <w:bookmarkEnd w:id="1606"/>
    <w:bookmarkStart w:id="1607" w:name="conciliación-producción-versión-1"/>
    <w:p>
      <w:pPr>
        <w:pStyle w:val="Heading2"/>
      </w:pPr>
      <w:r>
        <w:rPr>
          <w:rStyle w:val="SectionNumber"/>
        </w:rPr>
        <w:t xml:space="preserve">2.193</w:t>
      </w:r>
      <w:r>
        <w:tab/>
      </w:r>
      <w:r>
        <w:t xml:space="preserve">13. Conciliación producción-versión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Componente</w:t>
            </w:r>
          </w:p>
        </w:tc>
        <w:tc>
          <w:tcPr/>
          <w:p>
            <w:pPr>
              <w:pStyle w:val="Compact"/>
              <w:jc w:val="left"/>
            </w:pPr>
            <w:r>
              <w:t xml:space="preserve">Versión de producción</w:t>
            </w:r>
          </w:p>
        </w:tc>
        <w:tc>
          <w:tcPr/>
          <w:p>
            <w:pPr>
              <w:pStyle w:val="Compact"/>
              <w:jc w:val="left"/>
            </w:pPr>
            <w:r>
              <w:t xml:space="preserve">Versión evaluada/documentada</w:t>
            </w:r>
          </w:p>
        </w:tc>
        <w:tc>
          <w:tcPr/>
          <w:p>
            <w:pPr>
              <w:pStyle w:val="Compact"/>
              <w:jc w:val="left"/>
            </w:pPr>
            <w:r>
              <w:t xml:space="preserve">¿Coincidencia?</w:t>
            </w:r>
          </w:p>
        </w:tc>
        <w:tc>
          <w:tcPr/>
          <w:p>
            <w:pPr>
              <w:pStyle w:val="Compact"/>
              <w:jc w:val="left"/>
            </w:pPr>
            <w:r>
              <w:t xml:space="preserve">Resolución</w:t>
            </w:r>
          </w:p>
        </w:tc>
      </w:tr>
      <w:tr>
        <w:tc>
          <w:tcPr/>
          <w:p>
            <w:pPr>
              <w:pStyle w:val="Compact"/>
              <w:jc w:val="left"/>
            </w:pPr>
            <w:r>
              <w:t xml:space="preserve">Modelo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Sistema/código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Datos/retrieval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Prompts/herramientas/agentes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Configuración/umbrales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Interfaz/notificaciones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Registro/vigilancia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607"/>
    <w:bookmarkStart w:id="1608" w:name="estado-de-preparación-final"/>
    <w:p>
      <w:pPr>
        <w:pStyle w:val="Heading2"/>
      </w:pPr>
      <w:r>
        <w:rPr>
          <w:rStyle w:val="SectionNumber"/>
        </w:rPr>
        <w:t xml:space="preserve">2.194</w:t>
      </w:r>
      <w:r>
        <w:tab/>
      </w:r>
      <w:r>
        <w:t xml:space="preserve">14. Estado de preparación final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Zona</w:t>
            </w:r>
          </w:p>
        </w:tc>
        <w:tc>
          <w:tcPr/>
          <w:p>
            <w:pPr>
              <w:pStyle w:val="Compact"/>
              <w:jc w:val="left"/>
            </w:pPr>
            <w:r>
              <w:t xml:space="preserve">Listo</w:t>
            </w:r>
          </w:p>
        </w:tc>
        <w:tc>
          <w:tcPr/>
          <w:p>
            <w:pPr>
              <w:pStyle w:val="Compact"/>
              <w:jc w:val="left"/>
            </w:pPr>
            <w:r>
              <w:t xml:space="preserve">Parcialmente listo</w:t>
            </w:r>
          </w:p>
        </w:tc>
        <w:tc>
          <w:tcPr/>
          <w:p>
            <w:pPr>
              <w:pStyle w:val="Compact"/>
              <w:jc w:val="left"/>
            </w:pPr>
            <w:r>
              <w:t xml:space="preserve">No está listo</w:t>
            </w:r>
          </w:p>
        </w:tc>
        <w:tc>
          <w:tcPr/>
          <w:p>
            <w:pPr>
              <w:pStyle w:val="Compact"/>
              <w:jc w:val="left"/>
            </w:pPr>
            <w:r>
              <w:t xml:space="preserve">Referencia de las pruebas</w:t>
            </w:r>
          </w:p>
        </w:tc>
      </w:tr>
      <w:tr>
        <w:tc>
          <w:tcPr/>
          <w:p>
            <w:pPr>
              <w:pStyle w:val="Compact"/>
              <w:jc w:val="left"/>
            </w:pPr>
            <w:r>
              <w:t xml:space="preserve">Gobernanza y SGC</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Gestión de riesgos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Gobernanza de los datos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Documentación técnica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Registro y trazabilidad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Transparencia e instrucciones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Supervisión humana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Validación y pruebas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Seguimiento posterior a la comercialización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Incidentes y medidas correctivas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Salidas formales de 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608"/>
    <w:bookmarkStart w:id="1609" w:name="decisión-sobre-la-preparación"/>
    <w:p>
      <w:pPr>
        <w:pStyle w:val="Heading2"/>
      </w:pPr>
      <w:r>
        <w:rPr>
          <w:rStyle w:val="SectionNumber"/>
        </w:rPr>
        <w:t xml:space="preserve">2.195</w:t>
      </w:r>
      <w:r>
        <w:tab/>
      </w:r>
      <w:r>
        <w:t xml:space="preserve">15. Decisión sobre la preparación</w:t>
      </w:r>
    </w:p>
    <w:p>
      <w:pPr>
        <w:numPr>
          <w:ilvl w:val="0"/>
          <w:numId w:val="1577"/>
        </w:numPr>
        <w:pStyle w:val="Compact"/>
      </w:pPr>
      <w:r>
        <w:t xml:space="preserve">☐ Listo para introducir el procedimiento de conformidad aplicable</w:t>
      </w:r>
    </w:p>
    <w:p>
      <w:pPr>
        <w:numPr>
          <w:ilvl w:val="0"/>
          <w:numId w:val="1577"/>
        </w:numPr>
        <w:pStyle w:val="Compact"/>
      </w:pPr>
      <w:r>
        <w:t xml:space="preserve">☐ Listo sujeto a las condiciones enumeradas</w:t>
      </w:r>
    </w:p>
    <w:p>
      <w:pPr>
        <w:numPr>
          <w:ilvl w:val="0"/>
          <w:numId w:val="1577"/>
        </w:numPr>
        <w:pStyle w:val="Compact"/>
      </w:pPr>
      <w:r>
        <w:t xml:space="preserve">☐ No está listo — Remediación requerida</w:t>
      </w:r>
    </w:p>
    <w:p>
      <w:pPr>
        <w:numPr>
          <w:ilvl w:val="0"/>
          <w:numId w:val="1577"/>
        </w:numPr>
        <w:pStyle w:val="Compact"/>
      </w:pPr>
      <w:r>
        <w:t xml:space="preserve">☐ Liberación o colocación en el mercado bloqueada</w:t>
      </w:r>
    </w:p>
    <w:p>
      <w:pPr>
        <w:numPr>
          <w:ilvl w:val="0"/>
          <w:numId w:val="1577"/>
        </w:numPr>
        <w:pStyle w:val="Compact"/>
      </w:pPr>
      <w:r>
        <w:t xml:space="preserve">☐ Ruta o clasificación inciertas: se requiere un examen legal o de conformidad calificado</w:t>
      </w:r>
    </w:p>
    <w:p>
      <w:pPr>
        <w:pStyle w:val="FirstParagraph"/>
      </w:pPr>
      <w:r>
        <w:t xml:space="preserve">** Justificación de la decisión:</w:t>
      </w:r>
      <w:r>
        <w:rPr>
          <w:bCs/>
          <w:b/>
        </w:rPr>
        <w:t xml:space="preserve"> </w:t>
      </w:r>
      <w:r>
        <w:t xml:space="preserve"> </w:t>
      </w:r>
      <w:r>
        <w:t xml:space="preserve">Estado de conformidad formal:</w:t>
      </w:r>
      <w:r>
        <w:rPr>
          <w:bCs/>
          <w:b/>
        </w:rPr>
        <w:t xml:space="preserve"> </w:t>
      </w:r>
      <w:r>
        <w:t xml:space="preserve"> </w:t>
      </w:r>
      <w:r>
        <w:t xml:space="preserve">Estado del cuerpo notificado:</w:t>
      </w:r>
      <w:r>
        <w:rPr>
          <w:bCs/>
          <w:b/>
        </w:rPr>
        <w:t xml:space="preserve"> </w:t>
      </w:r>
      <w:r>
        <w:t xml:space="preserve"> </w:t>
      </w:r>
      <w:r>
        <w:t xml:space="preserve">Condiciones y bloqueadores de liberación:**</w:t>
      </w:r>
    </w:p>
    <w:p>
      <w:pPr>
        <w:pStyle w:val="BodyText"/>
      </w:pPr>
      <w:r>
        <w:t xml:space="preserve">La aprobación de preparación no debe describirse como conformidad completa, autorización, certificación o permiso para poner el sistema en el mercado o ponerlo en servicio.</w:t>
      </w:r>
    </w:p>
    <w:bookmarkEnd w:id="1609"/>
    <w:bookmarkStart w:id="1610" w:name="acciones-abiertas"/>
    <w:p>
      <w:pPr>
        <w:pStyle w:val="Heading2"/>
      </w:pPr>
      <w:r>
        <w:rPr>
          <w:rStyle w:val="SectionNumber"/>
        </w:rPr>
        <w:t xml:space="preserve">2.196</w:t>
      </w:r>
      <w:r>
        <w:tab/>
      </w:r>
      <w:r>
        <w:t xml:space="preserve">16. Acciones abiertas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Efectos jurídicos</w:t>
            </w:r>
          </w:p>
        </w:tc>
        <w:tc>
          <w:tcPr/>
          <w:p>
            <w:pPr>
              <w:pStyle w:val="Compact"/>
              <w:jc w:val="left"/>
            </w:pPr>
            <w:r>
              <w:t xml:space="preserve">Prioridad</w:t>
            </w:r>
          </w:p>
        </w:tc>
        <w:tc>
          <w:tcPr/>
          <w:p>
            <w:pPr>
              <w:pStyle w:val="Compact"/>
              <w:jc w:val="left"/>
            </w:pPr>
            <w:r>
              <w:t xml:space="preserve">Validación</w:t>
            </w:r>
          </w:p>
        </w:tc>
        <w:tc>
          <w:tcPr/>
          <w:p>
            <w:pPr>
              <w:pStyle w:val="Compact"/>
              <w:jc w:val="left"/>
            </w:pPr>
            <w:r>
              <w:t xml:space="preserve">Pruebas de cierre</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610"/>
    <w:bookmarkStart w:id="1611" w:name="detonadores-de-la-revisión-5"/>
    <w:p>
      <w:pPr>
        <w:pStyle w:val="Heading2"/>
      </w:pPr>
      <w:r>
        <w:rPr>
          <w:rStyle w:val="SectionNumber"/>
        </w:rPr>
        <w:t xml:space="preserve">2.197</w:t>
      </w:r>
      <w:r>
        <w:tab/>
      </w:r>
      <w:r>
        <w:t xml:space="preserve">17. Detonadores de la revisión</w:t>
      </w:r>
    </w:p>
    <w:p>
      <w:pPr>
        <w:pStyle w:val="FirstParagraph"/>
      </w:pPr>
      <w:r>
        <w:t xml:space="preserve">Volver a evaluar después de:</w:t>
      </w:r>
    </w:p>
    <w:p>
      <w:pPr>
        <w:numPr>
          <w:ilvl w:val="0"/>
          <w:numId w:val="1578"/>
        </w:numPr>
        <w:pStyle w:val="Compact"/>
      </w:pPr>
      <w:r>
        <w:t xml:space="preserve">clasificación, función, finalidad prevista, producto o cambio de ruta de conformidad;</w:t>
      </w:r>
    </w:p>
    <w:p>
      <w:pPr>
        <w:numPr>
          <w:ilvl w:val="0"/>
          <w:numId w:val="1578"/>
        </w:numPr>
        <w:pStyle w:val="Compact"/>
      </w:pPr>
      <w:r>
        <w:t xml:space="preserve">modelo, sistema, datos, rapidez, herramienta, agente, interfaz o cambio de infraestructura;</w:t>
      </w:r>
    </w:p>
    <w:p>
      <w:pPr>
        <w:numPr>
          <w:ilvl w:val="0"/>
          <w:numId w:val="1578"/>
        </w:numPr>
        <w:pStyle w:val="Compact"/>
      </w:pPr>
      <w:r>
        <w:t xml:space="preserve">uso predeterminado del plan de cambio o modificación sustancial;</w:t>
      </w:r>
    </w:p>
    <w:p>
      <w:pPr>
        <w:numPr>
          <w:ilvl w:val="0"/>
          <w:numId w:val="1578"/>
        </w:numPr>
        <w:pStyle w:val="Compact"/>
      </w:pPr>
      <w:r>
        <w:t xml:space="preserve">cambio de proveedor, importador, distribuidor, representante o fabricante de productos;</w:t>
      </w:r>
    </w:p>
    <w:p>
      <w:pPr>
        <w:numPr>
          <w:ilvl w:val="0"/>
          <w:numId w:val="1578"/>
        </w:numPr>
        <w:pStyle w:val="Compact"/>
      </w:pPr>
      <w:r>
        <w:t xml:space="preserve">prueba, incidente, reclamación, auditoría, organismo notificado o determinación de la autoridad que ha fallado;</w:t>
      </w:r>
    </w:p>
    <w:p>
      <w:pPr>
        <w:numPr>
          <w:ilvl w:val="0"/>
          <w:numId w:val="1578"/>
        </w:numPr>
        <w:pStyle w:val="Compact"/>
      </w:pPr>
      <w:r>
        <w:t xml:space="preserve">nueva norma armonizada, especificación común, modificación legal o fecha de aplicación;</w:t>
      </w:r>
    </w:p>
    <w:p>
      <w:pPr>
        <w:numPr>
          <w:ilvl w:val="0"/>
          <w:numId w:val="1578"/>
        </w:numPr>
        <w:pStyle w:val="Compact"/>
      </w:pPr>
      <w:r>
        <w:t xml:space="preserve">suspensión, retroceso, retirada, retirada o restauración.</w:t>
      </w:r>
    </w:p>
    <w:bookmarkEnd w:id="1611"/>
    <w:bookmarkStart w:id="1612" w:name="X8ccf5afcdd1b3c41bcabba3b14209648670c46c"/>
    <w:p>
      <w:pPr>
        <w:pStyle w:val="Heading2"/>
      </w:pPr>
      <w:r>
        <w:rPr>
          <w:rStyle w:val="SectionNumber"/>
        </w:rPr>
        <w:t xml:space="preserve">2.198</w:t>
      </w:r>
      <w:r>
        <w:tab/>
      </w:r>
      <w:r>
        <w:t xml:space="preserve">Ejemplo de servicios de viajes de GlobalWay</w:t>
      </w:r>
    </w:p>
    <w:p>
      <w:pPr>
        <w:pStyle w:val="FirstParagraph"/>
      </w:pPr>
      <w:r>
        <w:t xml:space="preserve">GlobalWay prepara un sistema de asignación de empleados para la revisión de la conformidad. La evaluación de la disponibilidad confirma el riesgo, los datos, la supervisión, la validación, el QMS y el trabajo post-comercialización completados, pero encuentra que el modelo de proveedor de producción difiere de la versión documentada y que la evidencia de registro es incompleta. GlobalWay bloquea la publicación, actualiza la documentación técnica, repite la validación, resuelve el problema de registro y sólo entonces aprueba la entrada en el proceso de conformidad formal aplicable.</w:t>
      </w:r>
    </w:p>
    <w:bookmarkEnd w:id="1612"/>
    <w:bookmarkStart w:id="1613" w:name="homologación-9"/>
    <w:p>
      <w:pPr>
        <w:pStyle w:val="Heading2"/>
      </w:pPr>
      <w:r>
        <w:rPr>
          <w:rStyle w:val="SectionNumber"/>
        </w:rPr>
        <w:t xml:space="preserve">2.199</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Proveedor/propietario del negocio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técnico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Calidad/Cumplimiento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Titular legal/de la 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 de los productos/propietario del sector,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 </w:t>
      </w:r>
      <w:r>
        <w:t xml:space="preserve">Limitaciones de los recursos:</w:t>
      </w:r>
      <w:r>
        <w:rPr>
          <w:bCs/>
          <w:b/>
        </w:rPr>
        <w:t xml:space="preserve"> </w:t>
      </w:r>
      <w:r>
        <w:t xml:space="preserve">Pedido/fecha de la próxima revisión:</w:t>
      </w:r>
      <w:r>
        <w:rPr>
          <w:bCs/>
          <w:b/>
        </w:rPr>
        <w:t xml:space="preserve"> </w:t>
      </w:r>
      <w:r>
        <w:t xml:space="preserve"> </w:t>
      </w:r>
      <w:r>
        <w:t xml:space="preserve">Versión de evaluación:**</w:t>
      </w:r>
    </w:p>
    <w:bookmarkEnd w:id="1613"/>
    <w:bookmarkStart w:id="1614" w:name="referencias-jurídicas-primarias-118"/>
    <w:p>
      <w:pPr>
        <w:pStyle w:val="Heading2"/>
      </w:pPr>
      <w:r>
        <w:rPr>
          <w:rStyle w:val="SectionNumber"/>
        </w:rPr>
        <w:t xml:space="preserve">2.200</w:t>
      </w:r>
      <w:r>
        <w:tab/>
      </w:r>
      <w:r>
        <w:t xml:space="preserve">Referencias jurídicas primarias</w:t>
      </w:r>
    </w:p>
    <w:p>
      <w:pPr>
        <w:numPr>
          <w:ilvl w:val="0"/>
          <w:numId w:val="1579"/>
        </w:numPr>
        <w:pStyle w:val="Compact"/>
      </w:pPr>
      <w:r>
        <w:t xml:space="preserve">Reglamento (UE) 2024/1689, modificado: artículos 8 a 17, artículo 43, artículos 47 a 49, obligaciones del proveedor y de la cadena de valor, seguimiento posterior a la comercialización, incidente, acción correctora, autoridad y anexos IV, VI, VII y VIII aplicables.</w:t>
      </w:r>
    </w:p>
    <w:p>
      <w:pPr>
        <w:numPr>
          <w:ilvl w:val="0"/>
          <w:numId w:val="1579"/>
        </w:numPr>
        <w:pStyle w:val="Compact"/>
      </w:pPr>
      <w:r>
        <w:t xml:space="preserve">Reglamento (UE) 2026/1744, en su caso.</w:t>
      </w:r>
    </w:p>
    <w:p>
      <w:pPr>
        <w:numPr>
          <w:ilvl w:val="0"/>
          <w:numId w:val="1579"/>
        </w:numPr>
        <w:pStyle w:val="Compact"/>
      </w:pPr>
      <w:r>
        <w:t xml:space="preserve">Legislación aplicable sobre productos del anexo I, normas armonizadas, especificaciones comunes y requisitos de los organismos notificados.</w:t>
      </w:r>
    </w:p>
    <w:p>
      <w:pPr>
        <w:numPr>
          <w:ilvl w:val="0"/>
          <w:numId w:val="1579"/>
        </w:numPr>
        <w:pStyle w:val="Compact"/>
      </w:pPr>
      <w:r>
        <w:t xml:space="preserve">Los textos oficiales consolidados actuales y el control del procedimiento formal de conformidad aplicable a esta lista de verificación.</w:t>
      </w:r>
    </w:p>
    <w:bookmarkEnd w:id="1614"/>
    <w:bookmarkStart w:id="1615" w:name="Xec4aeaee26cd360be730057796b47b5d2c18cf4"/>
    <w:p>
      <w:pPr>
        <w:pStyle w:val="Heading2"/>
      </w:pPr>
      <w:r>
        <w:rPr>
          <w:rStyle w:val="SectionNumber"/>
        </w:rPr>
        <w:t xml:space="preserve">2.201</w:t>
      </w:r>
      <w:r>
        <w:tab/>
      </w:r>
      <w:r>
        <w:t xml:space="preserve">Apéndice M — Plan de seguimiento posterior al mercado</w:t>
      </w:r>
    </w:p>
    <w:p>
      <w:pPr>
        <w:pStyle w:val="BlockText"/>
      </w:pPr>
      <w:r>
        <w:rPr>
          <w:bCs/>
          <w:b/>
        </w:rPr>
        <w:t xml:space="preserve">Estatus legal:</w:t>
      </w:r>
      <w:r>
        <w:t xml:space="preserve"> </w:t>
      </w:r>
      <w:r>
        <w:t xml:space="preserve">Maestro inglés corregido. Para los proveedores de sistemas de IA de alto riesgo, este plan apoya el Artículo 72.Para los implementadores y otros actores, el monitoreo puede ser requerido por otras disposiciones de la Ley de IA, otras leyes, contratos o políticas de organización y debe ser identificado por separado.</w:t>
      </w:r>
    </w:p>
    <w:bookmarkEnd w:id="1615"/>
    <w:bookmarkStart w:id="1616" w:name="finalidad-29"/>
    <w:p>
      <w:pPr>
        <w:pStyle w:val="Heading2"/>
      </w:pPr>
      <w:r>
        <w:rPr>
          <w:rStyle w:val="SectionNumber"/>
        </w:rPr>
        <w:t xml:space="preserve">2.202</w:t>
      </w:r>
      <w:r>
        <w:tab/>
      </w:r>
      <w:r>
        <w:t xml:space="preserve">Finalidad</w:t>
      </w:r>
    </w:p>
    <w:p>
      <w:pPr>
        <w:pStyle w:val="FirstParagraph"/>
      </w:pPr>
      <w:r>
        <w:t xml:space="preserve">Utilice este plan para definir cómo se supervisará un sistema de IA después de la colocación en el mercado o el despliegue en función del rendimiento, la seguridad, los impactos sobre los derechos fundamentales, la ciberseguridad, las quejas, los incidentes, el mal uso, los cambios en los proveedores, los fallos de control y el cumplimiento continuo.</w:t>
      </w:r>
    </w:p>
    <w:p>
      <w:pPr>
        <w:pStyle w:val="BodyText"/>
      </w:pPr>
      <w:r>
        <w:t xml:space="preserve">El plan debe ser activo, sistemático, proporcionado, vinculado a la versión, integrado con la gestión del riesgo y la calidad, y capaz de desencadenar una investigación oportuna, restricción, suspensión, notificación, medidas correctoras, retirada o retirada.</w:t>
      </w:r>
    </w:p>
    <w:bookmarkEnd w:id="1616"/>
    <w:bookmarkStart w:id="1617" w:name="registro-de-aplicabilidad-1"/>
    <w:p>
      <w:pPr>
        <w:pStyle w:val="Heading2"/>
      </w:pPr>
      <w:r>
        <w:rPr>
          <w:rStyle w:val="SectionNumber"/>
        </w:rPr>
        <w:t xml:space="preserve">2.203</w:t>
      </w:r>
      <w:r>
        <w:tab/>
      </w:r>
      <w:r>
        <w:t xml:space="preserve">1. Registro de aplicabilidad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Entidad jurídica y función de actor</w:t>
            </w:r>
          </w:p>
        </w:tc>
        <w:tc>
          <w:tcPr/>
          <w:p>
            <w:pPr>
              <w:pStyle w:val="Compact"/>
              <w:jc w:val="left"/>
            </w:pPr>
            <w:r>
              <w:t xml:space="preserve">- No, no.</w:t>
            </w:r>
          </w:p>
        </w:tc>
      </w:tr>
      <w:tr>
        <w:tc>
          <w:tcPr/>
          <w:p>
            <w:pPr>
              <w:pStyle w:val="Compact"/>
              <w:jc w:val="left"/>
            </w:pPr>
            <w:r>
              <w:t xml:space="preserve">Sistema/modelo e identificación del inventario</w:t>
            </w:r>
          </w:p>
        </w:tc>
        <w:tc>
          <w:tcPr/>
          <w:p>
            <w:pPr>
              <w:pStyle w:val="Compact"/>
              <w:jc w:val="left"/>
            </w:pPr>
            <w:r>
              <w:t xml:space="preserve">- No, no.</w:t>
            </w:r>
          </w:p>
        </w:tc>
      </w:tr>
      <w:tr>
        <w:tc>
          <w:tcPr/>
          <w:p>
            <w:pPr>
              <w:pStyle w:val="Compact"/>
              <w:jc w:val="left"/>
            </w:pPr>
            <w:r>
              <w:t xml:space="preserve">Versión de producción/configuración</w:t>
            </w:r>
          </w:p>
        </w:tc>
        <w:tc>
          <w:tcPr/>
          <w:p>
            <w:pPr>
              <w:pStyle w:val="Compact"/>
              <w:jc w:val="left"/>
            </w:pPr>
            <w:r>
              <w:t xml:space="preserve">- No, no.</w:t>
            </w:r>
          </w:p>
        </w:tc>
      </w:tr>
      <w:tr>
        <w:tc>
          <w:tcPr/>
          <w:p>
            <w:pPr>
              <w:pStyle w:val="Compact"/>
              <w:jc w:val="left"/>
            </w:pPr>
            <w:r>
              <w:t xml:space="preserve">Finalidad prevista</w:t>
            </w:r>
          </w:p>
        </w:tc>
        <w:tc>
          <w:tcPr/>
          <w:p>
            <w:pPr>
              <w:pStyle w:val="Compact"/>
              <w:jc w:val="left"/>
            </w:pPr>
            <w:r>
              <w:t xml:space="preserve">- No, no.</w:t>
            </w:r>
          </w:p>
        </w:tc>
      </w:tr>
      <w:tr>
        <w:tc>
          <w:tcPr/>
          <w:p>
            <w:pPr>
              <w:pStyle w:val="Compact"/>
              <w:jc w:val="left"/>
            </w:pPr>
            <w:r>
              <w:t xml:space="preserve">Clasificación de alto riesgo/base jurídica</w:t>
            </w:r>
          </w:p>
        </w:tc>
        <w:tc>
          <w:tcPr/>
          <w:p>
            <w:pPr>
              <w:pStyle w:val="Compact"/>
              <w:jc w:val="left"/>
            </w:pPr>
            <w:r>
              <w:t xml:space="preserve">- No, no.</w:t>
            </w:r>
          </w:p>
        </w:tc>
      </w:tr>
      <w:tr>
        <w:tc>
          <w:tcPr/>
          <w:p>
            <w:pPr>
              <w:pStyle w:val="Compact"/>
              <w:jc w:val="left"/>
            </w:pPr>
            <w:r>
              <w:t xml:space="preserve">¿Se aplica el artículo 72?</w:t>
            </w:r>
          </w:p>
        </w:tc>
        <w:tc>
          <w:tcPr/>
          <w:p>
            <w:pPr>
              <w:pStyle w:val="Compact"/>
              <w:jc w:val="left"/>
            </w:pPr>
            <w:r>
              <w:t xml:space="preserve">- No, no.</w:t>
            </w:r>
          </w:p>
        </w:tc>
      </w:tr>
      <w:tr>
        <w:tc>
          <w:tcPr/>
          <w:p>
            <w:pPr>
              <w:pStyle w:val="Compact"/>
              <w:jc w:val="left"/>
            </w:pPr>
            <w:r>
              <w:t xml:space="preserve">Otras tareas de control</w:t>
            </w:r>
          </w:p>
        </w:tc>
        <w:tc>
          <w:tcPr/>
          <w:p>
            <w:pPr>
              <w:pStyle w:val="Compact"/>
              <w:jc w:val="left"/>
            </w:pPr>
            <w:r>
              <w:t xml:space="preserve">- No, no.</w:t>
            </w:r>
          </w:p>
        </w:tc>
      </w:tr>
      <w:tr>
        <w:tc>
          <w:tcPr/>
          <w:p>
            <w:pPr>
              <w:pStyle w:val="Compact"/>
              <w:jc w:val="left"/>
            </w:pPr>
            <w:r>
              <w:t xml:space="preserve">Competencias</w:t>
            </w:r>
          </w:p>
        </w:tc>
        <w:tc>
          <w:tcPr/>
          <w:p>
            <w:pPr>
              <w:pStyle w:val="Compact"/>
              <w:jc w:val="left"/>
            </w:pPr>
            <w:r>
              <w:t xml:space="preserve">- No, no.</w:t>
            </w:r>
          </w:p>
        </w:tc>
      </w:tr>
      <w:tr>
        <w:tc>
          <w:tcPr/>
          <w:p>
            <w:pPr>
              <w:pStyle w:val="Compact"/>
              <w:jc w:val="left"/>
            </w:pPr>
            <w:r>
              <w:t xml:space="preserve">Proveedores/vendores y dependencias</w:t>
            </w:r>
          </w:p>
        </w:tc>
        <w:tc>
          <w:tcPr/>
          <w:p>
            <w:pPr>
              <w:pStyle w:val="Compact"/>
              <w:jc w:val="left"/>
            </w:pPr>
            <w:r>
              <w:t xml:space="preserve">- No, no.</w:t>
            </w:r>
          </w:p>
        </w:tc>
      </w:tr>
      <w:tr>
        <w:tc>
          <w:tcPr/>
          <w:p>
            <w:pPr>
              <w:pStyle w:val="Compact"/>
              <w:jc w:val="left"/>
            </w:pPr>
            <w:r>
              <w:t xml:space="preserve">Fuente jurídica actual/fecha de solicitud</w:t>
            </w:r>
          </w:p>
        </w:tc>
        <w:tc>
          <w:tcPr/>
          <w:p>
            <w:pPr>
              <w:pStyle w:val="Compact"/>
              <w:jc w:val="left"/>
            </w:pPr>
            <w:r>
              <w:t xml:space="preserve">- No, no.</w:t>
            </w:r>
          </w:p>
        </w:tc>
      </w:tr>
      <w:tr>
        <w:tc>
          <w:tcPr/>
          <w:p>
            <w:pPr>
              <w:pStyle w:val="Compact"/>
              <w:jc w:val="left"/>
            </w:pPr>
            <w:r>
              <w:t xml:space="preserve">Propietario de la supervisión</w:t>
            </w:r>
          </w:p>
        </w:tc>
        <w:tc>
          <w:tcPr/>
          <w:p>
            <w:pPr>
              <w:pStyle w:val="Compact"/>
              <w:jc w:val="left"/>
            </w:pPr>
            <w:r>
              <w:t xml:space="preserve">- No, no.</w:t>
            </w:r>
          </w:p>
        </w:tc>
      </w:tr>
      <w:tr>
        <w:tc>
          <w:tcPr/>
          <w:p>
            <w:pPr>
              <w:pStyle w:val="Compact"/>
              <w:jc w:val="left"/>
            </w:pPr>
            <w:r>
              <w:t xml:space="preserve">Versión/fecha del plan</w:t>
            </w:r>
          </w:p>
        </w:tc>
        <w:tc>
          <w:tcPr/>
          <w:p>
            <w:pPr>
              <w:pStyle w:val="Compact"/>
              <w:jc w:val="left"/>
            </w:pPr>
            <w:r>
              <w:t xml:space="preserve">- No, no.</w:t>
            </w:r>
          </w:p>
        </w:tc>
      </w:tr>
    </w:tbl>
    <w:bookmarkEnd w:id="1617"/>
    <w:bookmarkStart w:id="1618" w:name="objetivos-de-supervisión-1"/>
    <w:p>
      <w:pPr>
        <w:pStyle w:val="Heading2"/>
      </w:pPr>
      <w:r>
        <w:rPr>
          <w:rStyle w:val="SectionNumber"/>
        </w:rPr>
        <w:t xml:space="preserve">2.204</w:t>
      </w:r>
      <w:r>
        <w:tab/>
      </w:r>
      <w:r>
        <w:t xml:space="preserve">2. Objetivos de supervisión</w:t>
      </w:r>
    </w:p>
    <w:p>
      <w:pPr>
        <w:pStyle w:val="FirstParagraph"/>
      </w:pPr>
      <w:r>
        <w:t xml:space="preserve">Definir objetivos para:</w:t>
      </w:r>
    </w:p>
    <w:p>
      <w:pPr>
        <w:numPr>
          <w:ilvl w:val="0"/>
          <w:numId w:val="1580"/>
        </w:numPr>
        <w:pStyle w:val="Compact"/>
      </w:pPr>
      <w:r>
        <w:t xml:space="preserve">precisión, fiabilidad y rendimiento;</w:t>
      </w:r>
    </w:p>
    <w:p>
      <w:pPr>
        <w:numPr>
          <w:ilvl w:val="0"/>
          <w:numId w:val="1580"/>
        </w:numPr>
        <w:pStyle w:val="Compact"/>
      </w:pPr>
      <w:r>
        <w:t xml:space="preserve">subgrupo, idioma, accesibilidad y resultados de equidad;</w:t>
      </w:r>
    </w:p>
    <w:p>
      <w:pPr>
        <w:numPr>
          <w:ilvl w:val="0"/>
          <w:numId w:val="1580"/>
        </w:numPr>
        <w:pStyle w:val="Compact"/>
      </w:pPr>
      <w:r>
        <w:t xml:space="preserve">riesgos para la seguridad, la salud y los derechos fundamentales;</w:t>
      </w:r>
    </w:p>
    <w:p>
      <w:pPr>
        <w:numPr>
          <w:ilvl w:val="0"/>
          <w:numId w:val="1580"/>
        </w:numPr>
        <w:pStyle w:val="Compact"/>
      </w:pPr>
      <w:r>
        <w:t xml:space="preserve">la eficacia de la supervisión humana, las anulaciones y la escalada;</w:t>
      </w:r>
    </w:p>
    <w:p>
      <w:pPr>
        <w:numPr>
          <w:ilvl w:val="0"/>
          <w:numId w:val="1580"/>
        </w:numPr>
        <w:pStyle w:val="Compact"/>
      </w:pPr>
      <w:r>
        <w:t xml:space="preserve">seguridad cibernética, uso indebido, abuso, inyección rápida y acciones de herramienta/agente;</w:t>
      </w:r>
    </w:p>
    <w:p>
      <w:pPr>
        <w:numPr>
          <w:ilvl w:val="0"/>
          <w:numId w:val="1580"/>
        </w:numPr>
        <w:pStyle w:val="Compact"/>
      </w:pPr>
      <w:r>
        <w:t xml:space="preserve">transparencia, instrucciones, divulgación, quejas y apelaciones;</w:t>
      </w:r>
    </w:p>
    <w:p>
      <w:pPr>
        <w:numPr>
          <w:ilvl w:val="0"/>
          <w:numId w:val="1580"/>
        </w:numPr>
        <w:pStyle w:val="Compact"/>
      </w:pPr>
      <w:r>
        <w:t xml:space="preserve">cambios en la deriva, los datos, el modelo, el proveedor y la infraestructura;</w:t>
      </w:r>
    </w:p>
    <w:p>
      <w:pPr>
        <w:numPr>
          <w:ilvl w:val="0"/>
          <w:numId w:val="1580"/>
        </w:numPr>
        <w:pStyle w:val="Compact"/>
      </w:pPr>
      <w:r>
        <w:t xml:space="preserve">resiliencia, retroceso, continuidad y recuperación;</w:t>
      </w:r>
    </w:p>
    <w:p>
      <w:pPr>
        <w:numPr>
          <w:ilvl w:val="0"/>
          <w:numId w:val="1580"/>
        </w:numPr>
        <w:pStyle w:val="Compact"/>
      </w:pPr>
      <w:r>
        <w:t xml:space="preserve">los compromisos legales, de conformidad, de registro y reglamentarios;</w:t>
      </w:r>
    </w:p>
    <w:p>
      <w:pPr>
        <w:numPr>
          <w:ilvl w:val="0"/>
          <w:numId w:val="1580"/>
        </w:numPr>
        <w:pStyle w:val="Compact"/>
      </w:pPr>
      <w:r>
        <w:t xml:space="preserve">eficacia de la acción correctiva y fallos repetidos.</w:t>
      </w:r>
    </w:p>
    <w:bookmarkEnd w:id="1618"/>
    <w:bookmarkStart w:id="1619" w:name="indicadores-y-umbrales"/>
    <w:p>
      <w:pPr>
        <w:pStyle w:val="Heading2"/>
      </w:pPr>
      <w:r>
        <w:rPr>
          <w:rStyle w:val="SectionNumber"/>
        </w:rPr>
        <w:t xml:space="preserve">2.205</w:t>
      </w:r>
      <w:r>
        <w:tab/>
      </w:r>
      <w:r>
        <w:t xml:space="preserve">3. Indicadores y umbrales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Indicador</w:t>
            </w:r>
          </w:p>
        </w:tc>
        <w:tc>
          <w:tcPr/>
          <w:p>
            <w:pPr>
              <w:pStyle w:val="Compact"/>
              <w:jc w:val="left"/>
            </w:pPr>
            <w:r>
              <w:t xml:space="preserve">Base de referencia</w:t>
            </w:r>
          </w:p>
        </w:tc>
        <w:tc>
          <w:tcPr/>
          <w:p>
            <w:pPr>
              <w:pStyle w:val="Compact"/>
              <w:jc w:val="left"/>
            </w:pPr>
            <w:r>
              <w:t xml:space="preserve">Umbral de advertencia</w:t>
            </w:r>
          </w:p>
        </w:tc>
        <w:tc>
          <w:tcPr/>
          <w:p>
            <w:pPr>
              <w:pStyle w:val="Compact"/>
              <w:jc w:val="left"/>
            </w:pPr>
            <w:r>
              <w:t xml:space="preserve">Umbral crítico</w:t>
            </w:r>
          </w:p>
        </w:tc>
        <w:tc>
          <w:tcPr/>
          <w:p>
            <w:pPr>
              <w:pStyle w:val="Compact"/>
              <w:jc w:val="left"/>
            </w:pPr>
            <w:r>
              <w:t xml:space="preserve">Fuente de los datos</w:t>
            </w:r>
          </w:p>
        </w:tc>
        <w:tc>
          <w:tcPr/>
          <w:p>
            <w:pPr>
              <w:pStyle w:val="Compact"/>
              <w:jc w:val="left"/>
            </w:pPr>
            <w:r>
              <w:t xml:space="preserve">Frecuencia</w:t>
            </w:r>
          </w:p>
        </w:tc>
        <w:tc>
          <w:tcPr/>
          <w:p>
            <w:pPr>
              <w:pStyle w:val="Compact"/>
              <w:jc w:val="left"/>
            </w:pPr>
            <w:r>
              <w:t xml:space="preserve">Propietario</w:t>
            </w:r>
          </w:p>
        </w:tc>
        <w:tc>
          <w:tcPr/>
          <w:p>
            <w:pPr>
              <w:pStyle w:val="Compact"/>
              <w:jc w:val="left"/>
            </w:pPr>
            <w:r>
              <w:t xml:space="preserve">Medidas necesarias</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Los indicadores deben basarse en los riesgos e incluir, cuando proceda:</w:t>
      </w:r>
    </w:p>
    <w:p>
      <w:pPr>
        <w:numPr>
          <w:ilvl w:val="0"/>
          <w:numId w:val="1581"/>
        </w:numPr>
        <w:pStyle w:val="Compact"/>
      </w:pPr>
      <w:r>
        <w:t xml:space="preserve">precisión, error, abstención y fiabilidad;</w:t>
      </w:r>
    </w:p>
    <w:p>
      <w:pPr>
        <w:numPr>
          <w:ilvl w:val="0"/>
          <w:numId w:val="1581"/>
        </w:numPr>
        <w:pStyle w:val="Compact"/>
      </w:pPr>
      <w:r>
        <w:t xml:space="preserve">tasas de falsos positivos y de falsos negativos;</w:t>
      </w:r>
    </w:p>
    <w:p>
      <w:pPr>
        <w:numPr>
          <w:ilvl w:val="0"/>
          <w:numId w:val="1581"/>
        </w:numPr>
        <w:pStyle w:val="Compact"/>
      </w:pPr>
      <w:r>
        <w:t xml:space="preserve">disparidades entre subgrupos e intersecciones;</w:t>
      </w:r>
    </w:p>
    <w:p>
      <w:pPr>
        <w:numPr>
          <w:ilvl w:val="0"/>
          <w:numId w:val="1581"/>
        </w:numPr>
        <w:pStyle w:val="Compact"/>
      </w:pPr>
      <w:r>
        <w:t xml:space="preserve">defectos de lenguaje y accesibilidad;</w:t>
      </w:r>
    </w:p>
    <w:p>
      <w:pPr>
        <w:numPr>
          <w:ilvl w:val="0"/>
          <w:numId w:val="1581"/>
        </w:numPr>
        <w:pStyle w:val="Compact"/>
      </w:pPr>
      <w:r>
        <w:t xml:space="preserve">las tasas de anulación, desacuerdo, apelación y denuncia;</w:t>
      </w:r>
    </w:p>
    <w:p>
      <w:pPr>
        <w:numPr>
          <w:ilvl w:val="0"/>
          <w:numId w:val="1581"/>
        </w:numPr>
        <w:pStyle w:val="Compact"/>
      </w:pPr>
      <w:r>
        <w:t xml:space="preserve">los incidentes, las pérdidas cercanas y los resultados adversos;</w:t>
      </w:r>
    </w:p>
    <w:p>
      <w:pPr>
        <w:numPr>
          <w:ilvl w:val="0"/>
          <w:numId w:val="1581"/>
        </w:numPr>
        <w:pStyle w:val="Compact"/>
      </w:pPr>
      <w:r>
        <w:t xml:space="preserve">alertas de seguridad, intentos de uso indebido y acciones de herramientas anómalas;</w:t>
      </w:r>
    </w:p>
    <w:p>
      <w:pPr>
        <w:numPr>
          <w:ilvl w:val="0"/>
          <w:numId w:val="1581"/>
        </w:numPr>
        <w:pStyle w:val="Compact"/>
      </w:pPr>
      <w:r>
        <w:t xml:space="preserve">condiciones de deriva y desdistribución;</w:t>
      </w:r>
    </w:p>
    <w:p>
      <w:pPr>
        <w:numPr>
          <w:ilvl w:val="0"/>
          <w:numId w:val="1581"/>
        </w:numPr>
        <w:pStyle w:val="Compact"/>
      </w:pPr>
      <w:r>
        <w:t xml:space="preserve">cambios en el proveedor/modelo/versión;</w:t>
      </w:r>
    </w:p>
    <w:p>
      <w:pPr>
        <w:numPr>
          <w:ilvl w:val="0"/>
          <w:numId w:val="1581"/>
        </w:numPr>
        <w:pStyle w:val="Compact"/>
      </w:pPr>
      <w:r>
        <w:t xml:space="preserve">los registros, pruebas o documentación que falten;</w:t>
      </w:r>
    </w:p>
    <w:p>
      <w:pPr>
        <w:numPr>
          <w:ilvl w:val="0"/>
          <w:numId w:val="1581"/>
        </w:numPr>
        <w:pStyle w:val="Compact"/>
      </w:pPr>
      <w:r>
        <w:t xml:space="preserve">fallos de recuperación, desconexión y de recuperación;</w:t>
      </w:r>
    </w:p>
    <w:p>
      <w:pPr>
        <w:numPr>
          <w:ilvl w:val="0"/>
          <w:numId w:val="1581"/>
        </w:numPr>
        <w:pStyle w:val="Compact"/>
      </w:pPr>
      <w:r>
        <w:t xml:space="preserve">resultados atrasados y reiteradas medidas correctivas.</w:t>
      </w:r>
    </w:p>
    <w:bookmarkEnd w:id="1619"/>
    <w:bookmarkStart w:id="1620" w:name="reunión-de-datos-y-pruebas"/>
    <w:p>
      <w:pPr>
        <w:pStyle w:val="Heading2"/>
      </w:pPr>
      <w:r>
        <w:rPr>
          <w:rStyle w:val="SectionNumber"/>
        </w:rPr>
        <w:t xml:space="preserve">2.206</w:t>
      </w:r>
      <w:r>
        <w:tab/>
      </w:r>
      <w:r>
        <w:t xml:space="preserve">4. Reunión de datos y pruebas</w:t>
      </w:r>
    </w:p>
    <w:p>
      <w:pPr>
        <w:pStyle w:val="FirstParagraph"/>
      </w:pPr>
      <w:r>
        <w:t xml:space="preserve">Recopilación de documentos y gobernanza para:</w:t>
      </w:r>
    </w:p>
    <w:p>
      <w:pPr>
        <w:numPr>
          <w:ilvl w:val="0"/>
          <w:numId w:val="1582"/>
        </w:numPr>
        <w:pStyle w:val="Compact"/>
      </w:pPr>
      <w:r>
        <w:t xml:space="preserve">troncos de producción y telemetría;</w:t>
      </w:r>
    </w:p>
    <w:p>
      <w:pPr>
        <w:numPr>
          <w:ilvl w:val="0"/>
          <w:numId w:val="1582"/>
        </w:numPr>
        <w:pStyle w:val="Compact"/>
      </w:pPr>
      <w:r>
        <w:t xml:space="preserve">las entradas y salidas de la muestra;</w:t>
      </w:r>
    </w:p>
    <w:p>
      <w:pPr>
        <w:numPr>
          <w:ilvl w:val="0"/>
          <w:numId w:val="1582"/>
        </w:numPr>
        <w:pStyle w:val="Compact"/>
      </w:pPr>
      <w:r>
        <w:t xml:space="preserve">avisos, fuentes de recuperación, llamadas a herramientas y acciones de agentes;</w:t>
      </w:r>
    </w:p>
    <w:p>
      <w:pPr>
        <w:numPr>
          <w:ilvl w:val="0"/>
          <w:numId w:val="1582"/>
        </w:numPr>
        <w:pStyle w:val="Compact"/>
      </w:pPr>
      <w:r>
        <w:t xml:space="preserve">la revisión humana, la anulación, la detención y los registros de escalada;</w:t>
      </w:r>
    </w:p>
    <w:p>
      <w:pPr>
        <w:numPr>
          <w:ilvl w:val="0"/>
          <w:numId w:val="1582"/>
        </w:numPr>
        <w:pStyle w:val="Compact"/>
      </w:pPr>
      <w:r>
        <w:t xml:space="preserve">quejas, apelaciones, correcciones y recursos;</w:t>
      </w:r>
    </w:p>
    <w:p>
      <w:pPr>
        <w:numPr>
          <w:ilvl w:val="0"/>
          <w:numId w:val="1582"/>
        </w:numPr>
        <w:pStyle w:val="Compact"/>
      </w:pPr>
      <w:r>
        <w:t xml:space="preserve">los incidentes, las faltas y las notificaciones;</w:t>
      </w:r>
    </w:p>
    <w:p>
      <w:pPr>
        <w:numPr>
          <w:ilvl w:val="0"/>
          <w:numId w:val="1582"/>
        </w:numPr>
        <w:pStyle w:val="Compact"/>
      </w:pPr>
      <w:r>
        <w:t xml:space="preserve">alertas de seguridad e información sobre amenazas;</w:t>
      </w:r>
    </w:p>
    <w:p>
      <w:pPr>
        <w:numPr>
          <w:ilvl w:val="0"/>
          <w:numId w:val="1582"/>
        </w:numPr>
        <w:pStyle w:val="Compact"/>
      </w:pPr>
      <w:r>
        <w:t xml:space="preserve">avisos de proveedores, liberaciones, interrupciones del servicio y cambios en la documentación;</w:t>
      </w:r>
    </w:p>
    <w:p>
      <w:pPr>
        <w:numPr>
          <w:ilvl w:val="0"/>
          <w:numId w:val="1582"/>
        </w:numPr>
        <w:pStyle w:val="Compact"/>
      </w:pPr>
      <w:r>
        <w:t xml:space="preserve">pruebas de deriva, rendimiento, sesgo, lenguaje, accesibilidad y robustez;</w:t>
      </w:r>
    </w:p>
    <w:p>
      <w:pPr>
        <w:numPr>
          <w:ilvl w:val="0"/>
          <w:numId w:val="1582"/>
        </w:numPr>
        <w:pStyle w:val="Compact"/>
      </w:pPr>
      <w:r>
        <w:t xml:space="preserve">la auditoría interna, la conformidad, el organismo notificado y los resultados de la autoridad;</w:t>
      </w:r>
    </w:p>
    <w:p>
      <w:pPr>
        <w:numPr>
          <w:ilvl w:val="0"/>
          <w:numId w:val="1582"/>
        </w:numPr>
        <w:pStyle w:val="Compact"/>
      </w:pPr>
      <w:r>
        <w:t xml:space="preserve">cambios, retrocesos, suspensión, retirada, retirada y restauración de registros.</w:t>
      </w:r>
    </w:p>
    <w:p>
      <w:pPr>
        <w:pStyle w:val="FirstParagraph"/>
      </w:pPr>
      <w:r>
        <w:t xml:space="preserve">Aplicar la privacidad, minimización, confidencialidad, acceso, integridad, retención, retención legal y controles transfronterizos.</w:t>
      </w:r>
    </w:p>
    <w:bookmarkEnd w:id="1620"/>
    <w:bookmarkStart w:id="1621" w:name="cadencia-del-examen"/>
    <w:p>
      <w:pPr>
        <w:pStyle w:val="Heading2"/>
      </w:pPr>
      <w:r>
        <w:rPr>
          <w:rStyle w:val="SectionNumber"/>
        </w:rPr>
        <w:t xml:space="preserve">2.207</w:t>
      </w:r>
      <w:r>
        <w:tab/>
      </w:r>
      <w:r>
        <w:t xml:space="preserve">5. Cadencia del examen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Revisión</w:t>
            </w:r>
          </w:p>
        </w:tc>
        <w:tc>
          <w:tcPr/>
          <w:p>
            <w:pPr>
              <w:pStyle w:val="Compact"/>
              <w:jc w:val="left"/>
            </w:pPr>
            <w:r>
              <w:t xml:space="preserve">Frecuencia</w:t>
            </w:r>
          </w:p>
        </w:tc>
        <w:tc>
          <w:tcPr/>
          <w:p>
            <w:pPr>
              <w:pStyle w:val="Compact"/>
              <w:jc w:val="left"/>
            </w:pPr>
            <w:r>
              <w:t xml:space="preserve">Participantes</w:t>
            </w:r>
          </w:p>
        </w:tc>
        <w:tc>
          <w:tcPr/>
          <w:p>
            <w:pPr>
              <w:pStyle w:val="Compact"/>
              <w:jc w:val="left"/>
            </w:pPr>
            <w:r>
              <w:t xml:space="preserve">Aportaciones</w:t>
            </w:r>
          </w:p>
        </w:tc>
        <w:tc>
          <w:tcPr/>
          <w:p>
            <w:pPr>
              <w:pStyle w:val="Compact"/>
              <w:jc w:val="left"/>
            </w:pPr>
            <w:r>
              <w:t xml:space="preserve">Producto</w:t>
            </w:r>
          </w:p>
        </w:tc>
      </w:tr>
      <w:tr>
        <w:tc>
          <w:tcPr/>
          <w:p>
            <w:pPr>
              <w:pStyle w:val="Compact"/>
              <w:jc w:val="left"/>
            </w:pPr>
            <w:r>
              <w:t xml:space="preserve">Supervisión operacional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Validación técnica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Examen del riesgo y del 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Examen de los derechos fundamentales/privacidad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Examen de la seguridad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Examen de los proveedores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Presentación de informes a nivel ejecutivo y de directorio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Garantías independientes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621"/>
    <w:bookmarkStart w:id="1622" w:name="matriz-de-activación-y-respuesta"/>
    <w:p>
      <w:pPr>
        <w:pStyle w:val="Heading2"/>
      </w:pPr>
      <w:r>
        <w:rPr>
          <w:rStyle w:val="SectionNumber"/>
        </w:rPr>
        <w:t xml:space="preserve">2.208</w:t>
      </w:r>
      <w:r>
        <w:tab/>
      </w:r>
      <w:r>
        <w:t xml:space="preserve">6. Matriz de activación y respuesta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Activador</w:t>
            </w:r>
          </w:p>
        </w:tc>
        <w:tc>
          <w:tcPr/>
          <w:p>
            <w:pPr>
              <w:pStyle w:val="Compact"/>
              <w:jc w:val="left"/>
            </w:pPr>
            <w:r>
              <w:t xml:space="preserve">Medidas necesarias</w:t>
            </w:r>
          </w:p>
        </w:tc>
        <w:tc>
          <w:tcPr/>
          <w:p>
            <w:pPr>
              <w:pStyle w:val="Compact"/>
              <w:jc w:val="left"/>
            </w:pPr>
            <w:r>
              <w:t xml:space="preserve">Actor/propietario</w:t>
            </w:r>
          </w:p>
        </w:tc>
        <w:tc>
          <w:tcPr/>
          <w:p>
            <w:pPr>
              <w:pStyle w:val="Compact"/>
              <w:jc w:val="left"/>
            </w:pPr>
            <w:r>
              <w:t xml:space="preserve">Plazo/fuente jurídica</w:t>
            </w:r>
          </w:p>
        </w:tc>
        <w:tc>
          <w:tcPr/>
          <w:p>
            <w:pPr>
              <w:pStyle w:val="Compact"/>
              <w:jc w:val="left"/>
            </w:pPr>
            <w:r>
              <w:t xml:space="preserve">Escalado</w:t>
            </w:r>
          </w:p>
        </w:tc>
        <w:tc>
          <w:tcPr/>
          <w:p>
            <w:pPr>
              <w:pStyle w:val="Compact"/>
              <w:jc w:val="left"/>
            </w:pPr>
            <w:r>
              <w:t xml:space="preserve">Pruebas</w:t>
            </w:r>
          </w:p>
        </w:tc>
      </w:tr>
      <w:tr>
        <w:tc>
          <w:tcPr/>
          <w:p>
            <w:pPr>
              <w:pStyle w:val="Compact"/>
              <w:jc w:val="left"/>
            </w:pPr>
            <w:r>
              <w:t xml:space="preserve">Denuncia de incidente grave o daño verosímil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Degradación significativa del rendimiento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Subgrupo, idioma o disparidad de accesibilidad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Tendencia de las reclamaciones materiales o de los recursos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Compromiso de seguridad o uso indebido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Modelo de proveedor, servicio, datos o cambio de contrato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Cambio de propósito, población o jurisdicción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Registros o pruebas faltantes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Desarrollo jurídico o normativo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Auditoría de materiales, conformidad o comprobación de control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Posible modificación sustancial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Las posibles medidas incluyen la investigación, la preservación de pruebas, la supervisión mejorada, el cambio de configuración, la restricción del alcance, la comunicación con los usuarios, el readiestramiento, la escalada de proveedores, la suspensión, la retirada, el retiro, la reevaluación de la conformidad, la actualización de la documentación y la notificación cuando sea legalmente necesario.</w:t>
      </w:r>
    </w:p>
    <w:bookmarkEnd w:id="1622"/>
    <w:bookmarkStart w:id="1623" w:name="X3ddee8099bb5a26c9668a54afdd1486b9ab0e36"/>
    <w:p>
      <w:pPr>
        <w:pStyle w:val="Heading2"/>
      </w:pPr>
      <w:r>
        <w:rPr>
          <w:rStyle w:val="SectionNumber"/>
        </w:rPr>
        <w:t xml:space="preserve">2.209</w:t>
      </w:r>
      <w:r>
        <w:tab/>
      </w:r>
      <w:r>
        <w:t xml:space="preserve">7. Integración de incidentes y medidas correctivas</w:t>
      </w:r>
    </w:p>
    <w:p>
      <w:pPr>
        <w:pStyle w:val="FirstParagraph"/>
      </w:pPr>
      <w:r>
        <w:t xml:space="preserve">Para las señales de material:</w:t>
      </w:r>
    </w:p>
    <w:p>
      <w:pPr>
        <w:numPr>
          <w:ilvl w:val="0"/>
          <w:numId w:val="1583"/>
        </w:numPr>
        <w:pStyle w:val="Compact"/>
      </w:pPr>
      <w:r>
        <w:t xml:space="preserve">conservar las pruebas pertinentes e identificar las versiones afectadas;</w:t>
      </w:r>
    </w:p>
    <w:p>
      <w:pPr>
        <w:numPr>
          <w:ilvl w:val="0"/>
          <w:numId w:val="1583"/>
        </w:numPr>
        <w:pStyle w:val="Compact"/>
      </w:pPr>
      <w:r>
        <w:t xml:space="preserve">contener el riesgo inmediato;</w:t>
      </w:r>
    </w:p>
    <w:p>
      <w:pPr>
        <w:numPr>
          <w:ilvl w:val="0"/>
          <w:numId w:val="1583"/>
        </w:numPr>
        <w:pStyle w:val="Compact"/>
      </w:pPr>
      <w:r>
        <w:t xml:space="preserve">evaluar las obligaciones de notificación de incidentes graves y paralelas;</w:t>
      </w:r>
    </w:p>
    <w:p>
      <w:pPr>
        <w:numPr>
          <w:ilvl w:val="0"/>
          <w:numId w:val="1583"/>
        </w:numPr>
        <w:pStyle w:val="Compact"/>
      </w:pPr>
      <w:r>
        <w:t xml:space="preserve">identificar a las personas, jurisdicciones, proveedores y sistemas afectados;</w:t>
      </w:r>
    </w:p>
    <w:p>
      <w:pPr>
        <w:numPr>
          <w:ilvl w:val="0"/>
          <w:numId w:val="1583"/>
        </w:numPr>
        <w:pStyle w:val="Compact"/>
      </w:pPr>
      <w:r>
        <w:t xml:space="preserve">realizar análisis de la causa raíz y del alcance afectado;</w:t>
      </w:r>
    </w:p>
    <w:p>
      <w:pPr>
        <w:numPr>
          <w:ilvl w:val="0"/>
          <w:numId w:val="1583"/>
        </w:numPr>
        <w:pStyle w:val="Compact"/>
      </w:pPr>
      <w:r>
        <w:t xml:space="preserve">definir medidas correctoras y preventivas;</w:t>
      </w:r>
    </w:p>
    <w:p>
      <w:pPr>
        <w:numPr>
          <w:ilvl w:val="0"/>
          <w:numId w:val="1583"/>
        </w:numPr>
        <w:pStyle w:val="Compact"/>
      </w:pPr>
      <w:r>
        <w:t xml:space="preserve">actualizar los registros de riesgo, técnicos, QMS, instrucciones, notificaciones y seguimiento;</w:t>
      </w:r>
    </w:p>
    <w:p>
      <w:pPr>
        <w:numPr>
          <w:ilvl w:val="0"/>
          <w:numId w:val="1583"/>
        </w:numPr>
        <w:pStyle w:val="Compact"/>
      </w:pPr>
      <w:r>
        <w:t xml:space="preserve">validar la rehabilitación antes de la restauración o el cierre;</w:t>
      </w:r>
    </w:p>
    <w:p>
      <w:pPr>
        <w:numPr>
          <w:ilvl w:val="0"/>
          <w:numId w:val="1583"/>
        </w:numPr>
        <w:pStyle w:val="Compact"/>
      </w:pPr>
      <w:r>
        <w:t xml:space="preserve">compartir lecciones en sistemas similares.</w:t>
      </w:r>
    </w:p>
    <w:bookmarkEnd w:id="1623"/>
    <w:bookmarkStart w:id="1624" w:name="X8f0a4fd5da202b08b21ff58dd1be658e668c2e1"/>
    <w:p>
      <w:pPr>
        <w:pStyle w:val="Heading2"/>
      </w:pPr>
      <w:r>
        <w:rPr>
          <w:rStyle w:val="SectionNumber"/>
        </w:rPr>
        <w:t xml:space="preserve">2.210</w:t>
      </w:r>
      <w:r>
        <w:tab/>
      </w:r>
      <w:r>
        <w:t xml:space="preserve">8. Supervisión de proveedores y dependencias</w:t>
      </w:r>
    </w:p>
    <w:p>
      <w:pPr>
        <w:pStyle w:val="FirstParagraph"/>
      </w:pPr>
      <w:r>
        <w:t xml:space="preserve">Monitor:</w:t>
      </w:r>
    </w:p>
    <w:p>
      <w:pPr>
        <w:numPr>
          <w:ilvl w:val="0"/>
          <w:numId w:val="1584"/>
        </w:numPr>
        <w:pStyle w:val="Compact"/>
      </w:pPr>
      <w:r>
        <w:t xml:space="preserve">las liberaciones de modelos, las depredaciones, las capacidades modificadas y las limitaciones conocidas;</w:t>
      </w:r>
    </w:p>
    <w:p>
      <w:pPr>
        <w:numPr>
          <w:ilvl w:val="0"/>
          <w:numId w:val="1584"/>
        </w:numPr>
        <w:pStyle w:val="Compact"/>
      </w:pPr>
      <w:r>
        <w:t xml:space="preserve">cambios en la fuente de datos, el subprocesador, el alojamiento y la ubicación;</w:t>
      </w:r>
    </w:p>
    <w:p>
      <w:pPr>
        <w:numPr>
          <w:ilvl w:val="0"/>
          <w:numId w:val="1584"/>
        </w:numPr>
        <w:pStyle w:val="Compact"/>
      </w:pPr>
      <w:r>
        <w:t xml:space="preserve">niveles de servicio, interrupciones del servicio, sucesos de seguridad y avisos de incidentes;</w:t>
      </w:r>
    </w:p>
    <w:p>
      <w:pPr>
        <w:numPr>
          <w:ilvl w:val="0"/>
          <w:numId w:val="1584"/>
        </w:numPr>
        <w:pStyle w:val="Compact"/>
      </w:pPr>
      <w:r>
        <w:t xml:space="preserve">licencias, código abierto, derechos de autor y cambios contractuales;</w:t>
      </w:r>
    </w:p>
    <w:p>
      <w:pPr>
        <w:numPr>
          <w:ilvl w:val="0"/>
          <w:numId w:val="1584"/>
        </w:numPr>
        <w:pStyle w:val="Compact"/>
      </w:pPr>
      <w:r>
        <w:t xml:space="preserve">auditoría, documentación, registro y limitaciones de acceso a pruebas;</w:t>
      </w:r>
    </w:p>
    <w:p>
      <w:pPr>
        <w:numPr>
          <w:ilvl w:val="0"/>
          <w:numId w:val="1584"/>
        </w:numPr>
        <w:pStyle w:val="Compact"/>
      </w:pPr>
      <w:r>
        <w:t xml:space="preserve">concentración, continuidad, portabilidad y riesgo de salida.</w:t>
      </w:r>
    </w:p>
    <w:bookmarkEnd w:id="1624"/>
    <w:bookmarkStart w:id="1625" w:name="X3a318ab968279c2bc7bc5a4fc6282f80c6a4eae"/>
    <w:p>
      <w:pPr>
        <w:pStyle w:val="Heading2"/>
      </w:pPr>
      <w:r>
        <w:rPr>
          <w:rStyle w:val="SectionNumber"/>
        </w:rPr>
        <w:t xml:space="preserve">2.211</w:t>
      </w:r>
      <w:r>
        <w:tab/>
      </w:r>
      <w:r>
        <w:t xml:space="preserve">9. Presentación de informes y aumento de la escala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Condición</w:t>
            </w:r>
          </w:p>
        </w:tc>
        <w:tc>
          <w:tcPr/>
          <w:p>
            <w:pPr>
              <w:pStyle w:val="Compact"/>
              <w:jc w:val="left"/>
            </w:pPr>
            <w:r>
              <w:t xml:space="preserve">Destinatario</w:t>
            </w:r>
          </w:p>
        </w:tc>
        <w:tc>
          <w:tcPr/>
          <w:p>
            <w:pPr>
              <w:pStyle w:val="Compact"/>
              <w:jc w:val="left"/>
            </w:pPr>
            <w:r>
              <w:t xml:space="preserve">Plazo</w:t>
            </w:r>
          </w:p>
        </w:tc>
        <w:tc>
          <w:tcPr/>
          <w:p>
            <w:pPr>
              <w:pStyle w:val="Compact"/>
              <w:jc w:val="left"/>
            </w:pPr>
            <w:r>
              <w:t xml:space="preserve">Contenido/evidencia exigido</w:t>
            </w:r>
          </w:p>
        </w:tc>
        <w:tc>
          <w:tcPr/>
          <w:p>
            <w:pPr>
              <w:pStyle w:val="Compact"/>
              <w:jc w:val="left"/>
            </w:pPr>
            <w:r>
              <w:t xml:space="preserve">Autoridad decisoria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Los informes deben distinguir los hechos, los supuestos, la incertidumbre, los deberes jurídicos, los controles actuales, el riesgo residual y las decisiones necesarias.</w:t>
      </w:r>
    </w:p>
    <w:bookmarkEnd w:id="1625"/>
    <w:bookmarkStart w:id="1626" w:name="retención-de-pruebas"/>
    <w:p>
      <w:pPr>
        <w:pStyle w:val="Heading2"/>
      </w:pPr>
      <w:r>
        <w:rPr>
          <w:rStyle w:val="SectionNumber"/>
        </w:rPr>
        <w:t xml:space="preserve">2.212</w:t>
      </w:r>
      <w:r>
        <w:tab/>
      </w:r>
      <w:r>
        <w:t xml:space="preserve">10. Retención de pruebas</w:t>
      </w:r>
    </w:p>
    <w:p>
      <w:pPr>
        <w:pStyle w:val="FirstParagraph"/>
      </w:pPr>
      <w:r>
        <w:t xml:space="preserve">Mantener los datos de monitoreo, análisis, decisiones, aprobaciones, quejas, registros de incidentes, notificaciones, correspondencia de la autoridad, avisos de proveedores, resultados de pruebas y pruebas de medidas correctivas conforme al calendario legal, contractual, operativo, de privacidad y legal aplicable.</w:t>
      </w:r>
    </w:p>
    <w:bookmarkEnd w:id="1626"/>
    <w:bookmarkStart w:id="1627" w:name="decisión-5"/>
    <w:p>
      <w:pPr>
        <w:pStyle w:val="Heading2"/>
      </w:pPr>
      <w:r>
        <w:rPr>
          <w:rStyle w:val="SectionNumber"/>
        </w:rPr>
        <w:t xml:space="preserve">2.213</w:t>
      </w:r>
      <w:r>
        <w:tab/>
      </w:r>
      <w:r>
        <w:t xml:space="preserve">11. Decisión</w:t>
      </w:r>
    </w:p>
    <w:p>
      <w:pPr>
        <w:numPr>
          <w:ilvl w:val="0"/>
          <w:numId w:val="1585"/>
        </w:numPr>
        <w:pStyle w:val="Compact"/>
      </w:pPr>
      <w:r>
        <w:t xml:space="preserve">☐ Se aprueba el plan de proveedor del artículo 72</w:t>
      </w:r>
    </w:p>
    <w:p>
      <w:pPr>
        <w:numPr>
          <w:ilvl w:val="0"/>
          <w:numId w:val="1585"/>
        </w:numPr>
        <w:pStyle w:val="Compact"/>
      </w:pPr>
      <w:r>
        <w:t xml:space="preserve">☐ Se aprueba el plan de vigilancia de otros actores</w:t>
      </w:r>
    </w:p>
    <w:p>
      <w:pPr>
        <w:numPr>
          <w:ilvl w:val="0"/>
          <w:numId w:val="1585"/>
        </w:numPr>
        <w:pStyle w:val="Compact"/>
      </w:pPr>
      <w:r>
        <w:t xml:space="preserve">☐ Aprobado con condiciones</w:t>
      </w:r>
    </w:p>
    <w:p>
      <w:pPr>
        <w:numPr>
          <w:ilvl w:val="0"/>
          <w:numId w:val="1585"/>
        </w:numPr>
        <w:pStyle w:val="Compact"/>
      </w:pPr>
      <w:r>
        <w:t xml:space="preserve">☐ Supervisión piloto restringida únicamente</w:t>
      </w:r>
    </w:p>
    <w:p>
      <w:pPr>
        <w:numPr>
          <w:ilvl w:val="0"/>
          <w:numId w:val="1585"/>
        </w:numPr>
        <w:pStyle w:val="Compact"/>
      </w:pPr>
      <w:r>
        <w:t xml:space="preserve">☐ Remediación requerida</w:t>
      </w:r>
    </w:p>
    <w:p>
      <w:pPr>
        <w:numPr>
          <w:ilvl w:val="0"/>
          <w:numId w:val="1585"/>
        </w:numPr>
        <w:pStyle w:val="Compact"/>
      </w:pPr>
      <w:r>
        <w:t xml:space="preserve">☐ Despliegue bloqueado o suspendido</w:t>
      </w:r>
    </w:p>
    <w:p>
      <w:pPr>
        <w:pStyle w:val="FirstParagraph"/>
      </w:pPr>
      <w:r>
        <w:t xml:space="preserve">** Justificación de la decisión:</w:t>
      </w:r>
      <w:r>
        <w:rPr>
          <w:bCs/>
          <w:b/>
        </w:rPr>
        <w:t xml:space="preserve"> </w:t>
      </w:r>
      <w:r>
        <w:t xml:space="preserve">Condiciones y umbrales:</w:t>
      </w:r>
      <w:r>
        <w:rPr>
          <w:bCs/>
          <w:b/>
        </w:rPr>
        <w:t xml:space="preserve"> </w:t>
      </w:r>
      <w:r>
        <w:t xml:space="preserve">Base de retención:</w:t>
      </w:r>
      <w:r>
        <w:rPr>
          <w:bCs/>
          <w:b/>
        </w:rPr>
        <w:t xml:space="preserve"> </w:t>
      </w:r>
      <w:r>
        <w:t xml:space="preserve">Acción abierta:**</w:t>
      </w:r>
    </w:p>
    <w:bookmarkEnd w:id="1627"/>
    <w:bookmarkStart w:id="1628" w:name="detonadores-de-la-revisión-6"/>
    <w:p>
      <w:pPr>
        <w:pStyle w:val="Heading2"/>
      </w:pPr>
      <w:r>
        <w:rPr>
          <w:rStyle w:val="SectionNumber"/>
        </w:rPr>
        <w:t xml:space="preserve">2.214</w:t>
      </w:r>
      <w:r>
        <w:tab/>
      </w:r>
      <w:r>
        <w:t xml:space="preserve">12. Detonadores de la revisión</w:t>
      </w:r>
    </w:p>
    <w:p>
      <w:pPr>
        <w:pStyle w:val="FirstParagraph"/>
      </w:pPr>
      <w:r>
        <w:t xml:space="preserve">Revisión después de:</w:t>
      </w:r>
    </w:p>
    <w:p>
      <w:pPr>
        <w:numPr>
          <w:ilvl w:val="0"/>
          <w:numId w:val="1586"/>
        </w:numPr>
        <w:pStyle w:val="Compact"/>
      </w:pPr>
      <w:r>
        <w:t xml:space="preserve">modelo, sistema, datos, rapidez, herramienta, agente, proveedor o cambio de infraestructura;</w:t>
      </w:r>
    </w:p>
    <w:p>
      <w:pPr>
        <w:numPr>
          <w:ilvl w:val="0"/>
          <w:numId w:val="1586"/>
        </w:numPr>
        <w:pStyle w:val="Compact"/>
      </w:pPr>
      <w:r>
        <w:t xml:space="preserve">nuevo propósito, población, jurisdicción o contexto de persona afectada;</w:t>
      </w:r>
    </w:p>
    <w:p>
      <w:pPr>
        <w:numPr>
          <w:ilvl w:val="0"/>
          <w:numId w:val="1586"/>
        </w:numPr>
        <w:pStyle w:val="Compact"/>
      </w:pPr>
      <w:r>
        <w:t xml:space="preserve">incidente, queja, apelación, deriva o control fallido;</w:t>
      </w:r>
    </w:p>
    <w:p>
      <w:pPr>
        <w:numPr>
          <w:ilvl w:val="0"/>
          <w:numId w:val="1586"/>
        </w:numPr>
        <w:pStyle w:val="Compact"/>
      </w:pPr>
      <w:r>
        <w:t xml:space="preserve">la superación del umbral de vigilancia;</w:t>
      </w:r>
    </w:p>
    <w:p>
      <w:pPr>
        <w:numPr>
          <w:ilvl w:val="0"/>
          <w:numId w:val="1586"/>
        </w:numPr>
        <w:pStyle w:val="Compact"/>
      </w:pPr>
      <w:r>
        <w:t xml:space="preserve">modificaciones sustanciales o cambios de conformidad;</w:t>
      </w:r>
    </w:p>
    <w:p>
      <w:pPr>
        <w:numPr>
          <w:ilvl w:val="0"/>
          <w:numId w:val="1586"/>
        </w:numPr>
        <w:pStyle w:val="Compact"/>
      </w:pPr>
      <w:r>
        <w:t xml:space="preserve">desarrollo legal, de autoridad, estándar o de código;</w:t>
      </w:r>
    </w:p>
    <w:p>
      <w:pPr>
        <w:numPr>
          <w:ilvl w:val="0"/>
          <w:numId w:val="1586"/>
        </w:numPr>
        <w:pStyle w:val="Compact"/>
      </w:pPr>
      <w:r>
        <w:t xml:space="preserve">suspensión, retroceso, retirada, retirada o restauración.</w:t>
      </w:r>
    </w:p>
    <w:bookmarkEnd w:id="1628"/>
    <w:bookmarkStart w:id="1629" w:name="X3c032b5f5a263cb912ce87b0f3fdef6543e0dba"/>
    <w:p>
      <w:pPr>
        <w:pStyle w:val="Heading2"/>
      </w:pPr>
      <w:r>
        <w:rPr>
          <w:rStyle w:val="SectionNumber"/>
        </w:rPr>
        <w:t xml:space="preserve">2.215</w:t>
      </w:r>
      <w:r>
        <w:tab/>
      </w:r>
      <w:r>
        <w:t xml:space="preserve">Ejemplo de servicios de viajes de GlobalWay</w:t>
      </w:r>
    </w:p>
    <w:p>
      <w:pPr>
        <w:pStyle w:val="FirstParagraph"/>
      </w:pPr>
      <w:r>
        <w:t xml:space="preserve">GlobalWay monitoriza a un asistente de viaje-disrupción para rereservaciones incorrectas, consejos sensibles a la seguridad, disparidades entre subgrupos y lenguaje, acciones de herramientas no autorizadas, tasas de anulación, quejas, cambios de proveedores y interrupciones. Una actualización de proveedores aumenta las recomendaciones incorrectas en casos de clima severo. Los umbrales críticos activan restricciones, preservación de evidencia, rereservación de sólo humanos, escalada de proveedores, pruebas de regresión y revisión legal antes de la restauración.</w:t>
      </w:r>
    </w:p>
    <w:bookmarkEnd w:id="1629"/>
    <w:bookmarkStart w:id="1630" w:name="homologación-10"/>
    <w:p>
      <w:pPr>
        <w:pStyle w:val="Heading2"/>
      </w:pPr>
      <w:r>
        <w:rPr>
          <w:rStyle w:val="SectionNumber"/>
        </w:rPr>
        <w:t xml:space="preserve">2.216</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Proveedor/propietario técnico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 la supervisión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Calidad/Cumplimiento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Asuntos jurídicos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Riesgo/Privacidad/Seguridad,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Base de retención:</w:t>
      </w:r>
      <w:r>
        <w:rPr>
          <w:bCs/>
          <w:b/>
        </w:rPr>
        <w:t xml:space="preserve"> </w:t>
      </w:r>
      <w:r>
        <w:t xml:space="preserve">Pedido/fecha de la próxima revisión:</w:t>
      </w:r>
      <w:r>
        <w:rPr>
          <w:bCs/>
          <w:b/>
        </w:rPr>
        <w:t xml:space="preserve"> </w:t>
      </w:r>
      <w:r>
        <w:t xml:space="preserve"> </w:t>
      </w:r>
      <w:r>
        <w:t xml:space="preserve">Versión del plan:**</w:t>
      </w:r>
    </w:p>
    <w:bookmarkEnd w:id="1630"/>
    <w:bookmarkStart w:id="1631" w:name="referencias-jurídicas-primarias-119"/>
    <w:p>
      <w:pPr>
        <w:pStyle w:val="Heading2"/>
      </w:pPr>
      <w:r>
        <w:rPr>
          <w:rStyle w:val="SectionNumber"/>
        </w:rPr>
        <w:t xml:space="preserve">2.217</w:t>
      </w:r>
      <w:r>
        <w:tab/>
      </w:r>
      <w:r>
        <w:t xml:space="preserve">Referencias jurídicas primarias</w:t>
      </w:r>
    </w:p>
    <w:p>
      <w:pPr>
        <w:numPr>
          <w:ilvl w:val="0"/>
          <w:numId w:val="1587"/>
        </w:numPr>
        <w:pStyle w:val="Compact"/>
      </w:pPr>
      <w:r>
        <w:t xml:space="preserve">Reglamento (UE) 2024/1689, en su versión modificada: artículo 72 y disposiciones aplicables sobre el proveedor, el despliegue, la gestión del riesgo, la gestión de la calidad, la tala, el seguimiento, los incidentes, las medidas correctoras, la autoridad y las disposiciones de alto riesgo.</w:t>
      </w:r>
    </w:p>
    <w:p>
      <w:pPr>
        <w:numPr>
          <w:ilvl w:val="0"/>
          <w:numId w:val="1587"/>
        </w:numPr>
        <w:pStyle w:val="Compact"/>
      </w:pPr>
      <w:r>
        <w:t xml:space="preserve">Reglamento (UE) 2026/1744, en su caso.</w:t>
      </w:r>
    </w:p>
    <w:p>
      <w:pPr>
        <w:numPr>
          <w:ilvl w:val="0"/>
          <w:numId w:val="1587"/>
        </w:numPr>
        <w:pStyle w:val="Compact"/>
      </w:pPr>
      <w:r>
        <w:t xml:space="preserve">Privacidad aplicable, ciberseguridad, seguridad de los productos, empleo, protección del consumidor y legislación sectorial.</w:t>
      </w:r>
    </w:p>
    <w:p>
      <w:pPr>
        <w:numPr>
          <w:ilvl w:val="0"/>
          <w:numId w:val="1587"/>
        </w:numPr>
        <w:pStyle w:val="Compact"/>
      </w:pPr>
      <w:r>
        <w:t xml:space="preserve">Los textos oficiales consolidados actuales controlan este plan.</w:t>
      </w:r>
    </w:p>
    <w:bookmarkEnd w:id="1631"/>
    <w:bookmarkStart w:id="1632" w:name="X3f0b1d2540f53f85e009dc598f89e7708b1e4f1"/>
    <w:p>
      <w:pPr>
        <w:pStyle w:val="Heading2"/>
      </w:pPr>
      <w:r>
        <w:rPr>
          <w:rStyle w:val="SectionNumber"/>
        </w:rPr>
        <w:t xml:space="preserve">2.218</w:t>
      </w:r>
      <w:r>
        <w:tab/>
      </w:r>
      <w:r>
        <w:t xml:space="preserve">Apéndice N — Informe sobre incidentes graves</w:t>
      </w:r>
    </w:p>
    <w:p>
      <w:pPr>
        <w:pStyle w:val="BlockText"/>
      </w:pPr>
      <w:r>
        <w:rPr>
          <w:bCs/>
          <w:b/>
        </w:rPr>
        <w:t xml:space="preserve">Estatus legal:</w:t>
      </w:r>
      <w:r>
        <w:t xml:space="preserve"> </w:t>
      </w:r>
      <w:r>
        <w:t xml:space="preserve">Corregido Maestro Inglés. Los deberes de reporte son actor-, evento-, provisión-, autoridad-, y fecha-específica. No hay fecha límite universal del incidente de IA. Evalúe la Ley de IA, privacidad, ciberseguridad, seguridad de productos, empleo, consumidor, y obligaciones del sector por separado.</w:t>
      </w:r>
    </w:p>
    <w:bookmarkEnd w:id="1632"/>
    <w:bookmarkStart w:id="1633" w:name="finalidad-30"/>
    <w:p>
      <w:pPr>
        <w:pStyle w:val="Heading2"/>
      </w:pPr>
      <w:r>
        <w:rPr>
          <w:rStyle w:val="SectionNumber"/>
        </w:rPr>
        <w:t xml:space="preserve">2.219</w:t>
      </w:r>
      <w:r>
        <w:tab/>
      </w:r>
      <w:r>
        <w:t xml:space="preserve">Finalidad</w:t>
      </w:r>
    </w:p>
    <w:p>
      <w:pPr>
        <w:pStyle w:val="FirstParagraph"/>
      </w:pPr>
      <w:r>
        <w:t xml:space="preserve">Utilice este formulario para documentar, evaluar, intensificar, investigar, informar, remediar y cerrar un incidente grave o un evento de IA potencialmente reportable.</w:t>
      </w:r>
    </w:p>
    <w:p>
      <w:pPr>
        <w:pStyle w:val="BodyText"/>
      </w:pPr>
      <w:r>
        <w:t xml:space="preserve">El formulario debe distinguir la gravedad interna de la prueba legal de incidentes graves, preservar las pruebas con prontitud, identificar al actor y la autoridad responsables, controlar los plazos de presentación de informes e impedir la reanudación antes de que se validen las medidas correctivas.</w:t>
      </w:r>
    </w:p>
    <w:bookmarkEnd w:id="1633"/>
    <w:bookmarkStart w:id="1634" w:name="incidente-y-contexto-jurídico"/>
    <w:p>
      <w:pPr>
        <w:pStyle w:val="Heading2"/>
      </w:pPr>
      <w:r>
        <w:rPr>
          <w:rStyle w:val="SectionNumber"/>
        </w:rPr>
        <w:t xml:space="preserve">2.220</w:t>
      </w:r>
      <w:r>
        <w:tab/>
      </w:r>
      <w:r>
        <w:t xml:space="preserve">1. Incidente y contexto jurídico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Identificación del incidente</w:t>
            </w:r>
          </w:p>
        </w:tc>
        <w:tc>
          <w:tcPr/>
          <w:p>
            <w:pPr>
              <w:pStyle w:val="Compact"/>
              <w:jc w:val="left"/>
            </w:pPr>
            <w:r>
              <w:t xml:space="preserve">- No, no.</w:t>
            </w:r>
          </w:p>
        </w:tc>
      </w:tr>
      <w:tr>
        <w:tc>
          <w:tcPr/>
          <w:p>
            <w:pPr>
              <w:pStyle w:val="Compact"/>
              <w:jc w:val="left"/>
            </w:pPr>
            <w:r>
              <w:t xml:space="preserve">Sistema/modelo e identificación del inventario</w:t>
            </w:r>
          </w:p>
        </w:tc>
        <w:tc>
          <w:tcPr/>
          <w:p>
            <w:pPr>
              <w:pStyle w:val="Compact"/>
              <w:jc w:val="left"/>
            </w:pPr>
            <w:r>
              <w:t xml:space="preserve">- No, no.</w:t>
            </w:r>
          </w:p>
        </w:tc>
      </w:tr>
      <w:tr>
        <w:tc>
          <w:tcPr/>
          <w:p>
            <w:pPr>
              <w:pStyle w:val="Compact"/>
              <w:jc w:val="left"/>
            </w:pPr>
            <w:r>
              <w:t xml:space="preserve">Versión/configuración</w:t>
            </w:r>
          </w:p>
        </w:tc>
        <w:tc>
          <w:tcPr/>
          <w:p>
            <w:pPr>
              <w:pStyle w:val="Compact"/>
              <w:jc w:val="left"/>
            </w:pPr>
            <w:r>
              <w:t xml:space="preserve">- No, no.</w:t>
            </w:r>
          </w:p>
        </w:tc>
      </w:tr>
      <w:tr>
        <w:tc>
          <w:tcPr/>
          <w:p>
            <w:pPr>
              <w:pStyle w:val="Compact"/>
              <w:jc w:val="left"/>
            </w:pPr>
            <w:r>
              <w:t xml:space="preserve">Entidad jurídica y función de actor</w:t>
            </w:r>
          </w:p>
        </w:tc>
        <w:tc>
          <w:tcPr/>
          <w:p>
            <w:pPr>
              <w:pStyle w:val="Compact"/>
              <w:jc w:val="left"/>
            </w:pPr>
            <w:r>
              <w:t xml:space="preserve">- No, no.</w:t>
            </w:r>
          </w:p>
        </w:tc>
      </w:tr>
      <w:tr>
        <w:tc>
          <w:tcPr/>
          <w:p>
            <w:pPr>
              <w:pStyle w:val="Compact"/>
              <w:jc w:val="left"/>
            </w:pPr>
            <w:r>
              <w:t xml:space="preserve">Finalidad prevista/clasificación</w:t>
            </w:r>
          </w:p>
        </w:tc>
        <w:tc>
          <w:tcPr/>
          <w:p>
            <w:pPr>
              <w:pStyle w:val="Compact"/>
              <w:jc w:val="left"/>
            </w:pPr>
            <w:r>
              <w:t xml:space="preserve">- No, no.</w:t>
            </w:r>
          </w:p>
        </w:tc>
      </w:tr>
      <w:tr>
        <w:tc>
          <w:tcPr/>
          <w:p>
            <w:pPr>
              <w:pStyle w:val="Compact"/>
              <w:jc w:val="left"/>
            </w:pPr>
            <w:r>
              <w:t xml:space="preserve">Fecha/hora</w:t>
            </w:r>
          </w:p>
        </w:tc>
        <w:tc>
          <w:tcPr/>
          <w:p>
            <w:pPr>
              <w:pStyle w:val="Compact"/>
              <w:jc w:val="left"/>
            </w:pPr>
            <w:r>
              <w:t xml:space="preserve">- No, no.</w:t>
            </w:r>
          </w:p>
        </w:tc>
      </w:tr>
      <w:tr>
        <w:tc>
          <w:tcPr/>
          <w:p>
            <w:pPr>
              <w:pStyle w:val="Compact"/>
              <w:jc w:val="left"/>
            </w:pPr>
            <w:r>
              <w:t xml:space="preserve">Fecha/hora detectada</w:t>
            </w:r>
          </w:p>
        </w:tc>
        <w:tc>
          <w:tcPr/>
          <w:p>
            <w:pPr>
              <w:pStyle w:val="Compact"/>
              <w:jc w:val="left"/>
            </w:pPr>
            <w:r>
              <w:t xml:space="preserve">- No, no.</w:t>
            </w:r>
          </w:p>
        </w:tc>
      </w:tr>
      <w:tr>
        <w:tc>
          <w:tcPr/>
          <w:p>
            <w:pPr>
              <w:pStyle w:val="Compact"/>
              <w:jc w:val="left"/>
            </w:pPr>
            <w:r>
              <w:t xml:space="preserve">Fecha/hora confirmada o intensificada</w:t>
            </w:r>
          </w:p>
        </w:tc>
        <w:tc>
          <w:tcPr/>
          <w:p>
            <w:pPr>
              <w:pStyle w:val="Compact"/>
              <w:jc w:val="left"/>
            </w:pPr>
            <w:r>
              <w:t xml:space="preserve">- No, no.</w:t>
            </w:r>
          </w:p>
        </w:tc>
      </w:tr>
      <w:tr>
        <w:tc>
          <w:tcPr/>
          <w:p>
            <w:pPr>
              <w:pStyle w:val="Compact"/>
              <w:jc w:val="left"/>
            </w:pPr>
            <w:r>
              <w:t xml:space="preserve">Reporter</w:t>
            </w:r>
          </w:p>
        </w:tc>
        <w:tc>
          <w:tcPr/>
          <w:p>
            <w:pPr>
              <w:pStyle w:val="Compact"/>
              <w:jc w:val="left"/>
            </w:pPr>
            <w:r>
              <w:t xml:space="preserve">- No, no.</w:t>
            </w:r>
          </w:p>
        </w:tc>
      </w:tr>
      <w:tr>
        <w:tc>
          <w:tcPr/>
          <w:p>
            <w:pPr>
              <w:pStyle w:val="Compact"/>
              <w:jc w:val="left"/>
            </w:pPr>
            <w:r>
              <w:t xml:space="preserve">Empresa/proveedor/propietario del puesto de trabajo</w:t>
            </w:r>
          </w:p>
        </w:tc>
        <w:tc>
          <w:tcPr/>
          <w:p>
            <w:pPr>
              <w:pStyle w:val="Compact"/>
              <w:jc w:val="left"/>
            </w:pPr>
            <w:r>
              <w:t xml:space="preserve">- No, no.</w:t>
            </w:r>
          </w:p>
        </w:tc>
      </w:tr>
      <w:tr>
        <w:tc>
          <w:tcPr/>
          <w:p>
            <w:pPr>
              <w:pStyle w:val="Compact"/>
              <w:jc w:val="left"/>
            </w:pPr>
            <w:r>
              <w:t xml:space="preserve">Plomo para incidentes</w:t>
            </w:r>
          </w:p>
        </w:tc>
        <w:tc>
          <w:tcPr/>
          <w:p>
            <w:pPr>
              <w:pStyle w:val="Compact"/>
              <w:jc w:val="left"/>
            </w:pPr>
            <w:r>
              <w:t xml:space="preserve">- No, no.</w:t>
            </w:r>
          </w:p>
        </w:tc>
      </w:tr>
      <w:tr>
        <w:tc>
          <w:tcPr/>
          <w:p>
            <w:pPr>
              <w:pStyle w:val="Compact"/>
              <w:jc w:val="left"/>
            </w:pPr>
            <w:r>
              <w:t xml:space="preserve">Competencias</w:t>
            </w:r>
          </w:p>
        </w:tc>
        <w:tc>
          <w:tcPr/>
          <w:p>
            <w:pPr>
              <w:pStyle w:val="Compact"/>
              <w:jc w:val="left"/>
            </w:pPr>
            <w:r>
              <w:t xml:space="preserve">- No, no.</w:t>
            </w:r>
          </w:p>
        </w:tc>
      </w:tr>
      <w:tr>
        <w:tc>
          <w:tcPr/>
          <w:p>
            <w:pPr>
              <w:pStyle w:val="Compact"/>
              <w:jc w:val="left"/>
            </w:pPr>
            <w:r>
              <w:t xml:space="preserve">Personas afectadas, sistemas y servicios</w:t>
            </w:r>
          </w:p>
        </w:tc>
        <w:tc>
          <w:tcPr/>
          <w:p>
            <w:pPr>
              <w:pStyle w:val="Compact"/>
              <w:jc w:val="left"/>
            </w:pPr>
            <w:r>
              <w:t xml:space="preserve">- No, no.</w:t>
            </w:r>
          </w:p>
        </w:tc>
      </w:tr>
      <w:tr>
        <w:tc>
          <w:tcPr/>
          <w:p>
            <w:pPr>
              <w:pStyle w:val="Compact"/>
              <w:jc w:val="left"/>
            </w:pPr>
            <w:r>
              <w:t xml:space="preserve">Proveedores/vendores y dependencias</w:t>
            </w:r>
          </w:p>
        </w:tc>
        <w:tc>
          <w:tcPr/>
          <w:p>
            <w:pPr>
              <w:pStyle w:val="Compact"/>
              <w:jc w:val="left"/>
            </w:pPr>
            <w:r>
              <w:t xml:space="preserve">- No, no.</w:t>
            </w:r>
          </w:p>
        </w:tc>
      </w:tr>
      <w:tr>
        <w:tc>
          <w:tcPr/>
          <w:p>
            <w:pPr>
              <w:pStyle w:val="Compact"/>
              <w:jc w:val="left"/>
            </w:pPr>
            <w:r>
              <w:t xml:space="preserve">Fuente jurídica actual/fecha de solicitud</w:t>
            </w:r>
          </w:p>
        </w:tc>
        <w:tc>
          <w:tcPr/>
          <w:p>
            <w:pPr>
              <w:pStyle w:val="Compact"/>
              <w:jc w:val="left"/>
            </w:pPr>
            <w:r>
              <w:t xml:space="preserve">- No, no.</w:t>
            </w:r>
          </w:p>
        </w:tc>
      </w:tr>
    </w:tbl>
    <w:bookmarkEnd w:id="1634"/>
    <w:bookmarkStart w:id="1635" w:name="descripción-inicial-del-evento"/>
    <w:p>
      <w:pPr>
        <w:pStyle w:val="Heading2"/>
      </w:pPr>
      <w:r>
        <w:rPr>
          <w:rStyle w:val="SectionNumber"/>
        </w:rPr>
        <w:t xml:space="preserve">2.221</w:t>
      </w:r>
      <w:r>
        <w:tab/>
      </w:r>
      <w:r>
        <w:t xml:space="preserve">2. Descripción inicial del evento</w:t>
      </w:r>
    </w:p>
    <w:p>
      <w:pPr>
        <w:pStyle w:val="FirstParagraph"/>
      </w:pPr>
      <w:r>
        <w:t xml:space="preserve">Describir:</w:t>
      </w:r>
    </w:p>
    <w:p>
      <w:pPr>
        <w:numPr>
          <w:ilvl w:val="0"/>
          <w:numId w:val="1588"/>
        </w:numPr>
        <w:pStyle w:val="Compact"/>
      </w:pPr>
      <w:r>
        <w:t xml:space="preserve">hechos verificados e incertidumbre conocida;</w:t>
      </w:r>
    </w:p>
    <w:p>
      <w:pPr>
        <w:numPr>
          <w:ilvl w:val="0"/>
          <w:numId w:val="1588"/>
        </w:numPr>
        <w:pStyle w:val="Compact"/>
      </w:pPr>
      <w:r>
        <w:t xml:space="preserve">cómo se detectó el acontecimiento;</w:t>
      </w:r>
    </w:p>
    <w:p>
      <w:pPr>
        <w:numPr>
          <w:ilvl w:val="0"/>
          <w:numId w:val="1588"/>
        </w:numPr>
        <w:pStyle w:val="Compact"/>
      </w:pPr>
      <w:r>
        <w:t xml:space="preserve">sistemas, modelos, versiones, personas, grupos, activos y procesos afectados;</w:t>
      </w:r>
    </w:p>
    <w:p>
      <w:pPr>
        <w:numPr>
          <w:ilvl w:val="0"/>
          <w:numId w:val="1588"/>
        </w:numPr>
        <w:pStyle w:val="Compact"/>
      </w:pPr>
      <w:r>
        <w:t xml:space="preserve">consecuencias reales y potenciales;</w:t>
      </w:r>
    </w:p>
    <w:p>
      <w:pPr>
        <w:numPr>
          <w:ilvl w:val="0"/>
          <w:numId w:val="1588"/>
        </w:numPr>
        <w:pStyle w:val="Compact"/>
      </w:pPr>
      <w:r>
        <w:t xml:space="preserve">escala, duración, reversibilidad y exposición continua;</w:t>
      </w:r>
    </w:p>
    <w:p>
      <w:pPr>
        <w:numPr>
          <w:ilvl w:val="0"/>
          <w:numId w:val="1588"/>
        </w:numPr>
        <w:pStyle w:val="Compact"/>
      </w:pPr>
      <w:r>
        <w:t xml:space="preserve">el estado actual de funcionamiento;</w:t>
      </w:r>
    </w:p>
    <w:p>
      <w:pPr>
        <w:numPr>
          <w:ilvl w:val="0"/>
          <w:numId w:val="1588"/>
        </w:numPr>
        <w:pStyle w:val="Compact"/>
      </w:pPr>
      <w:r>
        <w:t xml:space="preserve">proveedor, subprocesador, herramienta, datos o participación en la infraestructura;</w:t>
      </w:r>
    </w:p>
    <w:p>
      <w:pPr>
        <w:numPr>
          <w:ilvl w:val="0"/>
          <w:numId w:val="1588"/>
        </w:numPr>
        <w:pStyle w:val="Compact"/>
      </w:pPr>
      <w:r>
        <w:t xml:space="preserve">quejas relacionadas, apelaciones, alertas de seguridad o advertencias previas.</w:t>
      </w:r>
    </w:p>
    <w:bookmarkEnd w:id="1635"/>
    <w:bookmarkStart w:id="1636" w:name="contención-inmediata"/>
    <w:p>
      <w:pPr>
        <w:pStyle w:val="Heading2"/>
      </w:pPr>
      <w:r>
        <w:rPr>
          <w:rStyle w:val="SectionNumber"/>
        </w:rPr>
        <w:t xml:space="preserve">2.222</w:t>
      </w:r>
      <w:r>
        <w:tab/>
      </w:r>
      <w:r>
        <w:t xml:space="preserve">3. Contención inmediata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Tiempo cumplido</w:t>
            </w:r>
          </w:p>
        </w:tc>
        <w:tc>
          <w:tcPr/>
          <w:p>
            <w:pPr>
              <w:pStyle w:val="Compact"/>
              <w:jc w:val="left"/>
            </w:pPr>
            <w:r>
              <w:t xml:space="preserve">Situación</w:t>
            </w:r>
          </w:p>
        </w:tc>
        <w:tc>
          <w:tcPr/>
          <w:p>
            <w:pPr>
              <w:pStyle w:val="Compact"/>
              <w:jc w:val="left"/>
            </w:pPr>
            <w:r>
              <w:t xml:space="preserve">Pruebas</w:t>
            </w:r>
          </w:p>
        </w:tc>
      </w:tr>
      <w:tr>
        <w:tc>
          <w:tcPr/>
          <w:p>
            <w:pPr>
              <w:pStyle w:val="Compact"/>
              <w:jc w:val="left"/>
            </w:pPr>
            <w:r>
              <w:t xml:space="preserve">Restringir, suspender, aislar, retroceder o detener el sistema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Proteger y apoyar a las personas afectadas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Activar el proceso de retroceso/manual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Preservar registros, versiones, avisos, datos, salidas, decisiones y comunicaciones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Expedición de retención legal cuando sea necesario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Notificar Legal, Cumplimiento, Seguridad, Privacidad, Riesgo y Ejecutivos Internos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Póngase en contacto con el proveedor/vendor y requiere preservación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Evitar la recurrencia en sistemas similares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636"/>
    <w:bookmarkStart w:id="1637" w:name="prueba-jurídica-de-incidentes-graves"/>
    <w:p>
      <w:pPr>
        <w:pStyle w:val="Heading2"/>
      </w:pPr>
      <w:r>
        <w:rPr>
          <w:rStyle w:val="SectionNumber"/>
        </w:rPr>
        <w:t xml:space="preserve">2.223</w:t>
      </w:r>
      <w:r>
        <w:tab/>
      </w:r>
      <w:r>
        <w:t xml:space="preserve">4. Prueba jurídica de incidentes graves</w:t>
      </w:r>
    </w:p>
    <w:p>
      <w:pPr>
        <w:pStyle w:val="FirstParagraph"/>
      </w:pPr>
      <w:r>
        <w:t xml:space="preserve">Utilice la definición legal actual y las normas de notificación. No infiere la notificabilidad únicamente de una calificación interna de severidad.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Elemento legal u otro disparador</w:t>
            </w:r>
          </w:p>
        </w:tc>
        <w:tc>
          <w:tcPr/>
          <w:p>
            <w:pPr>
              <w:pStyle w:val="Compact"/>
              <w:jc w:val="left"/>
            </w:pPr>
            <w:r>
              <w:t xml:space="preserve">¿Conocido?</w:t>
            </w:r>
          </w:p>
        </w:tc>
        <w:tc>
          <w:tcPr/>
          <w:p>
            <w:pPr>
              <w:pStyle w:val="Compact"/>
              <w:jc w:val="left"/>
            </w:pPr>
            <w:r>
              <w:t xml:space="preserve">Evidencia y justificación</w:t>
            </w:r>
          </w:p>
        </w:tc>
        <w:tc>
          <w:tcPr/>
          <w:p>
            <w:pPr>
              <w:pStyle w:val="Compact"/>
              <w:jc w:val="left"/>
            </w:pPr>
            <w:r>
              <w:t xml:space="preserve">Revisor</w:t>
            </w:r>
          </w:p>
        </w:tc>
      </w:tr>
      <w:tr>
        <w:tc>
          <w:tcPr/>
          <w:p>
            <w:pPr>
              <w:pStyle w:val="Compact"/>
              <w:jc w:val="left"/>
            </w:pPr>
            <w:r>
              <w:t xml:space="preserve">Muerte o daños graves a la salud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Interrupción grave e irreversible de la infraestructura crítica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Incumplimiento de las obligaciones de la Unión en materia de protección de los derechos fundamentales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Daños graves a la propiedad o al medio ambiente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Otros factores desencadenantes de la Ley de IA aplicables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Violación de la privacidad/protección de datos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Incidente de ciberseguridad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 de los productos o activación del sector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Empleo, igualdad, consumo, contrato o seguro desencadenante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rPr>
          <w:bCs/>
          <w:b/>
        </w:rPr>
        <w:t xml:space="preserve">Conclusión jurídica</w:t>
      </w:r>
      <w:r>
        <w:t xml:space="preserve"> </w:t>
      </w:r>
      <w:r>
        <w:rPr>
          <w:bCs/>
          <w:b/>
        </w:rPr>
        <w:t xml:space="preserve">Actor responsable:</w:t>
      </w:r>
      <w:r>
        <w:t xml:space="preserve"> </w:t>
      </w:r>
      <w:r>
        <w:rPr>
          <w:bCs/>
          <w:b/>
        </w:rPr>
        <w:t xml:space="preserve">Evento de inicio de bloqueo:</w:t>
      </w:r>
      <w:r>
        <w:t xml:space="preserve"> </w:t>
      </w:r>
      <w:r>
        <w:t xml:space="preserve">** Revisor calificado:**</w:t>
      </w:r>
    </w:p>
    <w:bookmarkEnd w:id="1637"/>
    <w:bookmarkStart w:id="1638" w:name="matriz-de-notificación"/>
    <w:p>
      <w:pPr>
        <w:pStyle w:val="Heading2"/>
      </w:pPr>
      <w:r>
        <w:rPr>
          <w:rStyle w:val="SectionNumber"/>
        </w:rPr>
        <w:t xml:space="preserve">2.224</w:t>
      </w:r>
      <w:r>
        <w:tab/>
      </w:r>
      <w:r>
        <w:t xml:space="preserve">5. Matriz de notificación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Régimen/disposición</w:t>
            </w:r>
          </w:p>
        </w:tc>
        <w:tc>
          <w:tcPr/>
          <w:p>
            <w:pPr>
              <w:pStyle w:val="Compact"/>
              <w:jc w:val="left"/>
            </w:pPr>
            <w:r>
              <w:t xml:space="preserve">Agente responsable</w:t>
            </w:r>
          </w:p>
        </w:tc>
        <w:tc>
          <w:tcPr/>
          <w:p>
            <w:pPr>
              <w:pStyle w:val="Compact"/>
              <w:jc w:val="left"/>
            </w:pPr>
            <w:r>
              <w:t xml:space="preserve">Destinatario</w:t>
            </w:r>
          </w:p>
        </w:tc>
        <w:tc>
          <w:tcPr/>
          <w:p>
            <w:pPr>
              <w:pStyle w:val="Compact"/>
              <w:jc w:val="left"/>
            </w:pPr>
            <w:r>
              <w:t xml:space="preserve">Evento de inicio del reloj</w:t>
            </w:r>
          </w:p>
        </w:tc>
        <w:tc>
          <w:tcPr/>
          <w:p>
            <w:pPr>
              <w:pStyle w:val="Compact"/>
              <w:jc w:val="left"/>
            </w:pPr>
            <w:r>
              <w:t xml:space="preserve">Plazo</w:t>
            </w:r>
          </w:p>
        </w:tc>
        <w:tc>
          <w:tcPr/>
          <w:p>
            <w:pPr>
              <w:pStyle w:val="Compact"/>
              <w:jc w:val="left"/>
            </w:pPr>
            <w:r>
              <w:t xml:space="preserve">Informe inicial</w:t>
            </w:r>
          </w:p>
        </w:tc>
        <w:tc>
          <w:tcPr/>
          <w:p>
            <w:pPr>
              <w:pStyle w:val="Compact"/>
              <w:jc w:val="left"/>
            </w:pPr>
            <w:r>
              <w:t xml:space="preserve">Seguimiento/informe final</w:t>
            </w:r>
          </w:p>
        </w:tc>
        <w:tc>
          <w:tcPr/>
          <w:p>
            <w:pPr>
              <w:pStyle w:val="Compact"/>
              <w:jc w:val="left"/>
            </w:pPr>
            <w:r>
              <w:t xml:space="preserve">Situación/evidencia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Grabación:</w:t>
      </w:r>
    </w:p>
    <w:p>
      <w:pPr>
        <w:numPr>
          <w:ilvl w:val="0"/>
          <w:numId w:val="1589"/>
        </w:numPr>
        <w:pStyle w:val="Compact"/>
      </w:pPr>
      <w:r>
        <w:t xml:space="preserve">autoridad y canal de contacto;</w:t>
      </w:r>
    </w:p>
    <w:p>
      <w:pPr>
        <w:numPr>
          <w:ilvl w:val="0"/>
          <w:numId w:val="1589"/>
        </w:numPr>
        <w:pStyle w:val="Compact"/>
      </w:pPr>
      <w:r>
        <w:t xml:space="preserve">los informes preliminares o por etapas permitidos;</w:t>
      </w:r>
    </w:p>
    <w:p>
      <w:pPr>
        <w:numPr>
          <w:ilvl w:val="0"/>
          <w:numId w:val="1589"/>
        </w:numPr>
        <w:pStyle w:val="Compact"/>
      </w:pPr>
      <w:r>
        <w:t xml:space="preserve">tratamiento de la información incompleta;</w:t>
      </w:r>
    </w:p>
    <w:p>
      <w:pPr>
        <w:numPr>
          <w:ilvl w:val="0"/>
          <w:numId w:val="1589"/>
        </w:numPr>
        <w:pStyle w:val="Compact"/>
      </w:pPr>
      <w:r>
        <w:t xml:space="preserve">hechos, incertidumbre, contención y actualizaciones planificadas;</w:t>
      </w:r>
    </w:p>
    <w:p>
      <w:pPr>
        <w:numPr>
          <w:ilvl w:val="0"/>
          <w:numId w:val="1589"/>
        </w:numPr>
        <w:pStyle w:val="Compact"/>
      </w:pPr>
      <w:r>
        <w:t xml:space="preserve">autoridad de homologación;</w:t>
      </w:r>
    </w:p>
    <w:p>
      <w:pPr>
        <w:numPr>
          <w:ilvl w:val="0"/>
          <w:numId w:val="1589"/>
        </w:numPr>
        <w:pStyle w:val="Compact"/>
      </w:pPr>
      <w:r>
        <w:t xml:space="preserve">el acuse de recibo de entrega;</w:t>
      </w:r>
    </w:p>
    <w:p>
      <w:pPr>
        <w:numPr>
          <w:ilvl w:val="0"/>
          <w:numId w:val="1589"/>
        </w:numPr>
        <w:pStyle w:val="Compact"/>
      </w:pPr>
      <w:r>
        <w:t xml:space="preserve">justificación de la no notificación;</w:t>
      </w:r>
    </w:p>
    <w:p>
      <w:pPr>
        <w:numPr>
          <w:ilvl w:val="0"/>
          <w:numId w:val="1589"/>
        </w:numPr>
        <w:pStyle w:val="Compact"/>
      </w:pPr>
      <w:r>
        <w:t xml:space="preserve">coherencia entre las notificaciones paralelas.</w:t>
      </w:r>
    </w:p>
    <w:bookmarkEnd w:id="1638"/>
    <w:bookmarkStart w:id="1639" w:name="pruebas-conservadas"/>
    <w:p>
      <w:pPr>
        <w:pStyle w:val="Heading2"/>
      </w:pPr>
      <w:r>
        <w:rPr>
          <w:rStyle w:val="SectionNumber"/>
        </w:rPr>
        <w:t xml:space="preserve">2.225</w:t>
      </w:r>
      <w:r>
        <w:tab/>
      </w:r>
      <w:r>
        <w:t xml:space="preserve">6. Pruebas conservadas</w:t>
      </w:r>
    </w:p>
    <w:p>
      <w:pPr>
        <w:pStyle w:val="FirstParagraph"/>
      </w:pPr>
      <w:r>
        <w:t xml:space="preserve">Preservar según proceda:</w:t>
      </w:r>
    </w:p>
    <w:p>
      <w:pPr>
        <w:numPr>
          <w:ilvl w:val="0"/>
          <w:numId w:val="1590"/>
        </w:numPr>
        <w:pStyle w:val="Compact"/>
      </w:pPr>
      <w:r>
        <w:t xml:space="preserve">modelo, sistema, código, prompt, herramienta, agente y versiones de configuración;</w:t>
      </w:r>
    </w:p>
    <w:p>
      <w:pPr>
        <w:numPr>
          <w:ilvl w:val="0"/>
          <w:numId w:val="1590"/>
        </w:numPr>
        <w:pStyle w:val="Compact"/>
      </w:pPr>
      <w:r>
        <w:t xml:space="preserve">entradas, salidas, resultados de recuperación, acciones de herramientas, advertencias y registros;</w:t>
      </w:r>
    </w:p>
    <w:p>
      <w:pPr>
        <w:numPr>
          <w:ilvl w:val="0"/>
          <w:numId w:val="1590"/>
        </w:numPr>
        <w:pStyle w:val="Compact"/>
      </w:pPr>
      <w:r>
        <w:t xml:space="preserve">la revisión humana, la anulación, la detención y los registros de escalada;</w:t>
      </w:r>
    </w:p>
    <w:p>
      <w:pPr>
        <w:numPr>
          <w:ilvl w:val="0"/>
          <w:numId w:val="1590"/>
        </w:numPr>
        <w:pStyle w:val="Compact"/>
      </w:pPr>
      <w:r>
        <w:t xml:space="preserve">las versiones pertinentes de datos, linajes, transformaciones y conjuntos de datos;</w:t>
      </w:r>
    </w:p>
    <w:p>
      <w:pPr>
        <w:numPr>
          <w:ilvl w:val="0"/>
          <w:numId w:val="1590"/>
        </w:numPr>
        <w:pStyle w:val="Compact"/>
      </w:pPr>
      <w:r>
        <w:t xml:space="preserve">la liberación, el despliegue, la reversión y el cambio de registros;</w:t>
      </w:r>
    </w:p>
    <w:p>
      <w:pPr>
        <w:numPr>
          <w:ilvl w:val="0"/>
          <w:numId w:val="1590"/>
        </w:numPr>
        <w:pStyle w:val="Compact"/>
      </w:pPr>
      <w:r>
        <w:t xml:space="preserve">supervisión, seguridad y telemetría del sistema;</w:t>
      </w:r>
    </w:p>
    <w:p>
      <w:pPr>
        <w:numPr>
          <w:ilvl w:val="0"/>
          <w:numId w:val="1590"/>
        </w:numPr>
        <w:pStyle w:val="Compact"/>
      </w:pPr>
      <w:r>
        <w:t xml:space="preserve">las comunicaciones, avisos, contratos y pruebas de los proveedores;</w:t>
      </w:r>
    </w:p>
    <w:p>
      <w:pPr>
        <w:numPr>
          <w:ilvl w:val="0"/>
          <w:numId w:val="1590"/>
        </w:numPr>
        <w:pStyle w:val="Compact"/>
      </w:pPr>
      <w:r>
        <w:t xml:space="preserve">quejas, información de testigos, comunicaciones con las personas afectadas y registros de apoyo;</w:t>
      </w:r>
    </w:p>
    <w:p>
      <w:pPr>
        <w:numPr>
          <w:ilvl w:val="0"/>
          <w:numId w:val="1590"/>
        </w:numPr>
        <w:pStyle w:val="Compact"/>
      </w:pPr>
      <w:r>
        <w:t xml:space="preserve">análisis legales, comunicaciones de autoridad y decisiones de presentación de informes.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Elemento de prueba</w:t>
            </w:r>
          </w:p>
        </w:tc>
        <w:tc>
          <w:tcPr/>
          <w:p>
            <w:pPr>
              <w:pStyle w:val="Compact"/>
              <w:jc w:val="left"/>
            </w:pPr>
            <w:r>
              <w:t xml:space="preserve">Fuente/custodio</w:t>
            </w:r>
          </w:p>
        </w:tc>
        <w:tc>
          <w:tcPr/>
          <w:p>
            <w:pPr>
              <w:pStyle w:val="Compact"/>
              <w:jc w:val="left"/>
            </w:pPr>
            <w:r>
              <w:t xml:space="preserve">Tiempo de recogida</w:t>
            </w:r>
          </w:p>
        </w:tc>
        <w:tc>
          <w:tcPr/>
          <w:p>
            <w:pPr>
              <w:pStyle w:val="Compact"/>
              <w:jc w:val="left"/>
            </w:pPr>
            <w:r>
              <w:t xml:space="preserve">Integridad/suma de comprobación</w:t>
            </w:r>
          </w:p>
        </w:tc>
        <w:tc>
          <w:tcPr/>
          <w:p>
            <w:pPr>
              <w:pStyle w:val="Compact"/>
              <w:jc w:val="left"/>
            </w:pPr>
            <w:r>
              <w:t xml:space="preserve">Almacenamiento</w:t>
            </w:r>
          </w:p>
        </w:tc>
        <w:tc>
          <w:tcPr/>
          <w:p>
            <w:pPr>
              <w:pStyle w:val="Compact"/>
              <w:jc w:val="left"/>
            </w:pPr>
            <w:r>
              <w:t xml:space="preserve">Restricciones de acceso</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639"/>
    <w:bookmarkStart w:id="1640" w:name="investigación-y-alcance-afectado"/>
    <w:p>
      <w:pPr>
        <w:pStyle w:val="Heading2"/>
      </w:pPr>
      <w:r>
        <w:rPr>
          <w:rStyle w:val="SectionNumber"/>
        </w:rPr>
        <w:t xml:space="preserve">2.226</w:t>
      </w:r>
      <w:r>
        <w:tab/>
      </w:r>
      <w:r>
        <w:t xml:space="preserve">7. Investigación y alcance afectado</w:t>
      </w:r>
    </w:p>
    <w:p>
      <w:pPr>
        <w:pStyle w:val="FirstParagraph"/>
      </w:pPr>
      <w:r>
        <w:t xml:space="preserve">Documento:</w:t>
      </w:r>
    </w:p>
    <w:p>
      <w:pPr>
        <w:numPr>
          <w:ilvl w:val="0"/>
          <w:numId w:val="1591"/>
        </w:numPr>
        <w:pStyle w:val="Compact"/>
      </w:pPr>
      <w:r>
        <w:t xml:space="preserve">cronología de eventos;</w:t>
      </w:r>
    </w:p>
    <w:p>
      <w:pPr>
        <w:numPr>
          <w:ilvl w:val="0"/>
          <w:numId w:val="1591"/>
        </w:numPr>
        <w:pStyle w:val="Compact"/>
      </w:pPr>
      <w:r>
        <w:t xml:space="preserve">técnicas, modelo, datos, proceso, gobernanza, proveedor y causas humanas;</w:t>
      </w:r>
    </w:p>
    <w:p>
      <w:pPr>
        <w:numPr>
          <w:ilvl w:val="0"/>
          <w:numId w:val="1591"/>
        </w:numPr>
        <w:pStyle w:val="Compact"/>
      </w:pPr>
      <w:r>
        <w:t xml:space="preserve">versiones, jurisdicciones, poblaciones, clientes y servicios afectados;</w:t>
      </w:r>
    </w:p>
    <w:p>
      <w:pPr>
        <w:numPr>
          <w:ilvl w:val="0"/>
          <w:numId w:val="1591"/>
        </w:numPr>
        <w:pStyle w:val="Compact"/>
      </w:pPr>
      <w:r>
        <w:t xml:space="preserve">si sistemas similares comparten la debilidad;</w:t>
      </w:r>
    </w:p>
    <w:p>
      <w:pPr>
        <w:numPr>
          <w:ilvl w:val="0"/>
          <w:numId w:val="1591"/>
        </w:numPr>
        <w:pStyle w:val="Compact"/>
      </w:pPr>
      <w:r>
        <w:t xml:space="preserve">controles fallidos o ausentes;</w:t>
      </w:r>
    </w:p>
    <w:p>
      <w:pPr>
        <w:numPr>
          <w:ilvl w:val="0"/>
          <w:numId w:val="1591"/>
        </w:numPr>
        <w:pStyle w:val="Compact"/>
      </w:pPr>
      <w:r>
        <w:t xml:space="preserve">señales previas, quejas, conclusiones o excepciones;</w:t>
      </w:r>
    </w:p>
    <w:p>
      <w:pPr>
        <w:numPr>
          <w:ilvl w:val="0"/>
          <w:numId w:val="1591"/>
        </w:numPr>
        <w:pStyle w:val="Compact"/>
      </w:pPr>
      <w:r>
        <w:t xml:space="preserve">la finalidad prevista, el papel, la clasificación, la conformidad o las implicaciones de modificación sustancial;</w:t>
      </w:r>
    </w:p>
    <w:p>
      <w:pPr>
        <w:numPr>
          <w:ilvl w:val="0"/>
          <w:numId w:val="1591"/>
        </w:numPr>
        <w:pStyle w:val="Compact"/>
      </w:pPr>
      <w:r>
        <w:t xml:space="preserve">la causa raíz, los factores que contribuyen y la incertidumbre;</w:t>
      </w:r>
    </w:p>
    <w:p>
      <w:pPr>
        <w:numPr>
          <w:ilvl w:val="0"/>
          <w:numId w:val="1591"/>
        </w:numPr>
        <w:pStyle w:val="Compact"/>
      </w:pPr>
      <w:r>
        <w:t xml:space="preserve">impacto legal, de seguridad, derechos, privacidad, ciberseguridad, financiero y de reputación.</w:t>
      </w:r>
    </w:p>
    <w:bookmarkEnd w:id="1640"/>
    <w:bookmarkStart w:id="1641" w:name="medidas-correctivas-y-preventivas-1"/>
    <w:p>
      <w:pPr>
        <w:pStyle w:val="Heading2"/>
      </w:pPr>
      <w:r>
        <w:rPr>
          <w:rStyle w:val="SectionNumber"/>
        </w:rPr>
        <w:t xml:space="preserve">2.227</w:t>
      </w:r>
      <w:r>
        <w:tab/>
      </w:r>
      <w:r>
        <w:t xml:space="preserve">8. Medidas correctivas y preventivas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Medidas adoptadas</w:t>
            </w:r>
          </w:p>
        </w:tc>
        <w:tc>
          <w:tcPr/>
          <w:p>
            <w:pPr>
              <w:pStyle w:val="Compact"/>
              <w:jc w:val="left"/>
            </w:pPr>
            <w:r>
              <w:t xml:space="preserve">Tipo</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Consecuencias jurídicas</w:t>
            </w:r>
          </w:p>
        </w:tc>
        <w:tc>
          <w:tcPr/>
          <w:p>
            <w:pPr>
              <w:pStyle w:val="Compact"/>
              <w:jc w:val="left"/>
            </w:pPr>
            <w:r>
              <w:t xml:space="preserve">Situación</w:t>
            </w:r>
          </w:p>
        </w:tc>
        <w:tc>
          <w:tcPr/>
          <w:p>
            <w:pPr>
              <w:pStyle w:val="Compact"/>
              <w:jc w:val="left"/>
            </w:pPr>
            <w:r>
              <w:t xml:space="preserve">Pruebas de validación</w:t>
            </w:r>
          </w:p>
        </w:tc>
      </w:tr>
      <w:tr>
        <w:tc>
          <w:tcPr/>
          <w:p>
            <w:pPr>
              <w:pStyle w:val="Compact"/>
              <w:jc w:val="left"/>
            </w:pPr>
            <w:r>
              <w:t xml:space="preserve">- No, no.</w:t>
            </w:r>
          </w:p>
        </w:tc>
        <w:tc>
          <w:tcPr/>
          <w:p>
            <w:pPr>
              <w:pStyle w:val="Compact"/>
              <w:jc w:val="left"/>
            </w:pPr>
            <w:r>
              <w:t xml:space="preserve">Corrección / correctiva / preventiva / sistémica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Las actualizaciones requeridas podrán incluir archivos de riesgo, documentación técnica, SGC, controles de datos, supervisión humana, instrucciones, avisos, contratos, supervisión, formación, pruebas de conformidad y revisiones del sistema similares.</w:t>
      </w:r>
    </w:p>
    <w:bookmarkEnd w:id="1641"/>
    <w:bookmarkStart w:id="1643" w:name="X2ea10f1b9f3691288ea67757438a11adfa43b62"/>
    <w:p>
      <w:pPr>
        <w:pStyle w:val="Heading2"/>
      </w:pPr>
      <w:r>
        <w:rPr>
          <w:rStyle w:val="SectionNumber"/>
        </w:rPr>
        <w:t xml:space="preserve">2.228</w:t>
      </w:r>
      <w:r>
        <w:tab/>
      </w:r>
      <w:r>
        <w:t xml:space="preserve">9. Reiniciar, restringir o retirar la decisión</w:t>
      </w:r>
    </w:p>
    <w:p>
      <w:pPr>
        <w:numPr>
          <w:ilvl w:val="0"/>
          <w:numId w:val="1592"/>
        </w:numPr>
        <w:pStyle w:val="Compact"/>
      </w:pPr>
      <w:r>
        <w:t xml:space="preserve">☐ Continuar la operación</w:t>
      </w:r>
    </w:p>
    <w:p>
      <w:pPr>
        <w:numPr>
          <w:ilvl w:val="0"/>
          <w:numId w:val="1592"/>
        </w:numPr>
        <w:pStyle w:val="Compact"/>
      </w:pPr>
      <w:r>
        <w:t xml:space="preserve">☐ Operación restringida con condiciones</w:t>
      </w:r>
    </w:p>
    <w:p>
      <w:pPr>
        <w:numPr>
          <w:ilvl w:val="0"/>
          <w:numId w:val="1592"/>
        </w:numPr>
        <w:pStyle w:val="Compact"/>
      </w:pPr>
      <w:r>
        <w:t xml:space="preserve">☐ Reanudación limitada monitoreada</w:t>
      </w:r>
    </w:p>
    <w:p>
      <w:pPr>
        <w:numPr>
          <w:ilvl w:val="0"/>
          <w:numId w:val="1592"/>
        </w:numPr>
        <w:pStyle w:val="Compact"/>
      </w:pPr>
      <w:r>
        <w:t xml:space="preserve">☐ Permanecer suspendido</w:t>
      </w:r>
    </w:p>
    <w:p>
      <w:pPr>
        <w:numPr>
          <w:ilvl w:val="0"/>
          <w:numId w:val="1592"/>
        </w:numPr>
        <w:pStyle w:val="Compact"/>
      </w:pPr>
      <w:r>
        <w:t xml:space="preserve">☐ Retirar o recordar</w:t>
      </w:r>
    </w:p>
    <w:p>
      <w:pPr>
        <w:numPr>
          <w:ilvl w:val="0"/>
          <w:numId w:val="1592"/>
        </w:numPr>
        <w:pStyle w:val="Compact"/>
      </w:pPr>
      <w:r>
        <w:t xml:space="preserve">☐ Descomisión</w:t>
      </w:r>
    </w:p>
    <w:p>
      <w:pPr>
        <w:numPr>
          <w:ilvl w:val="0"/>
          <w:numId w:val="1592"/>
        </w:numPr>
        <w:pStyle w:val="Compact"/>
      </w:pPr>
      <w:r>
        <w:t xml:space="preserve">☐ Exámenes legales, de conformidad o de autoridad calificados requeridos</w:t>
      </w:r>
    </w:p>
    <w:bookmarkStart w:id="1642" w:name="justificación-de-la-decisión-2"/>
    <w:p>
      <w:pPr>
        <w:pStyle w:val="Heading3"/>
      </w:pPr>
      <w:r>
        <w:rPr>
          <w:rStyle w:val="SectionNumber"/>
        </w:rPr>
        <w:t xml:space="preserve">2.228.1</w:t>
      </w:r>
      <w:r>
        <w:tab/>
      </w:r>
      <w:r>
        <w:t xml:space="preserve">Justificación de la decisión</w:t>
      </w:r>
    </w:p>
    <w:p>
      <w:pPr>
        <w:pStyle w:val="FirstParagraph"/>
      </w:pPr>
      <w:r>
        <w:t xml:space="preserve">Documento:</w:t>
      </w:r>
    </w:p>
    <w:p>
      <w:pPr>
        <w:numPr>
          <w:ilvl w:val="0"/>
          <w:numId w:val="1593"/>
        </w:numPr>
        <w:pStyle w:val="Compact"/>
      </w:pPr>
      <w:r>
        <w:t xml:space="preserve">la contención y la rehabilitación validadas;</w:t>
      </w:r>
    </w:p>
    <w:p>
      <w:pPr>
        <w:numPr>
          <w:ilvl w:val="0"/>
          <w:numId w:val="1593"/>
        </w:numPr>
        <w:pStyle w:val="Compact"/>
      </w:pPr>
      <w:r>
        <w:t xml:space="preserve">riesgo e incertidumbre no resueltos;</w:t>
      </w:r>
    </w:p>
    <w:p>
      <w:pPr>
        <w:numPr>
          <w:ilvl w:val="0"/>
          <w:numId w:val="1593"/>
        </w:numPr>
        <w:pStyle w:val="Compact"/>
      </w:pPr>
      <w:r>
        <w:t xml:space="preserve">las salvaguardias de las personas afectadas;</w:t>
      </w:r>
    </w:p>
    <w:p>
      <w:pPr>
        <w:numPr>
          <w:ilvl w:val="0"/>
          <w:numId w:val="1593"/>
        </w:numPr>
        <w:pStyle w:val="Compact"/>
      </w:pPr>
      <w:r>
        <w:t xml:space="preserve">la autoridad requerida o la aprobación del cliente;</w:t>
      </w:r>
    </w:p>
    <w:p>
      <w:pPr>
        <w:numPr>
          <w:ilvl w:val="0"/>
          <w:numId w:val="1593"/>
        </w:numPr>
        <w:pStyle w:val="Compact"/>
      </w:pPr>
      <w:r>
        <w:t xml:space="preserve">los umbrales de seguimiento;</w:t>
      </w:r>
    </w:p>
    <w:p>
      <w:pPr>
        <w:numPr>
          <w:ilvl w:val="0"/>
          <w:numId w:val="1593"/>
        </w:numPr>
        <w:pStyle w:val="Compact"/>
      </w:pPr>
      <w:r>
        <w:t xml:space="preserve">criterios de retroceso o de parada;</w:t>
      </w:r>
    </w:p>
    <w:p>
      <w:pPr>
        <w:numPr>
          <w:ilvl w:val="0"/>
          <w:numId w:val="1593"/>
        </w:numPr>
        <w:pStyle w:val="Compact"/>
      </w:pPr>
      <w:r>
        <w:t xml:space="preserve">la aprobación responsable y la expiración de las condiciones.</w:t>
      </w:r>
    </w:p>
    <w:bookmarkEnd w:id="1642"/>
    <w:bookmarkEnd w:id="1643"/>
    <w:bookmarkStart w:id="1644" w:name="criterios-de-cierre"/>
    <w:p>
      <w:pPr>
        <w:pStyle w:val="Heading2"/>
      </w:pPr>
      <w:r>
        <w:rPr>
          <w:rStyle w:val="SectionNumber"/>
        </w:rPr>
        <w:t xml:space="preserve">2.229</w:t>
      </w:r>
      <w:r>
        <w:tab/>
      </w:r>
      <w:r>
        <w:t xml:space="preserve">10. Criterios de cierre</w:t>
      </w:r>
    </w:p>
    <w:p>
      <w:pPr>
        <w:pStyle w:val="FirstParagraph"/>
      </w:pPr>
      <w:r>
        <w:t xml:space="preserve">Confirme:</w:t>
      </w:r>
    </w:p>
    <w:p>
      <w:pPr>
        <w:numPr>
          <w:ilvl w:val="0"/>
          <w:numId w:val="1594"/>
        </w:numPr>
        <w:pStyle w:val="Compact"/>
      </w:pPr>
      <w:r>
        <w:t xml:space="preserve">todos los informes iniciales, de seguimiento y finales requeridos están completos;</w:t>
      </w:r>
    </w:p>
    <w:p>
      <w:pPr>
        <w:numPr>
          <w:ilvl w:val="0"/>
          <w:numId w:val="1594"/>
        </w:numPr>
        <w:pStyle w:val="Compact"/>
      </w:pPr>
      <w:r>
        <w:t xml:space="preserve">las cuestiones de autoridad y los compromisos se resuelven o se hacen un seguimiento;</w:t>
      </w:r>
    </w:p>
    <w:p>
      <w:pPr>
        <w:numPr>
          <w:ilvl w:val="0"/>
          <w:numId w:val="1594"/>
        </w:numPr>
        <w:pStyle w:val="Compact"/>
      </w:pPr>
      <w:r>
        <w:t xml:space="preserve">las personas afectadas recibieron el apoyo, la comunicación, la corrección o el recurso necesarios;</w:t>
      </w:r>
    </w:p>
    <w:p>
      <w:pPr>
        <w:numPr>
          <w:ilvl w:val="0"/>
          <w:numId w:val="1594"/>
        </w:numPr>
        <w:pStyle w:val="Compact"/>
      </w:pPr>
      <w:r>
        <w:t xml:space="preserve">se conserven las pruebas y se cumplan las obligaciones legales;</w:t>
      </w:r>
    </w:p>
    <w:p>
      <w:pPr>
        <w:numPr>
          <w:ilvl w:val="0"/>
          <w:numId w:val="1594"/>
        </w:numPr>
        <w:pStyle w:val="Compact"/>
      </w:pPr>
      <w:r>
        <w:t xml:space="preserve">se aprueban la causa raíz y el alcance afectado;</w:t>
      </w:r>
    </w:p>
    <w:p>
      <w:pPr>
        <w:numPr>
          <w:ilvl w:val="0"/>
          <w:numId w:val="1594"/>
        </w:numPr>
        <w:pStyle w:val="Compact"/>
      </w:pPr>
      <w:r>
        <w:t xml:space="preserve">se validen las medidas correctoras y preventivas;</w:t>
      </w:r>
    </w:p>
    <w:p>
      <w:pPr>
        <w:numPr>
          <w:ilvl w:val="0"/>
          <w:numId w:val="1594"/>
        </w:numPr>
        <w:pStyle w:val="Compact"/>
      </w:pPr>
      <w:r>
        <w:t xml:space="preserve">se evaluaron sistemas similares;</w:t>
      </w:r>
    </w:p>
    <w:p>
      <w:pPr>
        <w:numPr>
          <w:ilvl w:val="0"/>
          <w:numId w:val="1594"/>
        </w:numPr>
        <w:pStyle w:val="Compact"/>
      </w:pPr>
      <w:r>
        <w:t xml:space="preserve">se actualizaron las políticas, los controles, la documentación, los contratos, la formación y el seguimiento;</w:t>
      </w:r>
    </w:p>
    <w:p>
      <w:pPr>
        <w:numPr>
          <w:ilvl w:val="0"/>
          <w:numId w:val="1594"/>
        </w:numPr>
        <w:pStyle w:val="Compact"/>
      </w:pPr>
      <w:r>
        <w:t xml:space="preserve">se aprobó oficialmente la reanudación o la retirada permanente;</w:t>
      </w:r>
    </w:p>
    <w:p>
      <w:pPr>
        <w:numPr>
          <w:ilvl w:val="0"/>
          <w:numId w:val="1594"/>
        </w:numPr>
        <w:pStyle w:val="Compact"/>
      </w:pPr>
      <w:r>
        <w:t xml:space="preserve">Las lecciones aprendidas se comunicaron a la dirección y a la junta directiva donde se encontraba el material.</w:t>
      </w:r>
    </w:p>
    <w:bookmarkEnd w:id="1644"/>
    <w:bookmarkStart w:id="1645" w:name="X17335379fecd0d0fd6ad704f0d6edf61d6e2311"/>
    <w:p>
      <w:pPr>
        <w:pStyle w:val="Heading2"/>
      </w:pPr>
      <w:r>
        <w:rPr>
          <w:rStyle w:val="SectionNumber"/>
        </w:rPr>
        <w:t xml:space="preserve">2.230</w:t>
      </w:r>
      <w:r>
        <w:tab/>
      </w:r>
      <w:r>
        <w:t xml:space="preserve">Ejemplo de servicios de viajes de GlobalWay</w:t>
      </w:r>
    </w:p>
    <w:p>
      <w:pPr>
        <w:pStyle w:val="FirstParagraph"/>
      </w:pPr>
      <w:r>
        <w:t xml:space="preserve">GlobalWay descubre que una actualización del proveedor causó que su modelo de fraude bloqueara desproporcionadamente a un grupo geográfico de viajeros. La compañía restringe la función, activa la revisión manual, preserva el modelo afectado, los datos, las salidas, las anulaciones y las comunicaciones del proveedor, y evalúa las funciones de información de IA, GDPR, consumidores y contractuales por separado.</w:t>
      </w:r>
    </w:p>
    <w:bookmarkEnd w:id="1645"/>
    <w:bookmarkStart w:id="1646" w:name="homologación-11"/>
    <w:p>
      <w:pPr>
        <w:pStyle w:val="Heading2"/>
      </w:pPr>
      <w:r>
        <w:rPr>
          <w:rStyle w:val="SectionNumber"/>
        </w:rPr>
        <w:t xml:space="preserve">2.231</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Plomo para incidentes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Proveedor/desplegador/propietario de negocio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 técnica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Privacidad/Riesgo/Producto,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Ejecutivo o junta, cuando sea necesario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Retención/fundamento jurídico:</w:t>
      </w:r>
      <w:r>
        <w:rPr>
          <w:bCs/>
          <w:b/>
        </w:rPr>
        <w:t xml:space="preserve"> </w:t>
      </w:r>
      <w:r>
        <w:t xml:space="preserve"> </w:t>
      </w:r>
      <w:r>
        <w:t xml:space="preserve">Estado de la notificación:</w:t>
      </w:r>
      <w:r>
        <w:rPr>
          <w:bCs/>
          <w:b/>
        </w:rPr>
        <w:t xml:space="preserve"> </w:t>
      </w:r>
      <w:r>
        <w:t xml:space="preserve"> </w:t>
      </w:r>
      <w:r>
        <w:t xml:space="preserve">Acciones y compromisos abiertos</w:t>
      </w:r>
      <w:r>
        <w:rPr>
          <w:bCs/>
          <w:b/>
        </w:rPr>
        <w:t xml:space="preserve"> </w:t>
      </w:r>
      <w:r>
        <w:t xml:space="preserve"> </w:t>
      </w:r>
      <w:r>
        <w:t xml:space="preserve">Medida/revisión siguiente:</w:t>
      </w:r>
      <w:r>
        <w:rPr>
          <w:bCs/>
          <w:b/>
        </w:rPr>
        <w:t xml:space="preserve"> </w:t>
      </w:r>
      <w:r>
        <w:t xml:space="preserve">Versión del informe:**</w:t>
      </w:r>
    </w:p>
    <w:bookmarkEnd w:id="1646"/>
    <w:bookmarkStart w:id="1647" w:name="referencias-jurídicas-primarias-120"/>
    <w:p>
      <w:pPr>
        <w:pStyle w:val="Heading2"/>
      </w:pPr>
      <w:r>
        <w:rPr>
          <w:rStyle w:val="SectionNumber"/>
        </w:rPr>
        <w:t xml:space="preserve">2.232</w:t>
      </w:r>
      <w:r>
        <w:tab/>
      </w:r>
      <w:r>
        <w:t xml:space="preserve">Referencias jurídicas primarias</w:t>
      </w:r>
    </w:p>
    <w:p>
      <w:pPr>
        <w:numPr>
          <w:ilvl w:val="0"/>
          <w:numId w:val="1595"/>
        </w:numPr>
        <w:pStyle w:val="Compact"/>
      </w:pPr>
      <w:r>
        <w:t xml:space="preserve">Reglamento (UE) 2024/1689, en su versión modificada: disposiciones aplicables en materia de incidentes graves, seguimiento posterior a la comercialización, proveedor, despliegue, medidas correctoras, cooperación con las autoridades y alto riesgo.</w:t>
      </w:r>
    </w:p>
    <w:p>
      <w:pPr>
        <w:numPr>
          <w:ilvl w:val="0"/>
          <w:numId w:val="1595"/>
        </w:numPr>
        <w:pStyle w:val="Compact"/>
      </w:pPr>
      <w:r>
        <w:t xml:space="preserve">Reglamento (UE) 2026/1744, en su caso.</w:t>
      </w:r>
    </w:p>
    <w:p>
      <w:pPr>
        <w:numPr>
          <w:ilvl w:val="0"/>
          <w:numId w:val="1595"/>
        </w:numPr>
        <w:pStyle w:val="Compact"/>
      </w:pPr>
      <w:r>
        <w:t xml:space="preserve">Reglamento (UE) 2016/679 y legislación aplicable en materia de ciberseguridad, seguridad de los productos, empleo, igualdad, protección del consumidor, medio ambiente, seguros, contractual y sectorial.</w:t>
      </w:r>
    </w:p>
    <w:p>
      <w:pPr>
        <w:numPr>
          <w:ilvl w:val="0"/>
          <w:numId w:val="1595"/>
        </w:numPr>
        <w:pStyle w:val="Compact"/>
      </w:pPr>
      <w:r>
        <w:t xml:space="preserve">Los textos oficiales consolidados actuales y las instrucciones de la autoridad competente controlan el presente informe.</w:t>
      </w:r>
    </w:p>
    <w:bookmarkEnd w:id="1647"/>
    <w:bookmarkStart w:id="1648" w:name="X8a4f9f2afc32c2912a1fae65a99664789aff376"/>
    <w:p>
      <w:pPr>
        <w:pStyle w:val="Heading2"/>
      </w:pPr>
      <w:r>
        <w:rPr>
          <w:rStyle w:val="SectionNumber"/>
        </w:rPr>
        <w:t xml:space="preserve">2.233</w:t>
      </w:r>
      <w:r>
        <w:tab/>
      </w:r>
      <w:r>
        <w:t xml:space="preserve">Apéndice O — Cuestionario del proveedor de IA</w:t>
      </w:r>
    </w:p>
    <w:p>
      <w:pPr>
        <w:pStyle w:val="BlockText"/>
      </w:pPr>
      <w:r>
        <w:rPr>
          <w:bCs/>
          <w:b/>
        </w:rPr>
        <w:t xml:space="preserve">Estatus legal:</w:t>
      </w:r>
      <w:r>
        <w:t xml:space="preserve"> </w:t>
      </w:r>
      <w:r>
        <w:t xml:space="preserve">Corregido Maestro Inglés. Las respuestas de los proveedores son afirmaciones hasta que estén respaldadas por pruebas actuales, coincidentes en su alcance y en su versión.</w:t>
      </w:r>
    </w:p>
    <w:bookmarkEnd w:id="1648"/>
    <w:bookmarkStart w:id="1649" w:name="finalidad-31"/>
    <w:p>
      <w:pPr>
        <w:pStyle w:val="Heading2"/>
      </w:pPr>
      <w:r>
        <w:rPr>
          <w:rStyle w:val="SectionNumber"/>
        </w:rPr>
        <w:t xml:space="preserve">2.234</w:t>
      </w:r>
      <w:r>
        <w:tab/>
      </w:r>
      <w:r>
        <w:t xml:space="preserve">Finalidad</w:t>
      </w:r>
    </w:p>
    <w:p>
      <w:pPr>
        <w:pStyle w:val="FirstParagraph"/>
      </w:pPr>
      <w:r>
        <w:t xml:space="preserve">Utilice este cuestionario para evaluar la gobernanza de un proveedor de IA, el papel legal, la evidencia del sistema y del modelo, las prácticas de datos, la seguridad, la resiliencia, la transparencia, el seguimiento, la respuesta a incidentes, la cadena de suministro, los compromisos contractuales y la capacidad de apoyar el cumplimiento durante toda la relación.</w:t>
      </w:r>
    </w:p>
    <w:bookmarkEnd w:id="1649"/>
    <w:bookmarkStart w:id="1650" w:name="identidad-del-vendedor-y-del-servicio"/>
    <w:p>
      <w:pPr>
        <w:pStyle w:val="Heading2"/>
      </w:pPr>
      <w:r>
        <w:rPr>
          <w:rStyle w:val="SectionNumber"/>
        </w:rPr>
        <w:t xml:space="preserve">2.235</w:t>
      </w:r>
      <w:r>
        <w:tab/>
      </w:r>
      <w:r>
        <w:t xml:space="preserve">1. Identidad del vendedor y del servicio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Nombre legal y jurisdicción del proveedor</w:t>
            </w:r>
          </w:p>
        </w:tc>
        <w:tc>
          <w:tcPr/>
          <w:p>
            <w:pPr>
              <w:pStyle w:val="Compact"/>
              <w:jc w:val="left"/>
            </w:pPr>
            <w:r>
              <w:t xml:space="preserve">- No, no.</w:t>
            </w:r>
          </w:p>
        </w:tc>
      </w:tr>
      <w:tr>
        <w:tc>
          <w:tcPr/>
          <w:p>
            <w:pPr>
              <w:pStyle w:val="Compact"/>
              <w:jc w:val="left"/>
            </w:pPr>
            <w:r>
              <w:t xml:space="preserve">Entidad contratante</w:t>
            </w:r>
          </w:p>
        </w:tc>
        <w:tc>
          <w:tcPr/>
          <w:p>
            <w:pPr>
              <w:pStyle w:val="Compact"/>
              <w:jc w:val="left"/>
            </w:pPr>
            <w:r>
              <w:t xml:space="preserve">- No, no.</w:t>
            </w:r>
          </w:p>
        </w:tc>
      </w:tr>
      <w:tr>
        <w:tc>
          <w:tcPr/>
          <w:p>
            <w:pPr>
              <w:pStyle w:val="Compact"/>
              <w:jc w:val="left"/>
            </w:pPr>
            <w:r>
              <w:t xml:space="preserve">Producto/servicio</w:t>
            </w:r>
          </w:p>
        </w:tc>
        <w:tc>
          <w:tcPr/>
          <w:p>
            <w:pPr>
              <w:pStyle w:val="Compact"/>
              <w:jc w:val="left"/>
            </w:pPr>
            <w:r>
              <w:t xml:space="preserve">- No, no.</w:t>
            </w:r>
          </w:p>
        </w:tc>
      </w:tr>
      <w:tr>
        <w:tc>
          <w:tcPr/>
          <w:p>
            <w:pPr>
              <w:pStyle w:val="Compact"/>
              <w:jc w:val="left"/>
            </w:pPr>
            <w:r>
              <w:t xml:space="preserve">Sistema/modelo/versión</w:t>
            </w:r>
          </w:p>
        </w:tc>
        <w:tc>
          <w:tcPr/>
          <w:p>
            <w:pPr>
              <w:pStyle w:val="Compact"/>
              <w:jc w:val="left"/>
            </w:pPr>
            <w:r>
              <w:t xml:space="preserve">- No, no.</w:t>
            </w:r>
          </w:p>
        </w:tc>
      </w:tr>
      <w:tr>
        <w:tc>
          <w:tcPr/>
          <w:p>
            <w:pPr>
              <w:pStyle w:val="Compact"/>
              <w:jc w:val="left"/>
            </w:pPr>
            <w:r>
              <w:t xml:space="preserve">Finalidad prevista y usos apoyados</w:t>
            </w:r>
          </w:p>
        </w:tc>
        <w:tc>
          <w:tcPr/>
          <w:p>
            <w:pPr>
              <w:pStyle w:val="Compact"/>
              <w:jc w:val="left"/>
            </w:pPr>
            <w:r>
              <w:t xml:space="preserve">- No, no.</w:t>
            </w:r>
          </w:p>
        </w:tc>
      </w:tr>
      <w:tr>
        <w:tc>
          <w:tcPr/>
          <w:p>
            <w:pPr>
              <w:pStyle w:val="Compact"/>
              <w:jc w:val="left"/>
            </w:pPr>
            <w:r>
              <w:t xml:space="preserve">Sedes de alojamiento y apoyo</w:t>
            </w:r>
          </w:p>
        </w:tc>
        <w:tc>
          <w:tcPr/>
          <w:p>
            <w:pPr>
              <w:pStyle w:val="Compact"/>
              <w:jc w:val="left"/>
            </w:pPr>
            <w:r>
              <w:t xml:space="preserve">- No, no.</w:t>
            </w:r>
          </w:p>
        </w:tc>
      </w:tr>
      <w:tr>
        <w:tc>
          <w:tcPr/>
          <w:p>
            <w:pPr>
              <w:pStyle w:val="Compact"/>
              <w:jc w:val="left"/>
            </w:pPr>
            <w:r>
              <w:t xml:space="preserve">Proveedores de modelos</w:t>
            </w:r>
          </w:p>
        </w:tc>
        <w:tc>
          <w:tcPr/>
          <w:p>
            <w:pPr>
              <w:pStyle w:val="Compact"/>
              <w:jc w:val="left"/>
            </w:pPr>
            <w:r>
              <w:t xml:space="preserve">- No, no.</w:t>
            </w:r>
          </w:p>
        </w:tc>
      </w:tr>
      <w:tr>
        <w:tc>
          <w:tcPr/>
          <w:p>
            <w:pPr>
              <w:pStyle w:val="Compact"/>
              <w:jc w:val="left"/>
            </w:pPr>
            <w:r>
              <w:t xml:space="preserve">Subprocesadores y dependencias críticas</w:t>
            </w:r>
          </w:p>
        </w:tc>
        <w:tc>
          <w:tcPr/>
          <w:p>
            <w:pPr>
              <w:pStyle w:val="Compact"/>
              <w:jc w:val="left"/>
            </w:pPr>
            <w:r>
              <w:t xml:space="preserve">- No, no.</w:t>
            </w:r>
          </w:p>
        </w:tc>
      </w:tr>
      <w:tr>
        <w:tc>
          <w:tcPr/>
          <w:p>
            <w:pPr>
              <w:pStyle w:val="Compact"/>
              <w:jc w:val="left"/>
            </w:pPr>
            <w:r>
              <w:t xml:space="preserve">Contacto jurídico/de cumplimiento primario</w:t>
            </w:r>
          </w:p>
        </w:tc>
        <w:tc>
          <w:tcPr/>
          <w:p>
            <w:pPr>
              <w:pStyle w:val="Compact"/>
              <w:jc w:val="left"/>
            </w:pPr>
            <w:r>
              <w:t xml:space="preserve">- No, no.</w:t>
            </w:r>
          </w:p>
        </w:tc>
      </w:tr>
      <w:tr>
        <w:tc>
          <w:tcPr/>
          <w:p>
            <w:pPr>
              <w:pStyle w:val="Compact"/>
              <w:jc w:val="left"/>
            </w:pPr>
            <w:r>
              <w:t xml:space="preserve">Contacto de seguridad/incidente</w:t>
            </w:r>
          </w:p>
        </w:tc>
        <w:tc>
          <w:tcPr/>
          <w:p>
            <w:pPr>
              <w:pStyle w:val="Compact"/>
              <w:jc w:val="left"/>
            </w:pPr>
            <w:r>
              <w:t xml:space="preserve">- No, no.</w:t>
            </w:r>
          </w:p>
        </w:tc>
      </w:tr>
      <w:tr>
        <w:tc>
          <w:tcPr/>
          <w:p>
            <w:pPr>
              <w:pStyle w:val="Compact"/>
              <w:jc w:val="left"/>
            </w:pPr>
            <w:r>
              <w:t xml:space="preserve">Contacto técnico/producto</w:t>
            </w:r>
          </w:p>
        </w:tc>
        <w:tc>
          <w:tcPr/>
          <w:p>
            <w:pPr>
              <w:pStyle w:val="Compact"/>
              <w:jc w:val="left"/>
            </w:pPr>
            <w:r>
              <w:t xml:space="preserve">- No, no.</w:t>
            </w:r>
          </w:p>
        </w:tc>
      </w:tr>
      <w:tr>
        <w:tc>
          <w:tcPr/>
          <w:p>
            <w:pPr>
              <w:pStyle w:val="Compact"/>
              <w:jc w:val="left"/>
            </w:pPr>
            <w:r>
              <w:t xml:space="preserve">Depósito de pruebas/sala de datos</w:t>
            </w:r>
          </w:p>
        </w:tc>
        <w:tc>
          <w:tcPr/>
          <w:p>
            <w:pPr>
              <w:pStyle w:val="Compact"/>
              <w:jc w:val="left"/>
            </w:pPr>
            <w:r>
              <w:t xml:space="preserve">- No, no.</w:t>
            </w:r>
          </w:p>
        </w:tc>
      </w:tr>
    </w:tbl>
    <w:bookmarkEnd w:id="1650"/>
    <w:bookmarkStart w:id="1651" w:name="función-clasificación-y-alcance-jurídico"/>
    <w:p>
      <w:pPr>
        <w:pStyle w:val="Heading2"/>
      </w:pPr>
      <w:r>
        <w:rPr>
          <w:rStyle w:val="SectionNumber"/>
        </w:rPr>
        <w:t xml:space="preserve">2.236</w:t>
      </w:r>
      <w:r>
        <w:tab/>
      </w:r>
      <w:r>
        <w:t xml:space="preserve">2. Función, clasificación y alcance jurídico</w:t>
      </w:r>
    </w:p>
    <w:p>
      <w:pPr>
        <w:pStyle w:val="FirstParagraph"/>
      </w:pPr>
      <w:r>
        <w:t xml:space="preserve">Solicitar pruebas para:</w:t>
      </w:r>
    </w:p>
    <w:p>
      <w:pPr>
        <w:numPr>
          <w:ilvl w:val="0"/>
          <w:numId w:val="1596"/>
        </w:numPr>
        <w:pStyle w:val="Compact"/>
      </w:pPr>
      <w:r>
        <w:t xml:space="preserve">proveedor, proveedor de GPAI, proveedor intermedio, implementador, importador, distribuidor, representante autorizado, fabricante de productos y otras funciones;</w:t>
      </w:r>
    </w:p>
    <w:p>
      <w:pPr>
        <w:numPr>
          <w:ilvl w:val="0"/>
          <w:numId w:val="1596"/>
        </w:numPr>
        <w:pStyle w:val="Compact"/>
      </w:pPr>
      <w:r>
        <w:t xml:space="preserve">la finalidad prevista, el uso real apoyado, el uso prohibido y el uso indebido previsible;</w:t>
      </w:r>
    </w:p>
    <w:p>
      <w:pPr>
        <w:numPr>
          <w:ilvl w:val="0"/>
          <w:numId w:val="1596"/>
        </w:numPr>
        <w:pStyle w:val="Compact"/>
      </w:pPr>
      <w:r>
        <w:t xml:space="preserve">Artículo 5 - Control;</w:t>
      </w:r>
    </w:p>
    <w:p>
      <w:pPr>
        <w:numPr>
          <w:ilvl w:val="0"/>
          <w:numId w:val="1596"/>
        </w:numPr>
        <w:pStyle w:val="Compact"/>
      </w:pPr>
      <w:r>
        <w:t xml:space="preserve">Artículo 6/ Clasificación del anexo I o del anexo III;</w:t>
      </w:r>
    </w:p>
    <w:p>
      <w:pPr>
        <w:numPr>
          <w:ilvl w:val="0"/>
          <w:numId w:val="1596"/>
        </w:numPr>
        <w:pStyle w:val="Compact"/>
      </w:pPr>
      <w:r>
        <w:t xml:space="preserve">Artículo 50 y otros derechos de transparencia;</w:t>
      </w:r>
    </w:p>
    <w:p>
      <w:pPr>
        <w:numPr>
          <w:ilvl w:val="0"/>
          <w:numId w:val="1596"/>
        </w:numPr>
        <w:pStyle w:val="Compact"/>
      </w:pPr>
      <w:r>
        <w:t xml:space="preserve">GPAI y tratamiento de riesgo sistémico;</w:t>
      </w:r>
    </w:p>
    <w:p>
      <w:pPr>
        <w:numPr>
          <w:ilvl w:val="0"/>
          <w:numId w:val="1596"/>
        </w:numPr>
        <w:pStyle w:val="Compact"/>
      </w:pPr>
      <w:r>
        <w:t xml:space="preserve">las fechas de aplicación y las normas transitorias;</w:t>
      </w:r>
    </w:p>
    <w:p>
      <w:pPr>
        <w:numPr>
          <w:ilvl w:val="0"/>
          <w:numId w:val="1596"/>
        </w:numPr>
        <w:pStyle w:val="Compact"/>
      </w:pPr>
      <w:r>
        <w:t xml:space="preserve">la ruta de conformidad, el estatuto del organismo notificado, la declaración, el registro, el marcado CE y, en su caso, el estatuto de autoridad;</w:t>
      </w:r>
    </w:p>
    <w:p>
      <w:pPr>
        <w:numPr>
          <w:ilvl w:val="0"/>
          <w:numId w:val="1596"/>
        </w:numPr>
        <w:pStyle w:val="Compact"/>
      </w:pPr>
      <w:r>
        <w:t xml:space="preserve">las jurisdicciones apoyadas y las restricciones sectoriales.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Reclamación</w:t>
            </w:r>
          </w:p>
        </w:tc>
        <w:tc>
          <w:tcPr/>
          <w:p>
            <w:pPr>
              <w:pStyle w:val="Compact"/>
              <w:jc w:val="left"/>
            </w:pPr>
            <w:r>
              <w:t xml:space="preserve">Respuesta de los proveedores</w:t>
            </w:r>
          </w:p>
        </w:tc>
        <w:tc>
          <w:tcPr/>
          <w:p>
            <w:pPr>
              <w:pStyle w:val="Compact"/>
              <w:jc w:val="left"/>
            </w:pPr>
            <w:r>
              <w:t xml:space="preserve">Pruebas</w:t>
            </w:r>
          </w:p>
        </w:tc>
        <w:tc>
          <w:tcPr/>
          <w:p>
            <w:pPr>
              <w:pStyle w:val="Compact"/>
              <w:jc w:val="left"/>
            </w:pPr>
            <w:r>
              <w:t xml:space="preserve">Coincidencia entre versión y alcance</w:t>
            </w:r>
          </w:p>
        </w:tc>
        <w:tc>
          <w:tcPr/>
          <w:p>
            <w:pPr>
              <w:pStyle w:val="Compact"/>
              <w:jc w:val="left"/>
            </w:pPr>
            <w:r>
              <w:t xml:space="preserve">Conclusión interna</w:t>
            </w:r>
          </w:p>
        </w:tc>
      </w:tr>
      <w:tr>
        <w:tc>
          <w:tcPr/>
          <w:p>
            <w:pPr>
              <w:pStyle w:val="Compact"/>
              <w:jc w:val="left"/>
            </w:pPr>
            <w:r>
              <w:t xml:space="preserve">Función de actor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Clasificación estatutaria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Estado de conformidad/registro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Fechas aplicables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651"/>
    <w:bookmarkStart w:id="1652" w:name="Xc09589d08d22465c437a8cb44aa5d956675e2bf"/>
    <w:p>
      <w:pPr>
        <w:pStyle w:val="Heading2"/>
      </w:pPr>
      <w:r>
        <w:rPr>
          <w:rStyle w:val="SectionNumber"/>
        </w:rPr>
        <w:t xml:space="preserve">2.237</w:t>
      </w:r>
      <w:r>
        <w:tab/>
      </w:r>
      <w:r>
        <w:t xml:space="preserve">3. Propósito previsto y restricciones de uso</w:t>
      </w:r>
    </w:p>
    <w:p>
      <w:pPr>
        <w:pStyle w:val="FirstParagraph"/>
      </w:pPr>
      <w:r>
        <w:t xml:space="preserve">Pida al vendedor que proporcione:</w:t>
      </w:r>
    </w:p>
    <w:p>
      <w:pPr>
        <w:numPr>
          <w:ilvl w:val="0"/>
          <w:numId w:val="1597"/>
        </w:numPr>
        <w:pStyle w:val="Compact"/>
      </w:pPr>
      <w:r>
        <w:t xml:space="preserve">declaración formal de la finalidad prevista;</w:t>
      </w:r>
    </w:p>
    <w:p>
      <w:pPr>
        <w:numPr>
          <w:ilvl w:val="0"/>
          <w:numId w:val="1597"/>
        </w:numPr>
        <w:pStyle w:val="Compact"/>
      </w:pPr>
      <w:r>
        <w:t xml:space="preserve">los casos de uso subvencionado y las poblaciones;</w:t>
      </w:r>
    </w:p>
    <w:p>
      <w:pPr>
        <w:numPr>
          <w:ilvl w:val="0"/>
          <w:numId w:val="1597"/>
        </w:numPr>
        <w:pStyle w:val="Compact"/>
      </w:pPr>
      <w:r>
        <w:t xml:space="preserve">usos prohibidos, no justificados o de alto riesgo;</w:t>
      </w:r>
    </w:p>
    <w:p>
      <w:pPr>
        <w:numPr>
          <w:ilvl w:val="0"/>
          <w:numId w:val="1597"/>
        </w:numPr>
        <w:pStyle w:val="Compact"/>
      </w:pPr>
      <w:r>
        <w:t xml:space="preserve">limitaciones conocidas y modos de fallo;</w:t>
      </w:r>
    </w:p>
    <w:p>
      <w:pPr>
        <w:numPr>
          <w:ilvl w:val="0"/>
          <w:numId w:val="1597"/>
        </w:numPr>
        <w:pStyle w:val="Compact"/>
      </w:pPr>
      <w:r>
        <w:t xml:space="preserve">las restricciones de configuración y acceso;</w:t>
      </w:r>
    </w:p>
    <w:p>
      <w:pPr>
        <w:numPr>
          <w:ilvl w:val="0"/>
          <w:numId w:val="1597"/>
        </w:numPr>
        <w:pStyle w:val="Compact"/>
      </w:pPr>
      <w:r>
        <w:t xml:space="preserve">controles que impidan la repurposición o elusión;</w:t>
      </w:r>
    </w:p>
    <w:p>
      <w:pPr>
        <w:numPr>
          <w:ilvl w:val="0"/>
          <w:numId w:val="1597"/>
        </w:numPr>
        <w:pStyle w:val="Compact"/>
      </w:pPr>
      <w:r>
        <w:t xml:space="preserve">instrucciones para la integración segura, el despliegue, la supervisión y la recuperación;</w:t>
      </w:r>
    </w:p>
    <w:p>
      <w:pPr>
        <w:numPr>
          <w:ilvl w:val="0"/>
          <w:numId w:val="1597"/>
        </w:numPr>
        <w:pStyle w:val="Compact"/>
      </w:pPr>
      <w:r>
        <w:t xml:space="preserve">limitaciones geográficas, lingüísticas, de accesibilidad y sectoriales.</w:t>
      </w:r>
    </w:p>
    <w:bookmarkEnd w:id="1652"/>
    <w:bookmarkStart w:id="1653" w:name="X979a2955cb37dd3db7ea7dfa79a92a4f8df15e8"/>
    <w:p>
      <w:pPr>
        <w:pStyle w:val="Heading2"/>
      </w:pPr>
      <w:r>
        <w:rPr>
          <w:rStyle w:val="SectionNumber"/>
        </w:rPr>
        <w:t xml:space="preserve">2.238</w:t>
      </w:r>
      <w:r>
        <w:tab/>
      </w:r>
      <w:r>
        <w:t xml:space="preserve">4. Información sobre el sistema y los modelos</w:t>
      </w:r>
    </w:p>
    <w:p>
      <w:pPr>
        <w:pStyle w:val="FirstParagraph"/>
      </w:pPr>
      <w:r>
        <w:t xml:space="preserve">Solicitud:</w:t>
      </w:r>
    </w:p>
    <w:p>
      <w:pPr>
        <w:numPr>
          <w:ilvl w:val="0"/>
          <w:numId w:val="1598"/>
        </w:numPr>
        <w:pStyle w:val="Compact"/>
      </w:pPr>
      <w:r>
        <w:t xml:space="preserve">dependencias de arquitectura y materiales;</w:t>
      </w:r>
    </w:p>
    <w:p>
      <w:pPr>
        <w:numPr>
          <w:ilvl w:val="0"/>
          <w:numId w:val="1598"/>
        </w:numPr>
        <w:pStyle w:val="Compact"/>
      </w:pPr>
      <w:r>
        <w:t xml:space="preserve">tipo de modelo, proveedor, versión, configuración e historial de versiones;</w:t>
      </w:r>
    </w:p>
    <w:p>
      <w:pPr>
        <w:numPr>
          <w:ilvl w:val="0"/>
          <w:numId w:val="1598"/>
        </w:numPr>
        <w:pStyle w:val="Compact"/>
      </w:pPr>
      <w:r>
        <w:t xml:space="preserve">avisos, instrucciones del sistema, herramientas, agentes, recuperación y acciones externas;</w:t>
      </w:r>
    </w:p>
    <w:p>
      <w:pPr>
        <w:numPr>
          <w:ilvl w:val="0"/>
          <w:numId w:val="1598"/>
        </w:numPr>
        <w:pStyle w:val="Compact"/>
      </w:pPr>
      <w:r>
        <w:t xml:space="preserve">métodos de evaluación, métricas, conjuntos de datos, limitaciones y defectos conocidos;</w:t>
      </w:r>
    </w:p>
    <w:p>
      <w:pPr>
        <w:numPr>
          <w:ilvl w:val="0"/>
          <w:numId w:val="1598"/>
        </w:numPr>
        <w:pStyle w:val="Compact"/>
      </w:pPr>
      <w:r>
        <w:t xml:space="preserve">exactitud, incertidumbre, abstención, subgrupo, idioma y resultados de accesibilidad;</w:t>
      </w:r>
    </w:p>
    <w:p>
      <w:pPr>
        <w:numPr>
          <w:ilvl w:val="0"/>
          <w:numId w:val="1598"/>
        </w:numPr>
        <w:pStyle w:val="Compact"/>
      </w:pPr>
      <w:r>
        <w:t xml:space="preserve">robustez, mal uso, equipo rojo y pruebas de prueba contradictorias;</w:t>
      </w:r>
    </w:p>
    <w:p>
      <w:pPr>
        <w:numPr>
          <w:ilvl w:val="0"/>
          <w:numId w:val="1598"/>
        </w:numPr>
        <w:pStyle w:val="Compact"/>
      </w:pPr>
      <w:r>
        <w:t xml:space="preserve">la liberación, la depredación, el retroceso y el proceso de notificación del cambio;</w:t>
      </w:r>
    </w:p>
    <w:p>
      <w:pPr>
        <w:numPr>
          <w:ilvl w:val="0"/>
          <w:numId w:val="1598"/>
        </w:numPr>
        <w:pStyle w:val="Compact"/>
      </w:pPr>
      <w:r>
        <w:t xml:space="preserve">capacidad de preservar, identificar, reproducir y apoyar versiones anteriores;</w:t>
      </w:r>
    </w:p>
    <w:p>
      <w:pPr>
        <w:numPr>
          <w:ilvl w:val="0"/>
          <w:numId w:val="1598"/>
        </w:numPr>
        <w:pStyle w:val="Compact"/>
      </w:pPr>
      <w:r>
        <w:t xml:space="preserve">documentación técnica y tarjetas modelo/sistema adecuadas a la función.</w:t>
      </w:r>
    </w:p>
    <w:bookmarkEnd w:id="1653"/>
    <w:bookmarkStart w:id="1654" w:name="X8367d0ef4d92cf4435c08b36b8c401fdac0d048"/>
    <w:p>
      <w:pPr>
        <w:pStyle w:val="Heading2"/>
      </w:pPr>
      <w:r>
        <w:rPr>
          <w:rStyle w:val="SectionNumber"/>
        </w:rPr>
        <w:t xml:space="preserve">2.239</w:t>
      </w:r>
      <w:r>
        <w:tab/>
      </w:r>
      <w:r>
        <w:t xml:space="preserve">5. Gobernanza de los datos y propiedad intelectual</w:t>
      </w:r>
    </w:p>
    <w:p>
      <w:pPr>
        <w:pStyle w:val="FirstParagraph"/>
      </w:pPr>
      <w:r>
        <w:t xml:space="preserve">Solicitar pruebas para:</w:t>
      </w:r>
    </w:p>
    <w:p>
      <w:pPr>
        <w:numPr>
          <w:ilvl w:val="0"/>
          <w:numId w:val="1599"/>
        </w:numPr>
        <w:pStyle w:val="Compact"/>
      </w:pPr>
      <w:r>
        <w:t xml:space="preserve">fuentes y procedencia de los datos de formación, afinación, validación, evaluación, recuperación y seguimiento;</w:t>
      </w:r>
    </w:p>
    <w:p>
      <w:pPr>
        <w:numPr>
          <w:ilvl w:val="0"/>
          <w:numId w:val="1599"/>
        </w:numPr>
        <w:pStyle w:val="Compact"/>
      </w:pPr>
      <w:r>
        <w:t xml:space="preserve">adquisición legal, licencias, permisos y controles de propiedad intelectual;</w:t>
      </w:r>
    </w:p>
    <w:p>
      <w:pPr>
        <w:numPr>
          <w:ilvl w:val="0"/>
          <w:numId w:val="1599"/>
        </w:numPr>
        <w:pStyle w:val="Compact"/>
      </w:pPr>
      <w:r>
        <w:t xml:space="preserve">restricciones en materia de desguace y de fuentes de datos;</w:t>
      </w:r>
    </w:p>
    <w:p>
      <w:pPr>
        <w:numPr>
          <w:ilvl w:val="0"/>
          <w:numId w:val="1599"/>
        </w:numPr>
        <w:pStyle w:val="Compact"/>
      </w:pPr>
      <w:r>
        <w:t xml:space="preserve">métodos de calidad, pertinencia, representatividad y sesgo;</w:t>
      </w:r>
    </w:p>
    <w:p>
      <w:pPr>
        <w:numPr>
          <w:ilvl w:val="0"/>
          <w:numId w:val="1599"/>
        </w:numPr>
        <w:pStyle w:val="Compact"/>
      </w:pPr>
      <w:r>
        <w:t xml:space="preserve">pruebas de subgrupos e intersecciones;</w:t>
      </w:r>
    </w:p>
    <w:p>
      <w:pPr>
        <w:numPr>
          <w:ilvl w:val="0"/>
          <w:numId w:val="1599"/>
        </w:numPr>
        <w:pStyle w:val="Compact"/>
      </w:pPr>
      <w:r>
        <w:t xml:space="preserve">uso de datos del cliente para capacitación, mejora o retroalimentación;</w:t>
      </w:r>
    </w:p>
    <w:p>
      <w:pPr>
        <w:numPr>
          <w:ilvl w:val="0"/>
          <w:numId w:val="1599"/>
        </w:numPr>
        <w:pStyle w:val="Compact"/>
      </w:pPr>
      <w:r>
        <w:t xml:space="preserve">datos personales, de categoría especial, biométricos, de niños, confidenciales y regulados;</w:t>
      </w:r>
    </w:p>
    <w:p>
      <w:pPr>
        <w:numPr>
          <w:ilvl w:val="0"/>
          <w:numId w:val="1599"/>
        </w:numPr>
        <w:pStyle w:val="Compact"/>
      </w:pPr>
      <w:r>
        <w:t xml:space="preserve">los controles de retención, supresión, localización, transferencia y acceso;</w:t>
      </w:r>
    </w:p>
    <w:p>
      <w:pPr>
        <w:numPr>
          <w:ilvl w:val="0"/>
          <w:numId w:val="1599"/>
        </w:numPr>
        <w:pStyle w:val="Compact"/>
      </w:pPr>
      <w:r>
        <w:t xml:space="preserve">uso y etiquetado de datos sintéticos;</w:t>
      </w:r>
    </w:p>
    <w:p>
      <w:pPr>
        <w:numPr>
          <w:ilvl w:val="0"/>
          <w:numId w:val="1599"/>
        </w:numPr>
        <w:pStyle w:val="Compact"/>
      </w:pPr>
      <w:r>
        <w:t xml:space="preserve">la política de conformidad con los derechos de autor y el resumen de contenidos de formación, cuando proceda;</w:t>
      </w:r>
    </w:p>
    <w:p>
      <w:pPr>
        <w:numPr>
          <w:ilvl w:val="0"/>
          <w:numId w:val="1599"/>
        </w:numPr>
        <w:pStyle w:val="Compact"/>
      </w:pPr>
      <w:r>
        <w:t xml:space="preserve">conjunto de datos y linaje de modelos, versión y reproducibilidad.</w:t>
      </w:r>
    </w:p>
    <w:bookmarkEnd w:id="1654"/>
    <w:bookmarkStart w:id="1655" w:name="seguridad-y-resiliencia"/>
    <w:p>
      <w:pPr>
        <w:pStyle w:val="Heading2"/>
      </w:pPr>
      <w:r>
        <w:rPr>
          <w:rStyle w:val="SectionNumber"/>
        </w:rPr>
        <w:t xml:space="preserve">2.240</w:t>
      </w:r>
      <w:r>
        <w:tab/>
      </w:r>
      <w:r>
        <w:t xml:space="preserve">6. Seguridad y resiliencia</w:t>
      </w:r>
    </w:p>
    <w:p>
      <w:pPr>
        <w:pStyle w:val="FirstParagraph"/>
      </w:pPr>
      <w:r>
        <w:t xml:space="preserve">Solicitud:</w:t>
      </w:r>
    </w:p>
    <w:p>
      <w:pPr>
        <w:numPr>
          <w:ilvl w:val="0"/>
          <w:numId w:val="1600"/>
        </w:numPr>
        <w:pStyle w:val="Compact"/>
      </w:pPr>
      <w:r>
        <w:t xml:space="preserve">el ciclo de vida y la gobernanza del desarrollo seguro;</w:t>
      </w:r>
    </w:p>
    <w:p>
      <w:pPr>
        <w:numPr>
          <w:ilvl w:val="0"/>
          <w:numId w:val="1600"/>
        </w:numPr>
        <w:pStyle w:val="Compact"/>
      </w:pPr>
      <w:r>
        <w:t xml:space="preserve">modelos de amenazas y casos de uso indebido;</w:t>
      </w:r>
    </w:p>
    <w:p>
      <w:pPr>
        <w:numPr>
          <w:ilvl w:val="0"/>
          <w:numId w:val="1600"/>
        </w:numPr>
        <w:pStyle w:val="Compact"/>
      </w:pPr>
      <w:r>
        <w:t xml:space="preserve">la confrontación, la penetración, la inyección rápida, el abuso de herramientas y las pruebas de la cadena de suministro;</w:t>
      </w:r>
    </w:p>
    <w:p>
      <w:pPr>
        <w:numPr>
          <w:ilvl w:val="0"/>
          <w:numId w:val="1600"/>
        </w:numPr>
        <w:pStyle w:val="Compact"/>
      </w:pPr>
      <w:r>
        <w:t xml:space="preserve">identificación de la vulnerabilidad, rehabilitación, divulgación y calendarios;</w:t>
      </w:r>
    </w:p>
    <w:p>
      <w:pPr>
        <w:numPr>
          <w:ilvl w:val="0"/>
          <w:numId w:val="1600"/>
        </w:numPr>
        <w:pStyle w:val="Compact"/>
      </w:pPr>
      <w:r>
        <w:t xml:space="preserve">control de acceso, cifrado, secretos y aislamiento de inquilinos;</w:t>
      </w:r>
    </w:p>
    <w:p>
      <w:pPr>
        <w:numPr>
          <w:ilvl w:val="0"/>
          <w:numId w:val="1600"/>
        </w:numPr>
        <w:pStyle w:val="Compact"/>
      </w:pPr>
      <w:r>
        <w:t xml:space="preserve">registro, telemetría, detección de anomalías y exportación de pruebas;</w:t>
      </w:r>
    </w:p>
    <w:p>
      <w:pPr>
        <w:numPr>
          <w:ilvl w:val="0"/>
          <w:numId w:val="1600"/>
        </w:numPr>
        <w:pStyle w:val="Compact"/>
      </w:pPr>
      <w:r>
        <w:t xml:space="preserve">los antecedentes de incidentes y las lecciones aprendidas;</w:t>
      </w:r>
    </w:p>
    <w:p>
      <w:pPr>
        <w:numPr>
          <w:ilvl w:val="0"/>
          <w:numId w:val="1600"/>
        </w:numPr>
        <w:pStyle w:val="Compact"/>
      </w:pPr>
      <w:r>
        <w:t xml:space="preserve">disponibilidad, respaldo, recuperación, retroceso, continuidad y recuperación en caso de desastre;</w:t>
      </w:r>
    </w:p>
    <w:p>
      <w:pPr>
        <w:numPr>
          <w:ilvl w:val="0"/>
          <w:numId w:val="1600"/>
        </w:numPr>
        <w:pStyle w:val="Compact"/>
      </w:pPr>
      <w:r>
        <w:t xml:space="preserve">concentración, portabilidad, sustitución y soporte de salida;</w:t>
      </w:r>
    </w:p>
    <w:p>
      <w:pPr>
        <w:numPr>
          <w:ilvl w:val="0"/>
          <w:numId w:val="1600"/>
        </w:numPr>
        <w:pStyle w:val="Compact"/>
      </w:pPr>
      <w:r>
        <w:t xml:space="preserve">seguridad independiente, seguridad y garantía de resiliencia.</w:t>
      </w:r>
    </w:p>
    <w:bookmarkEnd w:id="1655"/>
    <w:bookmarkStart w:id="1656" w:name="Xff46de3e12b882c5403c7550c9440a8e32c0e1d"/>
    <w:p>
      <w:pPr>
        <w:pStyle w:val="Heading2"/>
      </w:pPr>
      <w:r>
        <w:rPr>
          <w:rStyle w:val="SectionNumber"/>
        </w:rPr>
        <w:t xml:space="preserve">2.241</w:t>
      </w:r>
      <w:r>
        <w:tab/>
      </w:r>
      <w:r>
        <w:t xml:space="preserve">7. Supervisión humana, transparencia y apoyo a las personas afectadas</w:t>
      </w:r>
    </w:p>
    <w:p>
      <w:pPr>
        <w:pStyle w:val="FirstParagraph"/>
      </w:pPr>
      <w:r>
        <w:t xml:space="preserve">Solicitar pruebas para:</w:t>
      </w:r>
    </w:p>
    <w:p>
      <w:pPr>
        <w:numPr>
          <w:ilvl w:val="0"/>
          <w:numId w:val="1601"/>
        </w:numPr>
        <w:pStyle w:val="Compact"/>
      </w:pPr>
      <w:r>
        <w:t xml:space="preserve">instrucciones de uso y limitaciones conocidas;</w:t>
      </w:r>
    </w:p>
    <w:p>
      <w:pPr>
        <w:numPr>
          <w:ilvl w:val="0"/>
          <w:numId w:val="1601"/>
        </w:numPr>
        <w:pStyle w:val="Compact"/>
      </w:pPr>
      <w:r>
        <w:t xml:space="preserve">información necesaria para la interpretación y supervisión humanas;</w:t>
      </w:r>
    </w:p>
    <w:p>
      <w:pPr>
        <w:numPr>
          <w:ilvl w:val="0"/>
          <w:numId w:val="1601"/>
        </w:numPr>
        <w:pStyle w:val="Compact"/>
      </w:pPr>
      <w:r>
        <w:t xml:space="preserve">las capacidades de anulación, parada, retroceso y escalada;</w:t>
      </w:r>
    </w:p>
    <w:p>
      <w:pPr>
        <w:numPr>
          <w:ilvl w:val="0"/>
          <w:numId w:val="1601"/>
        </w:numPr>
        <w:pStyle w:val="Compact"/>
      </w:pPr>
      <w:r>
        <w:t xml:space="preserve">las salvaguardias de la automatización y el sesgo;</w:t>
      </w:r>
    </w:p>
    <w:p>
      <w:pPr>
        <w:numPr>
          <w:ilvl w:val="0"/>
          <w:numId w:val="1601"/>
        </w:numPr>
        <w:pStyle w:val="Compact"/>
      </w:pPr>
      <w:r>
        <w:t xml:space="preserve">los avisos de transparencia, las revelaciones y el marcado de contenido sintético;</w:t>
      </w:r>
    </w:p>
    <w:p>
      <w:pPr>
        <w:numPr>
          <w:ilvl w:val="0"/>
          <w:numId w:val="1601"/>
        </w:numPr>
        <w:pStyle w:val="Compact"/>
      </w:pPr>
      <w:r>
        <w:t xml:space="preserve">accesibilidad y apoyo lingüístico;</w:t>
      </w:r>
    </w:p>
    <w:p>
      <w:pPr>
        <w:numPr>
          <w:ilvl w:val="0"/>
          <w:numId w:val="1601"/>
        </w:numPr>
        <w:pStyle w:val="Compact"/>
      </w:pPr>
      <w:r>
        <w:t xml:space="preserve">apoyo a la reclamación, apelación, corrección y reparación;</w:t>
      </w:r>
    </w:p>
    <w:p>
      <w:pPr>
        <w:numPr>
          <w:ilvl w:val="0"/>
          <w:numId w:val="1601"/>
        </w:numPr>
        <w:pStyle w:val="Compact"/>
      </w:pPr>
      <w:r>
        <w:t xml:space="preserve">consideraciones de uso del trabajador, solicitante, cliente o servicio público;</w:t>
      </w:r>
    </w:p>
    <w:p>
      <w:pPr>
        <w:numPr>
          <w:ilvl w:val="0"/>
          <w:numId w:val="1601"/>
        </w:numPr>
        <w:pStyle w:val="Compact"/>
      </w:pPr>
      <w:r>
        <w:t xml:space="preserve">materiales de formación y competencia.</w:t>
      </w:r>
    </w:p>
    <w:bookmarkEnd w:id="1656"/>
    <w:bookmarkStart w:id="1657" w:name="vigilancia-cambios-e-incidentes"/>
    <w:p>
      <w:pPr>
        <w:pStyle w:val="Heading2"/>
      </w:pPr>
      <w:r>
        <w:rPr>
          <w:rStyle w:val="SectionNumber"/>
        </w:rPr>
        <w:t xml:space="preserve">2.242</w:t>
      </w:r>
      <w:r>
        <w:tab/>
      </w:r>
      <w:r>
        <w:t xml:space="preserve">8. Vigilancia, cambios e incidentes</w:t>
      </w:r>
    </w:p>
    <w:p>
      <w:pPr>
        <w:pStyle w:val="FirstParagraph"/>
      </w:pPr>
      <w:r>
        <w:t xml:space="preserve">Definir y solicitar pruebas para:</w:t>
      </w:r>
    </w:p>
    <w:p>
      <w:pPr>
        <w:numPr>
          <w:ilvl w:val="0"/>
          <w:numId w:val="1602"/>
        </w:numPr>
        <w:pStyle w:val="Compact"/>
      </w:pPr>
      <w:r>
        <w:t xml:space="preserve">el seguimiento posterior al despliegue y los umbrales de rendimiento y deriva;</w:t>
      </w:r>
    </w:p>
    <w:p>
      <w:pPr>
        <w:numPr>
          <w:ilvl w:val="0"/>
          <w:numId w:val="1602"/>
        </w:numPr>
        <w:pStyle w:val="Compact"/>
      </w:pPr>
      <w:r>
        <w:t xml:space="preserve">subgrupo, idioma, accesibilidad, seguridad, denuncia y supervisión de anulación;</w:t>
      </w:r>
    </w:p>
    <w:p>
      <w:pPr>
        <w:numPr>
          <w:ilvl w:val="0"/>
          <w:numId w:val="1602"/>
        </w:numPr>
        <w:pStyle w:val="Compact"/>
      </w:pPr>
      <w:r>
        <w:t xml:space="preserve">identificación, notificación y cooperación en caso de incidentes graves;</w:t>
      </w:r>
    </w:p>
    <w:p>
      <w:pPr>
        <w:numPr>
          <w:ilvl w:val="0"/>
          <w:numId w:val="1602"/>
        </w:numPr>
        <w:pStyle w:val="Compact"/>
      </w:pPr>
      <w:r>
        <w:t xml:space="preserve">el regulador, el organismo notificado, el auditor y la asistencia al cliente;</w:t>
      </w:r>
    </w:p>
    <w:p>
      <w:pPr>
        <w:numPr>
          <w:ilvl w:val="0"/>
          <w:numId w:val="1602"/>
        </w:numPr>
        <w:pStyle w:val="Compact"/>
      </w:pPr>
      <w:r>
        <w:t xml:space="preserve">modelos, servicios, datos, alojamiento, subprocesador y cambios contractuales;</w:t>
      </w:r>
    </w:p>
    <w:p>
      <w:pPr>
        <w:numPr>
          <w:ilvl w:val="0"/>
          <w:numId w:val="1602"/>
        </w:numPr>
        <w:pStyle w:val="Compact"/>
      </w:pPr>
      <w:r>
        <w:t xml:space="preserve">identificación de la versión afectada y preservación de pruebas;</w:t>
      </w:r>
    </w:p>
    <w:p>
      <w:pPr>
        <w:numPr>
          <w:ilvl w:val="0"/>
          <w:numId w:val="1602"/>
        </w:numPr>
        <w:pStyle w:val="Compact"/>
      </w:pPr>
      <w:r>
        <w:t xml:space="preserve">medidas correctivas, restricciones, retroceso, retirada, retirada y restauración;</w:t>
      </w:r>
    </w:p>
    <w:p>
      <w:pPr>
        <w:numPr>
          <w:ilvl w:val="0"/>
          <w:numId w:val="1602"/>
        </w:numPr>
        <w:pStyle w:val="Compact"/>
      </w:pPr>
      <w:r>
        <w:t xml:space="preserve">avisos de depredación y fin de la ayuda.</w:t>
      </w:r>
    </w:p>
    <w:bookmarkEnd w:id="1657"/>
    <w:bookmarkStart w:id="1658" w:name="pruebas-y-derechos-de-auditoría"/>
    <w:p>
      <w:pPr>
        <w:pStyle w:val="Heading2"/>
      </w:pPr>
      <w:r>
        <w:rPr>
          <w:rStyle w:val="SectionNumber"/>
        </w:rPr>
        <w:t xml:space="preserve">2.243</w:t>
      </w:r>
      <w:r>
        <w:tab/>
      </w:r>
      <w:r>
        <w:t xml:space="preserve">9. Pruebas y derechos de auditoría</w:t>
      </w:r>
    </w:p>
    <w:p>
      <w:pPr>
        <w:pStyle w:val="FirstParagraph"/>
      </w:pPr>
      <w:r>
        <w:t xml:space="preserve">Confirmar la disponibilidad de:</w:t>
      </w:r>
    </w:p>
    <w:p>
      <w:pPr>
        <w:numPr>
          <w:ilvl w:val="0"/>
          <w:numId w:val="1603"/>
        </w:numPr>
        <w:pStyle w:val="Compact"/>
      </w:pPr>
      <w:r>
        <w:t xml:space="preserve">documentación técnica;</w:t>
      </w:r>
    </w:p>
    <w:p>
      <w:pPr>
        <w:numPr>
          <w:ilvl w:val="0"/>
          <w:numId w:val="1603"/>
        </w:numPr>
        <w:pStyle w:val="Compact"/>
      </w:pPr>
      <w:r>
        <w:t xml:space="preserve">informes de validación y evaluación;</w:t>
      </w:r>
    </w:p>
    <w:p>
      <w:pPr>
        <w:numPr>
          <w:ilvl w:val="0"/>
          <w:numId w:val="1603"/>
        </w:numPr>
        <w:pStyle w:val="Compact"/>
      </w:pPr>
      <w:r>
        <w:t xml:space="preserve">pruebas de gobernanza de los datos;</w:t>
      </w:r>
    </w:p>
    <w:p>
      <w:pPr>
        <w:numPr>
          <w:ilvl w:val="0"/>
          <w:numId w:val="1603"/>
        </w:numPr>
        <w:pStyle w:val="Compact"/>
      </w:pPr>
      <w:r>
        <w:t xml:space="preserve">evaluaciones de riesgos y seguridad;</w:t>
      </w:r>
    </w:p>
    <w:p>
      <w:pPr>
        <w:numPr>
          <w:ilvl w:val="0"/>
          <w:numId w:val="1603"/>
        </w:numPr>
        <w:pStyle w:val="Compact"/>
      </w:pPr>
      <w:r>
        <w:t xml:space="preserve">los resultados de los ensayos de seguridad;</w:t>
      </w:r>
    </w:p>
    <w:p>
      <w:pPr>
        <w:numPr>
          <w:ilvl w:val="0"/>
          <w:numId w:val="1603"/>
        </w:numPr>
        <w:pStyle w:val="Compact"/>
      </w:pPr>
      <w:r>
        <w:t xml:space="preserve">informes de auditoría, certificaciones o certificaciones;</w:t>
      </w:r>
    </w:p>
    <w:p>
      <w:pPr>
        <w:numPr>
          <w:ilvl w:val="0"/>
          <w:numId w:val="1603"/>
        </w:numPr>
        <w:pStyle w:val="Compact"/>
      </w:pPr>
      <w:r>
        <w:t xml:space="preserve">registros de incidentes y quejas;</w:t>
      </w:r>
    </w:p>
    <w:p>
      <w:pPr>
        <w:numPr>
          <w:ilvl w:val="0"/>
          <w:numId w:val="1603"/>
        </w:numPr>
        <w:pStyle w:val="Compact"/>
      </w:pPr>
      <w:r>
        <w:t xml:space="preserve">liberación y cambio de historia;</w:t>
      </w:r>
    </w:p>
    <w:p>
      <w:pPr>
        <w:numPr>
          <w:ilvl w:val="0"/>
          <w:numId w:val="1603"/>
        </w:numPr>
        <w:pStyle w:val="Compact"/>
      </w:pPr>
      <w:r>
        <w:t xml:space="preserve">registros y pruebas de la versión afectada;</w:t>
      </w:r>
    </w:p>
    <w:p>
      <w:pPr>
        <w:numPr>
          <w:ilvl w:val="0"/>
          <w:numId w:val="1603"/>
        </w:numPr>
        <w:pStyle w:val="Compact"/>
      </w:pPr>
      <w:r>
        <w:t xml:space="preserve">información orientada hacia el regulador;</w:t>
      </w:r>
    </w:p>
    <w:p>
      <w:pPr>
        <w:numPr>
          <w:ilvl w:val="0"/>
          <w:numId w:val="1603"/>
        </w:numPr>
        <w:pStyle w:val="Compact"/>
      </w:pPr>
      <w:r>
        <w:t xml:space="preserve">auditoría de clientes, inspección, pruebas y apoyo a la cooperación de la autoridad.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Reclamación</w:t>
            </w:r>
          </w:p>
        </w:tc>
        <w:tc>
          <w:tcPr/>
          <w:p>
            <w:pPr>
              <w:pStyle w:val="Compact"/>
              <w:jc w:val="left"/>
            </w:pPr>
            <w:r>
              <w:t xml:space="preserve">Pruebas aportadas</w:t>
            </w:r>
          </w:p>
        </w:tc>
        <w:tc>
          <w:tcPr/>
          <w:p>
            <w:pPr>
              <w:pStyle w:val="Compact"/>
              <w:jc w:val="left"/>
            </w:pPr>
            <w:r>
              <w:t xml:space="preserve">¿Actual?</w:t>
            </w:r>
          </w:p>
        </w:tc>
        <w:tc>
          <w:tcPr/>
          <w:p>
            <w:pPr>
              <w:pStyle w:val="Compact"/>
              <w:jc w:val="left"/>
            </w:pPr>
            <w:r>
              <w:t xml:space="preserve">Coincidencia entre versión y alcance</w:t>
            </w:r>
          </w:p>
        </w:tc>
        <w:tc>
          <w:tcPr/>
          <w:p>
            <w:pPr>
              <w:pStyle w:val="Compact"/>
              <w:jc w:val="left"/>
            </w:pPr>
            <w:r>
              <w:t xml:space="preserve">¿Convalidado independientemente?</w:t>
            </w:r>
          </w:p>
        </w:tc>
        <w:tc>
          <w:tcPr/>
          <w:p>
            <w:pPr>
              <w:pStyle w:val="Compact"/>
              <w:jc w:val="left"/>
            </w:pPr>
            <w:r>
              <w:t xml:space="preserve">Limitación/brecha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658"/>
    <w:bookmarkStart w:id="1659" w:name="cadena-de-suministro-y-concentración"/>
    <w:p>
      <w:pPr>
        <w:pStyle w:val="Heading2"/>
      </w:pPr>
      <w:r>
        <w:rPr>
          <w:rStyle w:val="SectionNumber"/>
        </w:rPr>
        <w:t xml:space="preserve">2.244</w:t>
      </w:r>
      <w:r>
        <w:tab/>
      </w:r>
      <w:r>
        <w:t xml:space="preserve">10. Cadena de suministro y concentración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Dependencia</w:t>
            </w:r>
          </w:p>
        </w:tc>
        <w:tc>
          <w:tcPr/>
          <w:p>
            <w:pPr>
              <w:pStyle w:val="Compact"/>
              <w:jc w:val="left"/>
            </w:pPr>
            <w:r>
              <w:t xml:space="preserve">Proveedor</w:t>
            </w:r>
          </w:p>
        </w:tc>
        <w:tc>
          <w:tcPr/>
          <w:p>
            <w:pPr>
              <w:pStyle w:val="Compact"/>
              <w:jc w:val="left"/>
            </w:pPr>
            <w:r>
              <w:t xml:space="preserve">Zona</w:t>
            </w:r>
          </w:p>
        </w:tc>
        <w:tc>
          <w:tcPr/>
          <w:p>
            <w:pPr>
              <w:pStyle w:val="Compact"/>
              <w:jc w:val="left"/>
            </w:pPr>
            <w:r>
              <w:t xml:space="preserve">Función</w:t>
            </w:r>
          </w:p>
        </w:tc>
        <w:tc>
          <w:tcPr/>
          <w:p>
            <w:pPr>
              <w:pStyle w:val="Compact"/>
              <w:jc w:val="left"/>
            </w:pPr>
            <w:r>
              <w:t xml:space="preserve">Criticalidad</w:t>
            </w:r>
          </w:p>
        </w:tc>
        <w:tc>
          <w:tcPr/>
          <w:p>
            <w:pPr>
              <w:pStyle w:val="Compact"/>
              <w:jc w:val="left"/>
            </w:pPr>
            <w:r>
              <w:t xml:space="preserve">Pruebas/limitación del acceso</w:t>
            </w:r>
          </w:p>
        </w:tc>
        <w:tc>
          <w:tcPr/>
          <w:p>
            <w:pPr>
              <w:pStyle w:val="Compact"/>
              <w:jc w:val="left"/>
            </w:pPr>
            <w:r>
              <w:t xml:space="preserve">Opción de salida o sustitución</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Evaluar puntos únicos de fallo, subprocesadores ocultos, lagunas de evidencia patentada, dependencias transfronterizas, restricciones de licencia, versiones no respaldadas y tiempo de sustitución.</w:t>
      </w:r>
    </w:p>
    <w:bookmarkEnd w:id="1659"/>
    <w:bookmarkStart w:id="1660" w:name="compromisos-contractuales"/>
    <w:p>
      <w:pPr>
        <w:pStyle w:val="Heading2"/>
      </w:pPr>
      <w:r>
        <w:rPr>
          <w:rStyle w:val="SectionNumber"/>
        </w:rPr>
        <w:t xml:space="preserve">2.245</w:t>
      </w:r>
      <w:r>
        <w:tab/>
      </w:r>
      <w:r>
        <w:t xml:space="preserve">11. Compromisos contractuales</w:t>
      </w:r>
    </w:p>
    <w:p>
      <w:pPr>
        <w:pStyle w:val="FirstParagraph"/>
      </w:pPr>
      <w:r>
        <w:t xml:space="preserve">Confirmar la voluntad de apoyar:</w:t>
      </w:r>
    </w:p>
    <w:p>
      <w:pPr>
        <w:numPr>
          <w:ilvl w:val="0"/>
          <w:numId w:val="1604"/>
        </w:numPr>
        <w:pStyle w:val="Compact"/>
      </w:pPr>
      <w:r>
        <w:t xml:space="preserve">función precisa, clasificación e información sobre los fines previstos;</w:t>
      </w:r>
    </w:p>
    <w:p>
      <w:pPr>
        <w:numPr>
          <w:ilvl w:val="0"/>
          <w:numId w:val="1604"/>
        </w:numPr>
        <w:pStyle w:val="Compact"/>
      </w:pPr>
      <w:r>
        <w:t xml:space="preserve">los derechos de acceso a pruebas, auditoría, inspección y ensayo;</w:t>
      </w:r>
    </w:p>
    <w:p>
      <w:pPr>
        <w:numPr>
          <w:ilvl w:val="0"/>
          <w:numId w:val="1604"/>
        </w:numPr>
        <w:pStyle w:val="Compact"/>
      </w:pPr>
      <w:r>
        <w:t xml:space="preserve">modelo, versión, funcionalidad, datos, ubicación, licencia y aviso de cambio de subprocesador;</w:t>
      </w:r>
    </w:p>
    <w:p>
      <w:pPr>
        <w:numPr>
          <w:ilvl w:val="0"/>
          <w:numId w:val="1604"/>
        </w:numPr>
        <w:pStyle w:val="Compact"/>
      </w:pPr>
      <w:r>
        <w:t xml:space="preserve">incidente, vulnerabilidad, denuncia y notificación reglamentaria;</w:t>
      </w:r>
    </w:p>
    <w:p>
      <w:pPr>
        <w:numPr>
          <w:ilvl w:val="0"/>
          <w:numId w:val="1604"/>
        </w:numPr>
        <w:pStyle w:val="Compact"/>
      </w:pPr>
      <w:r>
        <w:t xml:space="preserve">restricciones de uso de datos, confidencialidad, privacidad, conservación, supresión y devolución;</w:t>
      </w:r>
    </w:p>
    <w:p>
      <w:pPr>
        <w:numPr>
          <w:ilvl w:val="0"/>
          <w:numId w:val="1604"/>
        </w:numPr>
        <w:pStyle w:val="Compact"/>
      </w:pPr>
      <w:r>
        <w:t xml:space="preserve">la preservación de pruebas y la retención legal;</w:t>
      </w:r>
    </w:p>
    <w:p>
      <w:pPr>
        <w:numPr>
          <w:ilvl w:val="0"/>
          <w:numId w:val="1604"/>
        </w:numPr>
        <w:pStyle w:val="Compact"/>
      </w:pPr>
      <w:r>
        <w:t xml:space="preserve">la autoridad, el organismo notificado, el auditor, el cliente y la persona afectada;</w:t>
      </w:r>
    </w:p>
    <w:p>
      <w:pPr>
        <w:numPr>
          <w:ilvl w:val="0"/>
          <w:numId w:val="1604"/>
        </w:numPr>
        <w:pStyle w:val="Compact"/>
      </w:pPr>
      <w:r>
        <w:t xml:space="preserve">rehabilitación, repruebas, créditos de servicio, suspensión y terminación;</w:t>
      </w:r>
    </w:p>
    <w:p>
      <w:pPr>
        <w:numPr>
          <w:ilvl w:val="0"/>
          <w:numId w:val="1604"/>
        </w:numPr>
        <w:pStyle w:val="Compact"/>
      </w:pPr>
      <w:r>
        <w:t xml:space="preserve">retroceso, portabilidad, continuidad, transición y salida;</w:t>
      </w:r>
    </w:p>
    <w:p>
      <w:pPr>
        <w:numPr>
          <w:ilvl w:val="0"/>
          <w:numId w:val="1604"/>
        </w:numPr>
        <w:pStyle w:val="Compact"/>
      </w:pPr>
      <w:r>
        <w:t xml:space="preserve">responsabilidad, indemnización, seguro y asignación apropiada al riesgo;</w:t>
      </w:r>
    </w:p>
    <w:p>
      <w:pPr>
        <w:numPr>
          <w:ilvl w:val="0"/>
          <w:numId w:val="1604"/>
        </w:numPr>
        <w:pStyle w:val="Compact"/>
      </w:pPr>
      <w:r>
        <w:t xml:space="preserve">reducción del flujo de los requisitos a los subprocesadores y a los proveedores ascendentes;</w:t>
      </w:r>
    </w:p>
    <w:p>
      <w:pPr>
        <w:numPr>
          <w:ilvl w:val="0"/>
          <w:numId w:val="1604"/>
        </w:numPr>
        <w:pStyle w:val="Compact"/>
      </w:pPr>
      <w:r>
        <w:t xml:space="preserve">supervivencia de pruebas, incidentes, supresión y obligaciones de cooperación después de la terminación.</w:t>
      </w:r>
    </w:p>
    <w:bookmarkEnd w:id="1660"/>
    <w:bookmarkStart w:id="1661" w:name="conclusión-sobre-los-riesgos"/>
    <w:p>
      <w:pPr>
        <w:pStyle w:val="Heading2"/>
      </w:pPr>
      <w:r>
        <w:rPr>
          <w:rStyle w:val="SectionNumber"/>
        </w:rPr>
        <w:t xml:space="preserve">2.246</w:t>
      </w:r>
      <w:r>
        <w:tab/>
      </w:r>
      <w:r>
        <w:t xml:space="preserve">12. Conclusión sobre los riesgos</w:t>
      </w:r>
    </w:p>
    <w:p>
      <w:pPr>
        <w:numPr>
          <w:ilvl w:val="0"/>
          <w:numId w:val="1605"/>
        </w:numPr>
        <w:pStyle w:val="Compact"/>
      </w:pPr>
      <w:r>
        <w:t xml:space="preserve">☐ Aprobado</w:t>
      </w:r>
    </w:p>
    <w:p>
      <w:pPr>
        <w:numPr>
          <w:ilvl w:val="0"/>
          <w:numId w:val="1605"/>
        </w:numPr>
        <w:pStyle w:val="Compact"/>
      </w:pPr>
      <w:r>
        <w:t xml:space="preserve">☐ Aprobado con condiciones</w:t>
      </w:r>
    </w:p>
    <w:p>
      <w:pPr>
        <w:numPr>
          <w:ilvl w:val="0"/>
          <w:numId w:val="1605"/>
        </w:numPr>
        <w:pStyle w:val="Compact"/>
      </w:pPr>
      <w:r>
        <w:t xml:space="preserve">☐ Piloto restringido solamente</w:t>
      </w:r>
    </w:p>
    <w:p>
      <w:pPr>
        <w:numPr>
          <w:ilvl w:val="0"/>
          <w:numId w:val="1605"/>
        </w:numPr>
        <w:pStyle w:val="Compact"/>
      </w:pPr>
      <w:r>
        <w:t xml:space="preserve">☐ Remediación o pruebas requeridas</w:t>
      </w:r>
    </w:p>
    <w:p>
      <w:pPr>
        <w:numPr>
          <w:ilvl w:val="0"/>
          <w:numId w:val="1605"/>
        </w:numPr>
        <w:pStyle w:val="Compact"/>
      </w:pPr>
      <w:r>
        <w:t xml:space="preserve">☐ No aprobado</w:t>
      </w:r>
    </w:p>
    <w:p>
      <w:pPr>
        <w:numPr>
          <w:ilvl w:val="0"/>
          <w:numId w:val="1605"/>
        </w:numPr>
        <w:pStyle w:val="Compact"/>
      </w:pPr>
      <w:r>
        <w:t xml:space="preserve">☐ Se requiere revisión legal, de seguridad, privacidad o técnica calificada</w:t>
      </w:r>
    </w:p>
    <w:p>
      <w:pPr>
        <w:pStyle w:val="FirstParagraph"/>
      </w:pPr>
      <w:r>
        <w:t xml:space="preserve">** Justificación de la decisión:</w:t>
      </w:r>
      <w:r>
        <w:rPr>
          <w:bCs/>
          <w:b/>
        </w:rPr>
        <w:t xml:space="preserve"> </w:t>
      </w:r>
      <w:r>
        <w:t xml:space="preserve"> </w:t>
      </w:r>
      <w:r>
        <w:t xml:space="preserve">Afirmaciones no verificadas:</w:t>
      </w:r>
      <w:r>
        <w:rPr>
          <w:bCs/>
          <w:b/>
        </w:rPr>
        <w:t xml:space="preserve"> </w:t>
      </w:r>
      <w:r>
        <w:t xml:space="preserve">Deficiencias en las pruebas materiales:</w:t>
      </w:r>
      <w:r>
        <w:rPr>
          <w:bCs/>
          <w:b/>
        </w:rPr>
        <w:t xml:space="preserve"> </w:t>
      </w:r>
      <w:r>
        <w:t xml:space="preserve">Condiciones y restricciones:</w:t>
      </w:r>
      <w:r>
        <w:rPr>
          <w:bCs/>
          <w:b/>
        </w:rPr>
        <w:t xml:space="preserve"> </w:t>
      </w:r>
      <w:r>
        <w:t xml:space="preserve">Problemas de salida/continuidad:**</w:t>
      </w:r>
    </w:p>
    <w:bookmarkEnd w:id="1661"/>
    <w:bookmarkStart w:id="1662" w:name="medidas-abiertas"/>
    <w:p>
      <w:pPr>
        <w:pStyle w:val="Heading2"/>
      </w:pPr>
      <w:r>
        <w:rPr>
          <w:rStyle w:val="SectionNumber"/>
        </w:rPr>
        <w:t xml:space="preserve">2.247</w:t>
      </w:r>
      <w:r>
        <w:tab/>
      </w:r>
      <w:r>
        <w:t xml:space="preserve">13. Medidas abiertas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Medidas adoptadas</w:t>
            </w:r>
          </w:p>
        </w:tc>
        <w:tc>
          <w:tcPr/>
          <w:p>
            <w:pPr>
              <w:pStyle w:val="Compact"/>
              <w:jc w:val="left"/>
            </w:pPr>
            <w:r>
              <w:t xml:space="preserve">Propietario del vendedor</w:t>
            </w:r>
          </w:p>
        </w:tc>
        <w:tc>
          <w:tcPr/>
          <w:p>
            <w:pPr>
              <w:pStyle w:val="Compact"/>
              <w:jc w:val="left"/>
            </w:pPr>
            <w:r>
              <w:t xml:space="preserve">Propietario interno</w:t>
            </w:r>
          </w:p>
        </w:tc>
        <w:tc>
          <w:tcPr/>
          <w:p>
            <w:pPr>
              <w:pStyle w:val="Compact"/>
              <w:jc w:val="left"/>
            </w:pPr>
            <w:r>
              <w:t xml:space="preserve">Fecha de vencimiento</w:t>
            </w:r>
          </w:p>
        </w:tc>
        <w:tc>
          <w:tcPr/>
          <w:p>
            <w:pPr>
              <w:pStyle w:val="Compact"/>
              <w:jc w:val="left"/>
            </w:pPr>
            <w:r>
              <w:t xml:space="preserve">Riesgo/impacto jurídico</w:t>
            </w:r>
          </w:p>
        </w:tc>
        <w:tc>
          <w:tcPr/>
          <w:p>
            <w:pPr>
              <w:pStyle w:val="Compact"/>
              <w:jc w:val="left"/>
            </w:pPr>
            <w:r>
              <w:t xml:space="preserve">Situación</w:t>
            </w:r>
          </w:p>
        </w:tc>
        <w:tc>
          <w:tcPr/>
          <w:p>
            <w:pPr>
              <w:pStyle w:val="Compact"/>
              <w:jc w:val="left"/>
            </w:pPr>
            <w:r>
              <w:t xml:space="preserve">Pruebas de cierre</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662"/>
    <w:bookmarkStart w:id="1663" w:name="detonadores-de-la-revisión-7"/>
    <w:p>
      <w:pPr>
        <w:pStyle w:val="Heading2"/>
      </w:pPr>
      <w:r>
        <w:rPr>
          <w:rStyle w:val="SectionNumber"/>
        </w:rPr>
        <w:t xml:space="preserve">2.248</w:t>
      </w:r>
      <w:r>
        <w:tab/>
      </w:r>
      <w:r>
        <w:t xml:space="preserve">14. Detonadores de la revisión</w:t>
      </w:r>
    </w:p>
    <w:p>
      <w:pPr>
        <w:pStyle w:val="FirstParagraph"/>
      </w:pPr>
      <w:r>
        <w:t xml:space="preserve">Volver a evaluar después de:</w:t>
      </w:r>
    </w:p>
    <w:p>
      <w:pPr>
        <w:numPr>
          <w:ilvl w:val="0"/>
          <w:numId w:val="1606"/>
        </w:numPr>
        <w:pStyle w:val="Compact"/>
      </w:pPr>
      <w:r>
        <w:t xml:space="preserve">modelo, sistema, versión, datos, capacidad o cambio de propósito;</w:t>
      </w:r>
    </w:p>
    <w:p>
      <w:pPr>
        <w:numPr>
          <w:ilvl w:val="0"/>
          <w:numId w:val="1606"/>
        </w:numPr>
        <w:pStyle w:val="Compact"/>
      </w:pPr>
      <w:r>
        <w:t xml:space="preserve">nuevo subprocesador, proveedor de modelos, ubicación, licencia o dependencia;</w:t>
      </w:r>
    </w:p>
    <w:p>
      <w:pPr>
        <w:numPr>
          <w:ilvl w:val="0"/>
          <w:numId w:val="1606"/>
        </w:numPr>
        <w:pStyle w:val="Compact"/>
      </w:pPr>
      <w:r>
        <w:t xml:space="preserve">incidente, vulnerabilidad, queja, interrupción del servicio o constatación de auditoría;</w:t>
      </w:r>
    </w:p>
    <w:p>
      <w:pPr>
        <w:numPr>
          <w:ilvl w:val="0"/>
          <w:numId w:val="1606"/>
        </w:numPr>
        <w:pStyle w:val="Compact"/>
      </w:pPr>
      <w:r>
        <w:t xml:space="preserve">renovación del contrato, modificación material, adquisición o deterioro financiero;</w:t>
      </w:r>
    </w:p>
    <w:p>
      <w:pPr>
        <w:numPr>
          <w:ilvl w:val="0"/>
          <w:numId w:val="1606"/>
        </w:numPr>
        <w:pStyle w:val="Compact"/>
      </w:pPr>
      <w:r>
        <w:t xml:space="preserve">cambios legales, de conformidad, de autoridad o de clasificación;</w:t>
      </w:r>
    </w:p>
    <w:p>
      <w:pPr>
        <w:numPr>
          <w:ilvl w:val="0"/>
          <w:numId w:val="1606"/>
        </w:numPr>
        <w:pStyle w:val="Compact"/>
      </w:pPr>
      <w:r>
        <w:t xml:space="preserve">ampliación a una nueva jurisdicción, población, idioma o sector;</w:t>
      </w:r>
    </w:p>
    <w:p>
      <w:pPr>
        <w:numPr>
          <w:ilvl w:val="0"/>
          <w:numId w:val="1606"/>
        </w:numPr>
        <w:pStyle w:val="Compact"/>
      </w:pPr>
      <w:r>
        <w:t xml:space="preserve">depredación, fin del apoyo o planificación de salida.</w:t>
      </w:r>
    </w:p>
    <w:bookmarkEnd w:id="1663"/>
    <w:bookmarkStart w:id="1664" w:name="X6c693f9dfd049d9b4a8d743df052370642c3e5f"/>
    <w:p>
      <w:pPr>
        <w:pStyle w:val="Heading2"/>
      </w:pPr>
      <w:r>
        <w:rPr>
          <w:rStyle w:val="SectionNumber"/>
        </w:rPr>
        <w:t xml:space="preserve">2.249</w:t>
      </w:r>
      <w:r>
        <w:tab/>
      </w:r>
      <w:r>
        <w:t xml:space="preserve">Ejemplo de servicios de viajes de GlobalWay</w:t>
      </w:r>
    </w:p>
    <w:p>
      <w:pPr>
        <w:pStyle w:val="FirstParagraph"/>
      </w:pPr>
      <w:r>
        <w:t xml:space="preserve">GlobalWay evalúa a un proveedor de GPAI para un sistema de asistencia a viajeros. El proveedor suministra documentación modelo actual y pruebas de seguridad, pero no puede proporcionar pruebas de subgrupo específicas de versiones, garantiza sólo 30 días de antelación para los cambios de modelos, y se reserva amplios derechos para utilizar los avisos de los clientes para mejorar. GlobalWay sólo permite un piloto restringido después de obtener restricciones de uso de datos, notificación de cambio más fuerte, obligaciones de preservación de pruebas, cooperación en incidentes, apoyo a la reversión y la finalización de pruebas independientes multilingües y de acción de herramientas.</w:t>
      </w:r>
    </w:p>
    <w:bookmarkEnd w:id="1664"/>
    <w:bookmarkStart w:id="1665" w:name="homologación-12"/>
    <w:p>
      <w:pPr>
        <w:pStyle w:val="Heading2"/>
      </w:pPr>
      <w:r>
        <w:rPr>
          <w:rStyle w:val="SectionNumber"/>
        </w:rPr>
        <w:t xml:space="preserve">2.250</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Propietario del vendedor/contratación pública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Seguridad/Privacidad/Técnica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Riesgo/datos/producto,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 </w:t>
      </w:r>
      <w:r>
        <w:t xml:space="preserve">Afirmaciones no verificadas:</w:t>
      </w:r>
      <w:r>
        <w:rPr>
          <w:bCs/>
          <w:b/>
        </w:rPr>
        <w:t xml:space="preserve"> </w:t>
      </w:r>
      <w:r>
        <w:t xml:space="preserve"> </w:t>
      </w:r>
      <w:r>
        <w:t xml:space="preserve">Condiciones y medidas correctivas:</w:t>
      </w:r>
      <w:r>
        <w:rPr>
          <w:bCs/>
          <w:b/>
        </w:rPr>
        <w:t xml:space="preserve"> </w:t>
      </w:r>
      <w:r>
        <w:t xml:space="preserve">Pedido/fecha de la próxima revisión:</w:t>
      </w:r>
      <w:r>
        <w:rPr>
          <w:bCs/>
          <w:b/>
        </w:rPr>
        <w:t xml:space="preserve"> </w:t>
      </w:r>
      <w:r>
        <w:t xml:space="preserve">Versión del cuestionario:**</w:t>
      </w:r>
    </w:p>
    <w:bookmarkEnd w:id="1665"/>
    <w:bookmarkStart w:id="1666" w:name="referencias-jurídicas-primarias-121"/>
    <w:p>
      <w:pPr>
        <w:pStyle w:val="Heading2"/>
      </w:pPr>
      <w:r>
        <w:rPr>
          <w:rStyle w:val="SectionNumber"/>
        </w:rPr>
        <w:t xml:space="preserve">2.251</w:t>
      </w:r>
      <w:r>
        <w:tab/>
      </w:r>
      <w:r>
        <w:t xml:space="preserve">Referencias jurídicas primarias</w:t>
      </w:r>
    </w:p>
    <w:p>
      <w:pPr>
        <w:numPr>
          <w:ilvl w:val="0"/>
          <w:numId w:val="1607"/>
        </w:numPr>
        <w:pStyle w:val="Compact"/>
      </w:pPr>
      <w:r>
        <w:t xml:space="preserve">Reglamento (UE) 2024/1689, modificado: cadena de valor aplicable, proveedor, GPAI, aguas abajo, importador, distribuidor, representante, fabricante de productos, alto riesgo, transparencia, seguimiento, incidente, medidas correctivas y disposiciones de autoridad.</w:t>
      </w:r>
    </w:p>
    <w:p>
      <w:pPr>
        <w:numPr>
          <w:ilvl w:val="0"/>
          <w:numId w:val="1607"/>
        </w:numPr>
        <w:pStyle w:val="Compact"/>
      </w:pPr>
      <w:r>
        <w:t xml:space="preserve">Reglamento (UE) 2026/1744, en su caso.</w:t>
      </w:r>
    </w:p>
    <w:p>
      <w:pPr>
        <w:numPr>
          <w:ilvl w:val="0"/>
          <w:numId w:val="1607"/>
        </w:numPr>
        <w:pStyle w:val="Compact"/>
      </w:pPr>
      <w:r>
        <w:t xml:space="preserve">Reglamento (UE) 2016/679 y legislación aplicable en materia de ciberseguridad, seguridad de los productos, empleo, protección de los consumidores, accesibilidad, propiedad intelectual, contrato y sector.</w:t>
      </w:r>
    </w:p>
    <w:p>
      <w:pPr>
        <w:numPr>
          <w:ilvl w:val="0"/>
          <w:numId w:val="1607"/>
        </w:numPr>
        <w:pStyle w:val="Compact"/>
      </w:pPr>
      <w:r>
        <w:t xml:space="preserve">Textos oficiales consolidados actuales y control de pruebas verificadas sobre las afirmaciones de los proveedores.</w:t>
      </w:r>
    </w:p>
    <w:bookmarkEnd w:id="1666"/>
    <w:bookmarkStart w:id="1667" w:name="X6c60b8296665ecb6617094c9768881bac85c283"/>
    <w:p>
      <w:pPr>
        <w:pStyle w:val="Heading2"/>
      </w:pPr>
      <w:r>
        <w:rPr>
          <w:rStyle w:val="SectionNumber"/>
        </w:rPr>
        <w:t xml:space="preserve">2.252</w:t>
      </w:r>
      <w:r>
        <w:tab/>
      </w:r>
      <w:r>
        <w:t xml:space="preserve">Apéndice P — Lista de comprobación del contrato de licencia de IA</w:t>
      </w:r>
    </w:p>
    <w:p>
      <w:pPr>
        <w:pStyle w:val="BlockText"/>
      </w:pPr>
      <w:r>
        <w:rPr>
          <w:bCs/>
          <w:b/>
        </w:rPr>
        <w:t xml:space="preserve">Estatus legal:</w:t>
      </w:r>
      <w:r>
        <w:t xml:space="preserve"> </w:t>
      </w:r>
      <w:r>
        <w:t xml:space="preserve">Maestro inglés corregido. Los contratos asignan responsabilidades operativas, evidencia, cooperación, riesgo y remedios, pero no cambian roles de actor legal, eliminan deberes legales, transfieren responsabilidades no transferibles, o hacen legal un uso ilegal.</w:t>
      </w:r>
    </w:p>
    <w:bookmarkEnd w:id="1667"/>
    <w:bookmarkStart w:id="1668" w:name="finalidad-32"/>
    <w:p>
      <w:pPr>
        <w:pStyle w:val="Heading2"/>
      </w:pPr>
      <w:r>
        <w:rPr>
          <w:rStyle w:val="SectionNumber"/>
        </w:rPr>
        <w:t xml:space="preserve">2.253</w:t>
      </w:r>
      <w:r>
        <w:tab/>
      </w:r>
      <w:r>
        <w:t xml:space="preserve">Finalidad</w:t>
      </w:r>
    </w:p>
    <w:p>
      <w:pPr>
        <w:pStyle w:val="FirstParagraph"/>
      </w:pPr>
      <w:r>
        <w:t xml:space="preserve">Use esta lista de verificación al adquirir, conceder licencias, integrar, alojar, distribuir, etiquetar en blanco, modificar o apoyar un sistema de IA o un servicio habilitado para GPAI.</w:t>
      </w:r>
    </w:p>
    <w:p>
      <w:pPr>
        <w:pStyle w:val="BodyText"/>
      </w:pPr>
      <w:r>
        <w:t xml:space="preserve">Las condiciones del contrato deben reflejar la conducta real, la finalidad prevista, las versiones de sistemas y modelos, las dependencias de los proveedores, las funciones jurídicas aplicables, las pruebas necesarias, la supervisión, los incidentes, los cambios, la cooperación con las autoridades, la continuidad y la salida.</w:t>
      </w:r>
    </w:p>
    <w:bookmarkEnd w:id="1668"/>
    <w:bookmarkStart w:id="1669" w:name="partes-servicios-y-funciones"/>
    <w:p>
      <w:pPr>
        <w:pStyle w:val="Heading2"/>
      </w:pPr>
      <w:r>
        <w:rPr>
          <w:rStyle w:val="SectionNumber"/>
        </w:rPr>
        <w:t xml:space="preserve">2.254</w:t>
      </w:r>
      <w:r>
        <w:tab/>
      </w:r>
      <w:r>
        <w:t xml:space="preserve">1. Partes, servicios y funciones</w:t>
      </w:r>
    </w:p>
    <w:p>
      <w:pPr>
        <w:pStyle w:val="FirstParagraph"/>
      </w:pPr>
      <w:r>
        <w:t xml:space="preserve">Documento: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Entidades adjudicadoras</w:t>
            </w:r>
          </w:p>
        </w:tc>
        <w:tc>
          <w:tcPr/>
          <w:p>
            <w:pPr>
              <w:pStyle w:val="Compact"/>
              <w:jc w:val="left"/>
            </w:pPr>
            <w:r>
              <w:t xml:space="preserve">- No, no.</w:t>
            </w:r>
          </w:p>
        </w:tc>
      </w:tr>
      <w:tr>
        <w:tc>
          <w:tcPr/>
          <w:p>
            <w:pPr>
              <w:pStyle w:val="Compact"/>
              <w:jc w:val="left"/>
            </w:pPr>
            <w:r>
              <w:t xml:space="preserve">Servicio/producto</w:t>
            </w:r>
          </w:p>
        </w:tc>
        <w:tc>
          <w:tcPr/>
          <w:p>
            <w:pPr>
              <w:pStyle w:val="Compact"/>
              <w:jc w:val="left"/>
            </w:pPr>
            <w:r>
              <w:t xml:space="preserve">- No, no.</w:t>
            </w:r>
          </w:p>
        </w:tc>
      </w:tr>
      <w:tr>
        <w:tc>
          <w:tcPr/>
          <w:p>
            <w:pPr>
              <w:pStyle w:val="Compact"/>
              <w:jc w:val="left"/>
            </w:pPr>
            <w:r>
              <w:t xml:space="preserve">Sistema/modelo/versión</w:t>
            </w:r>
          </w:p>
        </w:tc>
        <w:tc>
          <w:tcPr/>
          <w:p>
            <w:pPr>
              <w:pStyle w:val="Compact"/>
              <w:jc w:val="left"/>
            </w:pPr>
            <w:r>
              <w:t xml:space="preserve">- No, no.</w:t>
            </w:r>
          </w:p>
        </w:tc>
      </w:tr>
      <w:tr>
        <w:tc>
          <w:tcPr/>
          <w:p>
            <w:pPr>
              <w:pStyle w:val="Compact"/>
              <w:jc w:val="left"/>
            </w:pPr>
            <w:r>
              <w:t xml:space="preserve">Finalidad prevista y usos aprobados</w:t>
            </w:r>
          </w:p>
        </w:tc>
        <w:tc>
          <w:tcPr/>
          <w:p>
            <w:pPr>
              <w:pStyle w:val="Compact"/>
              <w:jc w:val="left"/>
            </w:pPr>
            <w:r>
              <w:t xml:space="preserve">- No, no.</w:t>
            </w:r>
          </w:p>
        </w:tc>
      </w:tr>
      <w:tr>
        <w:tc>
          <w:tcPr/>
          <w:p>
            <w:pPr>
              <w:pStyle w:val="Compact"/>
              <w:jc w:val="left"/>
            </w:pPr>
            <w:r>
              <w:t xml:space="preserve">Usos prohibidos/restrictos</w:t>
            </w:r>
          </w:p>
        </w:tc>
        <w:tc>
          <w:tcPr/>
          <w:p>
            <w:pPr>
              <w:pStyle w:val="Compact"/>
              <w:jc w:val="left"/>
            </w:pPr>
            <w:r>
              <w:t xml:space="preserve">- No, no.</w:t>
            </w:r>
          </w:p>
        </w:tc>
      </w:tr>
      <w:tr>
        <w:tc>
          <w:tcPr/>
          <w:p>
            <w:pPr>
              <w:pStyle w:val="Compact"/>
              <w:jc w:val="left"/>
            </w:pPr>
            <w:r>
              <w:t xml:space="preserve">Jurisdicciones, sectores, usuarios y personas afectadas</w:t>
            </w:r>
          </w:p>
        </w:tc>
        <w:tc>
          <w:tcPr/>
          <w:p>
            <w:pPr>
              <w:pStyle w:val="Compact"/>
              <w:jc w:val="left"/>
            </w:pPr>
            <w:r>
              <w:t xml:space="preserve">- No, no.</w:t>
            </w:r>
          </w:p>
        </w:tc>
      </w:tr>
      <w:tr>
        <w:tc>
          <w:tcPr/>
          <w:p>
            <w:pPr>
              <w:pStyle w:val="Compact"/>
              <w:jc w:val="left"/>
            </w:pPr>
            <w:r>
              <w:t xml:space="preserve">Modalidades de marca/etiquetas blancas</w:t>
            </w:r>
          </w:p>
        </w:tc>
        <w:tc>
          <w:tcPr/>
          <w:p>
            <w:pPr>
              <w:pStyle w:val="Compact"/>
              <w:jc w:val="left"/>
            </w:pPr>
            <w:r>
              <w:t xml:space="preserve">- No, no.</w:t>
            </w:r>
          </w:p>
        </w:tc>
      </w:tr>
      <w:tr>
        <w:tc>
          <w:tcPr/>
          <w:p>
            <w:pPr>
              <w:pStyle w:val="Compact"/>
              <w:jc w:val="left"/>
            </w:pPr>
            <w:r>
              <w:t xml:space="preserve">Modificación, ajustes, herramientas, agentes y derechos de configuración</w:t>
            </w:r>
          </w:p>
        </w:tc>
        <w:tc>
          <w:tcPr/>
          <w:p>
            <w:pPr>
              <w:pStyle w:val="Compact"/>
              <w:jc w:val="left"/>
            </w:pPr>
            <w:r>
              <w:t xml:space="preserve">- No, no.</w:t>
            </w:r>
          </w:p>
        </w:tc>
      </w:tr>
      <w:tr>
        <w:tc>
          <w:tcPr/>
          <w:p>
            <w:pPr>
              <w:pStyle w:val="Compact"/>
              <w:jc w:val="left"/>
            </w:pPr>
            <w:r>
              <w:t xml:space="preserve">Funciones de la Ley de Amnistía Internacional basadas en la conducta real</w:t>
            </w:r>
          </w:p>
        </w:tc>
        <w:tc>
          <w:tcPr/>
          <w:p>
            <w:pPr>
              <w:pStyle w:val="Compact"/>
              <w:jc w:val="left"/>
            </w:pPr>
            <w:r>
              <w:t xml:space="preserve">- No, no.</w:t>
            </w:r>
          </w:p>
        </w:tc>
      </w:tr>
      <w:tr>
        <w:tc>
          <w:tcPr/>
          <w:p>
            <w:pPr>
              <w:pStyle w:val="Compact"/>
              <w:jc w:val="left"/>
            </w:pPr>
            <w:r>
              <w:t xml:space="preserve">Funciones de protección de datos</w:t>
            </w:r>
          </w:p>
        </w:tc>
        <w:tc>
          <w:tcPr/>
          <w:p>
            <w:pPr>
              <w:pStyle w:val="Compact"/>
              <w:jc w:val="left"/>
            </w:pPr>
            <w:r>
              <w:t xml:space="preserve">- No, no.</w:t>
            </w:r>
          </w:p>
        </w:tc>
      </w:tr>
      <w:tr>
        <w:tc>
          <w:tcPr/>
          <w:p>
            <w:pPr>
              <w:pStyle w:val="Compact"/>
              <w:jc w:val="left"/>
            </w:pPr>
            <w:r>
              <w:t xml:space="preserve">Funciones relacionadas con la seguridad de los productos y el sector</w:t>
            </w:r>
          </w:p>
        </w:tc>
        <w:tc>
          <w:tcPr/>
          <w:p>
            <w:pPr>
              <w:pStyle w:val="Compact"/>
              <w:jc w:val="left"/>
            </w:pPr>
            <w:r>
              <w:t xml:space="preserve">- No, no.</w:t>
            </w:r>
          </w:p>
        </w:tc>
      </w:tr>
      <w:tr>
        <w:tc>
          <w:tcPr/>
          <w:p>
            <w:pPr>
              <w:pStyle w:val="Compact"/>
              <w:jc w:val="left"/>
            </w:pPr>
            <w:r>
              <w:t xml:space="preserve">Dependencias/subprocesadores críticos</w:t>
            </w:r>
          </w:p>
        </w:tc>
        <w:tc>
          <w:tcPr/>
          <w:p>
            <w:pPr>
              <w:pStyle w:val="Compact"/>
              <w:jc w:val="left"/>
            </w:pPr>
            <w:r>
              <w:t xml:space="preserve">- No, no.</w:t>
            </w:r>
          </w:p>
        </w:tc>
      </w:tr>
      <w:tr>
        <w:tc>
          <w:tcPr/>
          <w:p>
            <w:pPr>
              <w:pStyle w:val="Compact"/>
              <w:jc w:val="left"/>
            </w:pPr>
            <w:r>
              <w:t xml:space="preserve">Cambio de funciones y activación de la reevaluación</w:t>
            </w:r>
          </w:p>
        </w:tc>
        <w:tc>
          <w:tcPr/>
          <w:p>
            <w:pPr>
              <w:pStyle w:val="Compact"/>
              <w:jc w:val="left"/>
            </w:pPr>
            <w:r>
              <w:t xml:space="preserve">- No, no.</w:t>
            </w:r>
          </w:p>
        </w:tc>
      </w:tr>
    </w:tbl>
    <w:bookmarkEnd w:id="1669"/>
    <w:bookmarkStart w:id="1670" w:name="alcance-y-uso-permitido"/>
    <w:p>
      <w:pPr>
        <w:pStyle w:val="Heading2"/>
      </w:pPr>
      <w:r>
        <w:rPr>
          <w:rStyle w:val="SectionNumber"/>
        </w:rPr>
        <w:t xml:space="preserve">2.255</w:t>
      </w:r>
      <w:r>
        <w:tab/>
      </w:r>
      <w:r>
        <w:t xml:space="preserve">2. Alcance y uso permitido</w:t>
      </w:r>
    </w:p>
    <w:p>
      <w:pPr>
        <w:numPr>
          <w:ilvl w:val="0"/>
          <w:numId w:val="1608"/>
        </w:numPr>
        <w:pStyle w:val="Compact"/>
      </w:pPr>
      <w:r>
        <w:t xml:space="preserve">☐ El propósito previsto es preciso y está vinculado a la versión.</w:t>
      </w:r>
    </w:p>
    <w:p>
      <w:pPr>
        <w:numPr>
          <w:ilvl w:val="0"/>
          <w:numId w:val="1608"/>
        </w:numPr>
        <w:pStyle w:val="Compact"/>
      </w:pPr>
      <w:r>
        <w:t xml:space="preserve">☐ Se enumeran los usos aprobados, no apoyados, restringidos y prohibidos.</w:t>
      </w:r>
    </w:p>
    <w:p>
      <w:pPr>
        <w:numPr>
          <w:ilvl w:val="0"/>
          <w:numId w:val="1608"/>
        </w:numPr>
        <w:pStyle w:val="Compact"/>
      </w:pPr>
      <w:r>
        <w:t xml:space="preserve">☐ Se definen usuarios, poblaciones, jurisdicciones, sectores, tipos de datos y contextos de decisión.</w:t>
      </w:r>
    </w:p>
    <w:p>
      <w:pPr>
        <w:numPr>
          <w:ilvl w:val="0"/>
          <w:numId w:val="1608"/>
        </w:numPr>
        <w:pStyle w:val="Compact"/>
      </w:pPr>
      <w:r>
        <w:t xml:space="preserve">☐ Se controla el grado de automatización y la autoridad de acción externa.</w:t>
      </w:r>
    </w:p>
    <w:p>
      <w:pPr>
        <w:numPr>
          <w:ilvl w:val="0"/>
          <w:numId w:val="1608"/>
        </w:numPr>
        <w:pStyle w:val="Compact"/>
      </w:pPr>
      <w:r>
        <w:t xml:space="preserve">☐ Se definen los derechos de configuración, ajuste, rapidez, recuperación, herramienta y agente del cliente.</w:t>
      </w:r>
    </w:p>
    <w:p>
      <w:pPr>
        <w:numPr>
          <w:ilvl w:val="0"/>
          <w:numId w:val="1608"/>
        </w:numPr>
        <w:pStyle w:val="Compact"/>
      </w:pPr>
      <w:r>
        <w:t xml:space="preserve">☐ Se abordan las implicaciones de marca blanca, marca, reventa y nombre propio.</w:t>
      </w:r>
    </w:p>
    <w:p>
      <w:pPr>
        <w:numPr>
          <w:ilvl w:val="0"/>
          <w:numId w:val="1608"/>
        </w:numPr>
        <w:pStyle w:val="Compact"/>
      </w:pPr>
      <w:r>
        <w:t xml:space="preserve">☐ La reutilización y la elusión están prohibidas y controladas técnicamente siempre que sea posible.</w:t>
      </w:r>
    </w:p>
    <w:p>
      <w:pPr>
        <w:numPr>
          <w:ilvl w:val="0"/>
          <w:numId w:val="1608"/>
        </w:numPr>
        <w:pStyle w:val="Compact"/>
      </w:pPr>
      <w:r>
        <w:t xml:space="preserve">☐ Instrucciones del proveedor, limitaciones y funciones de operación del cliente están incorporadas.</w:t>
      </w:r>
    </w:p>
    <w:bookmarkEnd w:id="1670"/>
    <w:bookmarkStart w:id="1671" w:name="X3c1f3fa89e0686de6dbdbf12badf2914da6d925"/>
    <w:p>
      <w:pPr>
        <w:pStyle w:val="Heading2"/>
      </w:pPr>
      <w:r>
        <w:rPr>
          <w:rStyle w:val="SectionNumber"/>
        </w:rPr>
        <w:t xml:space="preserve">2.256</w:t>
      </w:r>
      <w:r>
        <w:tab/>
      </w:r>
      <w:r>
        <w:t xml:space="preserve">3. Funciones de los actores y calendario de responsabilidades</w:t>
      </w:r>
    </w:p>
    <w:p>
      <w:pPr>
        <w:numPr>
          <w:ilvl w:val="0"/>
          <w:numId w:val="1609"/>
        </w:numPr>
        <w:pStyle w:val="Compact"/>
      </w:pPr>
      <w:r>
        <w:t xml:space="preserve">☐ El papel de cada una de las partes en el Acta de IA de la UE está documentado sobre la base de hechos.</w:t>
      </w:r>
    </w:p>
    <w:p>
      <w:pPr>
        <w:numPr>
          <w:ilvl w:val="0"/>
          <w:numId w:val="1609"/>
        </w:numPr>
        <w:pStyle w:val="Compact"/>
      </w:pPr>
      <w:r>
        <w:t xml:space="preserve">☐ Se abordan las responsabilidades de los proveedores y proveedores de GPAI.</w:t>
      </w:r>
    </w:p>
    <w:p>
      <w:pPr>
        <w:numPr>
          <w:ilvl w:val="0"/>
          <w:numId w:val="1609"/>
        </w:numPr>
        <w:pStyle w:val="Compact"/>
      </w:pPr>
      <w:r>
        <w:t xml:space="preserve">☐ Se identifican los desencadenantes de transferencia del proveedor-papel.</w:t>
      </w:r>
    </w:p>
    <w:p>
      <w:pPr>
        <w:numPr>
          <w:ilvl w:val="0"/>
          <w:numId w:val="1609"/>
        </w:numPr>
        <w:pStyle w:val="Compact"/>
      </w:pPr>
      <w:r>
        <w:t xml:space="preserve">☐ Los derechos del importador, distribuidor, representante autorizado y fabricante de productos se abordan cuando procede.</w:t>
      </w:r>
    </w:p>
    <w:p>
      <w:pPr>
        <w:numPr>
          <w:ilvl w:val="0"/>
          <w:numId w:val="1609"/>
        </w:numPr>
        <w:pStyle w:val="Compact"/>
      </w:pPr>
      <w:r>
        <w:t xml:space="preserve">☐ Se asigna responsabilidad por los fines previstos, modificaciones sustanciales, conformidad, registro, declaración, marcado, vigilancia, incidentes y medidas correctivas.</w:t>
      </w:r>
    </w:p>
    <w:p>
      <w:pPr>
        <w:numPr>
          <w:ilvl w:val="0"/>
          <w:numId w:val="1609"/>
        </w:numPr>
        <w:pStyle w:val="Compact"/>
      </w:pPr>
      <w:r>
        <w:t xml:space="preserve">☐ La protección de datos, el empleo, el consumidor, la ciberseguridad, los productos, la propiedad intelectual y los roles sectoriales se definen por separado.</w:t>
      </w:r>
    </w:p>
    <w:p>
      <w:pPr>
        <w:numPr>
          <w:ilvl w:val="0"/>
          <w:numId w:val="1609"/>
        </w:numPr>
        <w:pStyle w:val="Compact"/>
      </w:pPr>
      <w:r>
        <w:t xml:space="preserve">☐ El contrato requiere la pronta notificación de hechos que podrían cambiar una función estatutaria.</w:t>
      </w:r>
    </w:p>
    <w:bookmarkEnd w:id="1671"/>
    <w:bookmarkStart w:id="1672" w:name="documentación-y-pruebas"/>
    <w:p>
      <w:pPr>
        <w:pStyle w:val="Heading2"/>
      </w:pPr>
      <w:r>
        <w:rPr>
          <w:rStyle w:val="SectionNumber"/>
        </w:rPr>
        <w:t xml:space="preserve">2.257</w:t>
      </w:r>
      <w:r>
        <w:tab/>
      </w:r>
      <w:r>
        <w:t xml:space="preserve">4. Documentación y pruebas</w:t>
      </w:r>
    </w:p>
    <w:p>
      <w:pPr>
        <w:numPr>
          <w:ilvl w:val="0"/>
          <w:numId w:val="1610"/>
        </w:numPr>
        <w:pStyle w:val="Compact"/>
      </w:pPr>
      <w:r>
        <w:t xml:space="preserve">☐ Se proporciona y mantiene la documentación técnica actual.</w:t>
      </w:r>
    </w:p>
    <w:p>
      <w:pPr>
        <w:numPr>
          <w:ilvl w:val="0"/>
          <w:numId w:val="1610"/>
        </w:numPr>
        <w:pStyle w:val="Compact"/>
      </w:pPr>
      <w:r>
        <w:t xml:space="preserve">☐ Se suministran tarjetas modelo/sistema, instrucciones, limitaciones y registros para fines previstos.</w:t>
      </w:r>
    </w:p>
    <w:p>
      <w:pPr>
        <w:numPr>
          <w:ilvl w:val="0"/>
          <w:numId w:val="1610"/>
        </w:numPr>
        <w:pStyle w:val="Compact"/>
      </w:pPr>
      <w:r>
        <w:t xml:space="preserve">☐ Se dispone de pruebas de validación, rendimiento, sesgo, lenguaje, accesibilidad, robustez, mal uso y seguridad.</w:t>
      </w:r>
    </w:p>
    <w:p>
      <w:pPr>
        <w:numPr>
          <w:ilvl w:val="0"/>
          <w:numId w:val="1610"/>
        </w:numPr>
        <w:pStyle w:val="Compact"/>
      </w:pPr>
      <w:r>
        <w:t xml:space="preserve">☐ La procedencia de los datos, la adquisición legal, la calidad, la representatividad y la evidencia del linaje están disponibles.</w:t>
      </w:r>
    </w:p>
    <w:p>
      <w:pPr>
        <w:numPr>
          <w:ilvl w:val="0"/>
          <w:numId w:val="1610"/>
        </w:numPr>
        <w:pStyle w:val="Compact"/>
      </w:pPr>
      <w:r>
        <w:t xml:space="preserve">☐ Se define el soporte de registro, trazabilidad, identificación de versiones, exportación y retención.</w:t>
      </w:r>
    </w:p>
    <w:p>
      <w:pPr>
        <w:numPr>
          <w:ilvl w:val="0"/>
          <w:numId w:val="1610"/>
        </w:numPr>
        <w:pStyle w:val="Compact"/>
      </w:pPr>
      <w:r>
        <w:t xml:space="preserve">☐ Cuando proceda, se proporcionarán pruebas de conformidad, organismo notificado, declaración, registro, marcado y certificación.</w:t>
      </w:r>
    </w:p>
    <w:p>
      <w:pPr>
        <w:numPr>
          <w:ilvl w:val="0"/>
          <w:numId w:val="1610"/>
        </w:numPr>
        <w:pStyle w:val="Compact"/>
      </w:pPr>
      <w:r>
        <w:t xml:space="preserve">☐ La evidencia es versión- y alcance-comparado.</w:t>
      </w:r>
    </w:p>
    <w:p>
      <w:pPr>
        <w:numPr>
          <w:ilvl w:val="0"/>
          <w:numId w:val="1610"/>
        </w:numPr>
        <w:pStyle w:val="Compact"/>
      </w:pPr>
      <w:r>
        <w:t xml:space="preserve">☐ Las pruebas pueden ser suministradas a clientes, auditores, organismos notificados y autoridades dentro de los plazos requeridos.</w:t>
      </w:r>
    </w:p>
    <w:p>
      <w:pPr>
        <w:numPr>
          <w:ilvl w:val="0"/>
          <w:numId w:val="1610"/>
        </w:numPr>
        <w:pStyle w:val="Compact"/>
      </w:pPr>
      <w:r>
        <w:t xml:space="preserve">☐ Las condiciones de secreto comercial y confidencialidad permiten el cumplimiento legal y el acceso a la autoridad.</w:t>
      </w:r>
    </w:p>
    <w:bookmarkEnd w:id="1672"/>
    <w:bookmarkStart w:id="1673" w:name="datos-privacidad-y-propiedad-intelectual"/>
    <w:p>
      <w:pPr>
        <w:pStyle w:val="Heading2"/>
      </w:pPr>
      <w:r>
        <w:rPr>
          <w:rStyle w:val="SectionNumber"/>
        </w:rPr>
        <w:t xml:space="preserve">2.258</w:t>
      </w:r>
      <w:r>
        <w:tab/>
      </w:r>
      <w:r>
        <w:t xml:space="preserve">5. Datos, privacidad y propiedad intelectual</w:t>
      </w:r>
    </w:p>
    <w:p>
      <w:pPr>
        <w:numPr>
          <w:ilvl w:val="0"/>
          <w:numId w:val="1611"/>
        </w:numPr>
        <w:pStyle w:val="Compact"/>
      </w:pPr>
      <w:r>
        <w:t xml:space="preserve">☐ Se definen la propiedad de los datos, el control, el acceso, el uso permitido y las restricciones.</w:t>
      </w:r>
    </w:p>
    <w:p>
      <w:pPr>
        <w:numPr>
          <w:ilvl w:val="0"/>
          <w:numId w:val="1611"/>
        </w:numPr>
        <w:pStyle w:val="Compact"/>
      </w:pPr>
      <w:r>
        <w:t xml:space="preserve">☐ Los datos del cliente no se utilizan para entrenamiento, ajuste, evaluación o mejora del servicio sin autorización explícita.</w:t>
      </w:r>
    </w:p>
    <w:p>
      <w:pPr>
        <w:numPr>
          <w:ilvl w:val="0"/>
          <w:numId w:val="1611"/>
        </w:numPr>
        <w:pStyle w:val="Compact"/>
      </w:pPr>
      <w:r>
        <w:t xml:space="preserve">☐ Se aborda el uso rápido, de salida, recuperación, retroalimentación, telemetría y datos derivados.</w:t>
      </w:r>
    </w:p>
    <w:p>
      <w:pPr>
        <w:numPr>
          <w:ilvl w:val="0"/>
          <w:numId w:val="1611"/>
        </w:numPr>
        <w:pStyle w:val="Compact"/>
      </w:pPr>
      <w:r>
        <w:t xml:space="preserve">☐ Se incluyen protecciones de datos personales, de categoría especial, biométricas, infantiles, confidenciales y reguladas.</w:t>
      </w:r>
    </w:p>
    <w:p>
      <w:pPr>
        <w:numPr>
          <w:ilvl w:val="0"/>
          <w:numId w:val="1611"/>
        </w:numPr>
        <w:pStyle w:val="Compact"/>
      </w:pPr>
      <w:r>
        <w:t xml:space="preserve">☐ Fundamento legal, derechos del sujeto de datos, avisos, minimización, y limitación de propósito son compatibles.</w:t>
      </w:r>
    </w:p>
    <w:p>
      <w:pPr>
        <w:numPr>
          <w:ilvl w:val="0"/>
          <w:numId w:val="1611"/>
        </w:numPr>
        <w:pStyle w:val="Compact"/>
      </w:pPr>
      <w:r>
        <w:t xml:space="preserve">☐ Se trata de la retención, supresión, devolución, portabilidad, archivo y retención legal.</w:t>
      </w:r>
    </w:p>
    <w:p>
      <w:pPr>
        <w:numPr>
          <w:ilvl w:val="0"/>
          <w:numId w:val="1611"/>
        </w:numPr>
        <w:pStyle w:val="Compact"/>
      </w:pPr>
      <w:r>
        <w:t xml:space="preserve">☐ Se especifica la ubicación de los datos, localización, transferencia, acceso gubernamental y controles de subprocesadores.</w:t>
      </w:r>
    </w:p>
    <w:p>
      <w:pPr>
        <w:numPr>
          <w:ilvl w:val="0"/>
          <w:numId w:val="1611"/>
        </w:numPr>
        <w:pStyle w:val="Compact"/>
      </w:pPr>
      <w:r>
        <w:t xml:space="preserve">☐ Las licencias y los derechos de propiedad intelectual son suficientes para el uso previsto.</w:t>
      </w:r>
    </w:p>
    <w:p>
      <w:pPr>
        <w:numPr>
          <w:ilvl w:val="0"/>
          <w:numId w:val="1611"/>
        </w:numPr>
        <w:pStyle w:val="Compact"/>
      </w:pPr>
      <w:r>
        <w:t xml:space="preserve">☐ Se asignan derechos de autor, datos de capacitación, código abierto, modelo de salida, infracción y riesgos de procedencia.</w:t>
      </w:r>
    </w:p>
    <w:p>
      <w:pPr>
        <w:numPr>
          <w:ilvl w:val="0"/>
          <w:numId w:val="1611"/>
        </w:numPr>
        <w:pStyle w:val="Compact"/>
      </w:pPr>
      <w:r>
        <w:t xml:space="preserve">☐ Los derechos de supresión posterior a la terminación y de supervivencia de la prueba son exigibles.</w:t>
      </w:r>
    </w:p>
    <w:bookmarkEnd w:id="1673"/>
    <w:bookmarkStart w:id="1674" w:name="seguridad-y-resiliencia-1"/>
    <w:p>
      <w:pPr>
        <w:pStyle w:val="Heading2"/>
      </w:pPr>
      <w:r>
        <w:rPr>
          <w:rStyle w:val="SectionNumber"/>
        </w:rPr>
        <w:t xml:space="preserve">2.259</w:t>
      </w:r>
      <w:r>
        <w:tab/>
      </w:r>
      <w:r>
        <w:t xml:space="preserve">6. Seguridad y resiliencia</w:t>
      </w:r>
    </w:p>
    <w:p>
      <w:pPr>
        <w:numPr>
          <w:ilvl w:val="0"/>
          <w:numId w:val="1612"/>
        </w:numPr>
        <w:pStyle w:val="Compact"/>
      </w:pPr>
      <w:r>
        <w:t xml:space="preserve">☐ Se definen los requisitos de desarrollo seguro, arquitectura y configuración.</w:t>
      </w:r>
    </w:p>
    <w:p>
      <w:pPr>
        <w:numPr>
          <w:ilvl w:val="0"/>
          <w:numId w:val="1612"/>
        </w:numPr>
        <w:pStyle w:val="Compact"/>
      </w:pPr>
      <w:r>
        <w:t xml:space="preserve">☐ Se incluyen las obligaciones de modelización de amenazas, pruebas contradictorias, inyección rápida, abuso de herramientas, vulnerabilidad y parches.</w:t>
      </w:r>
    </w:p>
    <w:p>
      <w:pPr>
        <w:numPr>
          <w:ilvl w:val="0"/>
          <w:numId w:val="1612"/>
        </w:numPr>
        <w:pStyle w:val="Compact"/>
      </w:pPr>
      <w:r>
        <w:t xml:space="preserve">☐ Control de acceso, encriptación, segregación, secretos y protecciones de inquilinos son abordados.</w:t>
      </w:r>
    </w:p>
    <w:p>
      <w:pPr>
        <w:numPr>
          <w:ilvl w:val="0"/>
          <w:numId w:val="1612"/>
        </w:numPr>
        <w:pStyle w:val="Compact"/>
      </w:pPr>
      <w:r>
        <w:t xml:space="preserve">☐ Los incidentes de seguridad han definido los desencadenantes de la notificación, los relojes, los plazos y el contenido.</w:t>
      </w:r>
    </w:p>
    <w:p>
      <w:pPr>
        <w:numPr>
          <w:ilvl w:val="0"/>
          <w:numId w:val="1612"/>
        </w:numPr>
        <w:pStyle w:val="Compact"/>
      </w:pPr>
      <w:r>
        <w:t xml:space="preserve">☐ Se requieren registros, apoyo forense, preservación de pruebas e identificación de la versión afectada.</w:t>
      </w:r>
    </w:p>
    <w:p>
      <w:pPr>
        <w:numPr>
          <w:ilvl w:val="0"/>
          <w:numId w:val="1612"/>
        </w:numPr>
        <w:pStyle w:val="Compact"/>
      </w:pPr>
      <w:r>
        <w:t xml:space="preserve">☐ Se abordan la disponibilidad, el respaldo, la recuperación, la recuperación, la continuidad de las operaciones y la recuperación en casos de desastre.</w:t>
      </w:r>
    </w:p>
    <w:p>
      <w:pPr>
        <w:numPr>
          <w:ilvl w:val="0"/>
          <w:numId w:val="1612"/>
        </w:numPr>
        <w:pStyle w:val="Compact"/>
      </w:pPr>
      <w:r>
        <w:t xml:space="preserve">☐ Se admiten restricciones de servicio, inhabilitación de emergencia, reversión y validación de restauración.</w:t>
      </w:r>
    </w:p>
    <w:p>
      <w:pPr>
        <w:numPr>
          <w:ilvl w:val="0"/>
          <w:numId w:val="1612"/>
        </w:numPr>
        <w:pStyle w:val="Compact"/>
      </w:pPr>
      <w:r>
        <w:t xml:space="preserve">☐ Se incluyen soporte de salida, transición, sustitución, portabilidad y continuidad.</w:t>
      </w:r>
    </w:p>
    <w:bookmarkEnd w:id="1674"/>
    <w:bookmarkStart w:id="1675" w:name="X37feba1489e3a1bf04444c66cbf9676a3519879"/>
    <w:p>
      <w:pPr>
        <w:pStyle w:val="Heading2"/>
      </w:pPr>
      <w:r>
        <w:rPr>
          <w:rStyle w:val="SectionNumber"/>
        </w:rPr>
        <w:t xml:space="preserve">2.260</w:t>
      </w:r>
      <w:r>
        <w:tab/>
      </w:r>
      <w:r>
        <w:t xml:space="preserve">7. Cambios de modelo, servicio y cadena de valor</w:t>
      </w:r>
    </w:p>
    <w:p>
      <w:pPr>
        <w:numPr>
          <w:ilvl w:val="0"/>
          <w:numId w:val="1613"/>
        </w:numPr>
        <w:pStyle w:val="Compact"/>
      </w:pPr>
      <w:r>
        <w:t xml:space="preserve">☐ Se requiere aviso previo para los cambios materiales.</w:t>
      </w:r>
    </w:p>
    <w:p>
      <w:pPr>
        <w:numPr>
          <w:ilvl w:val="0"/>
          <w:numId w:val="1613"/>
        </w:numPr>
        <w:pStyle w:val="Compact"/>
      </w:pPr>
      <w:r>
        <w:t xml:space="preserve">☐ Modelo, versión, proveedor, datos, característica, capacidad, prompt, herramienta, agente, subprocesador, alojamiento, ubicación, licencia, política, y cambios de propósito previsto están cubiertos.</w:t>
      </w:r>
    </w:p>
    <w:p>
      <w:pPr>
        <w:numPr>
          <w:ilvl w:val="0"/>
          <w:numId w:val="1613"/>
        </w:numPr>
        <w:pStyle w:val="Compact"/>
      </w:pPr>
      <w:r>
        <w:t xml:space="preserve">☐ Los plazos de notificación son proporcionales al riesgo y permiten la evaluación antes de su aplicación.</w:t>
      </w:r>
    </w:p>
    <w:p>
      <w:pPr>
        <w:numPr>
          <w:ilvl w:val="0"/>
          <w:numId w:val="1613"/>
        </w:numPr>
        <w:pStyle w:val="Compact"/>
      </w:pPr>
      <w:r>
        <w:t xml:space="preserve">☐ Se definen los derechos de aprobación, retraso, reversión, restricción o terminación del cliente.</w:t>
      </w:r>
    </w:p>
    <w:p>
      <w:pPr>
        <w:numPr>
          <w:ilvl w:val="0"/>
          <w:numId w:val="1613"/>
        </w:numPr>
        <w:pStyle w:val="Compact"/>
      </w:pPr>
      <w:r>
        <w:t xml:space="preserve">☐ Las versiones anteriores, la documentación, los registros y las pruebas se pueden conservar cuando sea necesario.</w:t>
      </w:r>
    </w:p>
    <w:p>
      <w:pPr>
        <w:numPr>
          <w:ilvl w:val="0"/>
          <w:numId w:val="1613"/>
        </w:numPr>
        <w:pStyle w:val="Compact"/>
      </w:pPr>
      <w:r>
        <w:t xml:space="preserve">☐ Se abordan los planes de cambio predeterminados y las consecuencias de una modificación sustancial.</w:t>
      </w:r>
    </w:p>
    <w:p>
      <w:pPr>
        <w:numPr>
          <w:ilvl w:val="0"/>
          <w:numId w:val="1613"/>
        </w:numPr>
        <w:pStyle w:val="Compact"/>
      </w:pPr>
      <w:r>
        <w:t xml:space="preserve">☐ Se especifican la degradación, el fin del apoyo, la migración y el apoyo de reemplazo.</w:t>
      </w:r>
    </w:p>
    <w:p>
      <w:pPr>
        <w:numPr>
          <w:ilvl w:val="0"/>
          <w:numId w:val="1613"/>
        </w:numPr>
        <w:pStyle w:val="Compact"/>
      </w:pPr>
      <w:r>
        <w:t xml:space="preserve">☐ Los cambios ascendentes se bajan rápidamente.</w:t>
      </w:r>
    </w:p>
    <w:bookmarkEnd w:id="1675"/>
    <w:bookmarkStart w:id="1676" w:name="X4659c782459a89e824759b816c73c5799adb2d0"/>
    <w:p>
      <w:pPr>
        <w:pStyle w:val="Heading2"/>
      </w:pPr>
      <w:r>
        <w:rPr>
          <w:rStyle w:val="SectionNumber"/>
        </w:rPr>
        <w:t xml:space="preserve">2.261</w:t>
      </w:r>
      <w:r>
        <w:tab/>
      </w:r>
      <w:r>
        <w:t xml:space="preserve">8. Desempeño, supervisión y supervisión humana</w:t>
      </w:r>
    </w:p>
    <w:p>
      <w:pPr>
        <w:numPr>
          <w:ilvl w:val="0"/>
          <w:numId w:val="1614"/>
        </w:numPr>
        <w:pStyle w:val="Compact"/>
      </w:pPr>
      <w:r>
        <w:t xml:space="preserve">☐ Desempeño, deriva, subgrupo, lenguaje, accesibilidad, y funciones de monitoreo de confiabilidad se asignan.</w:t>
      </w:r>
    </w:p>
    <w:p>
      <w:pPr>
        <w:numPr>
          <w:ilvl w:val="0"/>
          <w:numId w:val="1614"/>
        </w:numPr>
        <w:pStyle w:val="Compact"/>
      </w:pPr>
      <w:r>
        <w:t xml:space="preserve">☐ Se definen las métricas, los umbrales, el acceso a los datos y la frecuencia de notificación.</w:t>
      </w:r>
    </w:p>
    <w:p>
      <w:pPr>
        <w:numPr>
          <w:ilvl w:val="0"/>
          <w:numId w:val="1614"/>
        </w:numPr>
        <w:pStyle w:val="Compact"/>
      </w:pPr>
      <w:r>
        <w:t xml:space="preserve">☐ Se proporcionan instrucciones de usuario, limitaciones, incertidumbre y rangos de rendimiento.</w:t>
      </w:r>
    </w:p>
    <w:p>
      <w:pPr>
        <w:numPr>
          <w:ilvl w:val="0"/>
          <w:numId w:val="1614"/>
        </w:numPr>
        <w:pStyle w:val="Compact"/>
      </w:pPr>
      <w:r>
        <w:t xml:space="preserve">☐ Se admite la funcionalidad de revisión humana, anulación, parada, escalada, retroceso y apelación.</w:t>
      </w:r>
    </w:p>
    <w:p>
      <w:pPr>
        <w:numPr>
          <w:ilvl w:val="0"/>
          <w:numId w:val="1614"/>
        </w:numPr>
        <w:pStyle w:val="Compact"/>
      </w:pPr>
      <w:r>
        <w:t xml:space="preserve">☐ Se abordan el problema de la automatización y las salvaguardias de las personas afectadas.</w:t>
      </w:r>
    </w:p>
    <w:p>
      <w:pPr>
        <w:numPr>
          <w:ilvl w:val="0"/>
          <w:numId w:val="1614"/>
        </w:numPr>
        <w:pStyle w:val="Compact"/>
      </w:pPr>
      <w:r>
        <w:t xml:space="preserve">☐ Se definen avisos de transparencia, marcado de contenido sintético, localización y soporte de accesibilidad.</w:t>
      </w:r>
    </w:p>
    <w:p>
      <w:pPr>
        <w:numPr>
          <w:ilvl w:val="0"/>
          <w:numId w:val="1614"/>
        </w:numPr>
        <w:pStyle w:val="Compact"/>
      </w:pPr>
      <w:r>
        <w:t xml:space="preserve">☐ Las quejas, apelaciones, correcciones y remedios de los clientes reciben apoyo del proveedor.</w:t>
      </w:r>
    </w:p>
    <w:bookmarkEnd w:id="1676"/>
    <w:bookmarkStart w:id="1677" w:name="incidentes-quejas-y-medidas-correctivas"/>
    <w:p>
      <w:pPr>
        <w:pStyle w:val="Heading2"/>
      </w:pPr>
      <w:r>
        <w:rPr>
          <w:rStyle w:val="SectionNumber"/>
        </w:rPr>
        <w:t xml:space="preserve">2.262</w:t>
      </w:r>
      <w:r>
        <w:tab/>
      </w:r>
      <w:r>
        <w:t xml:space="preserve">9. Incidentes, quejas y medidas correctivas</w:t>
      </w:r>
    </w:p>
    <w:p>
      <w:pPr>
        <w:numPr>
          <w:ilvl w:val="0"/>
          <w:numId w:val="1615"/>
        </w:numPr>
        <w:pStyle w:val="Compact"/>
      </w:pPr>
      <w:r>
        <w:t xml:space="preserve">☐ Se requiere cooperación en incidentes graves, seguridad, privacidad, seguridad y eventos de servicio.</w:t>
      </w:r>
    </w:p>
    <w:p>
      <w:pPr>
        <w:numPr>
          <w:ilvl w:val="0"/>
          <w:numId w:val="1615"/>
        </w:numPr>
        <w:pStyle w:val="Compact"/>
      </w:pPr>
      <w:r>
        <w:t xml:space="preserve">☐ Las cláusulas de notificación identifican el evento que comienza el reloj, el plazo, el destinatario, el contenido inicial y las actualizaciones.</w:t>
      </w:r>
    </w:p>
    <w:p>
      <w:pPr>
        <w:numPr>
          <w:ilvl w:val="0"/>
          <w:numId w:val="1615"/>
        </w:numPr>
        <w:pStyle w:val="Compact"/>
      </w:pPr>
      <w:r>
        <w:t xml:space="preserve">☐ Se incluyen la preservación de pruebas y las obligaciones legales.</w:t>
      </w:r>
    </w:p>
    <w:p>
      <w:pPr>
        <w:numPr>
          <w:ilvl w:val="0"/>
          <w:numId w:val="1615"/>
        </w:numPr>
        <w:pStyle w:val="Compact"/>
      </w:pPr>
      <w:r>
        <w:t xml:space="preserve">☐ Se requiere apoyo de investigación de raíz, de alcance afectado y de sistemas similares.</w:t>
      </w:r>
    </w:p>
    <w:p>
      <w:pPr>
        <w:numPr>
          <w:ilvl w:val="0"/>
          <w:numId w:val="1615"/>
        </w:numPr>
        <w:pStyle w:val="Compact"/>
      </w:pPr>
      <w:r>
        <w:t xml:space="preserve">☐ Se definen la acción correctiva, la reprueba, las actualizaciones de la documentación y la validación del cierre.</w:t>
      </w:r>
    </w:p>
    <w:p>
      <w:pPr>
        <w:numPr>
          <w:ilvl w:val="0"/>
          <w:numId w:val="1615"/>
        </w:numPr>
        <w:pStyle w:val="Compact"/>
      </w:pPr>
      <w:r>
        <w:t xml:space="preserve">☐ Suspensión, restricción, retroceso, retiro, retiro y desmantelamiento de apoyo está incluido.</w:t>
      </w:r>
    </w:p>
    <w:p>
      <w:pPr>
        <w:numPr>
          <w:ilvl w:val="0"/>
          <w:numId w:val="1615"/>
        </w:numPr>
        <w:pStyle w:val="Compact"/>
      </w:pPr>
      <w:r>
        <w:t xml:space="preserve">☐ Se coordinan las comunicaciones entre la autoridad y las personas afectadas.</w:t>
      </w:r>
    </w:p>
    <w:p>
      <w:pPr>
        <w:numPr>
          <w:ilvl w:val="0"/>
          <w:numId w:val="1615"/>
        </w:numPr>
        <w:pStyle w:val="Compact"/>
      </w:pPr>
      <w:r>
        <w:t xml:space="preserve">☐ Las obligaciones por incidentes sobreviven a la terminación cuando es necesario.</w:t>
      </w:r>
    </w:p>
    <w:bookmarkEnd w:id="1677"/>
    <w:bookmarkStart w:id="1678" w:name="X5d2b40e44e1d3186023f58bd995b90556b6e5b9"/>
    <w:p>
      <w:pPr>
        <w:pStyle w:val="Heading2"/>
      </w:pPr>
      <w:r>
        <w:rPr>
          <w:rStyle w:val="SectionNumber"/>
        </w:rPr>
        <w:t xml:space="preserve">2.263</w:t>
      </w:r>
      <w:r>
        <w:tab/>
      </w:r>
      <w:r>
        <w:t xml:space="preserve">10. Auditoría, ensayo y cooperación en materia de reglamentación</w:t>
      </w:r>
    </w:p>
    <w:p>
      <w:pPr>
        <w:numPr>
          <w:ilvl w:val="0"/>
          <w:numId w:val="1616"/>
        </w:numPr>
        <w:pStyle w:val="Compact"/>
      </w:pPr>
      <w:r>
        <w:t xml:space="preserve">☐ Los derechos de auditoría, inspección, acceso a pruebas y pruebas son proporcionados y aplicables.</w:t>
      </w:r>
    </w:p>
    <w:p>
      <w:pPr>
        <w:numPr>
          <w:ilvl w:val="0"/>
          <w:numId w:val="1616"/>
        </w:numPr>
        <w:pStyle w:val="Compact"/>
      </w:pPr>
      <w:r>
        <w:t xml:space="preserve">☐ Los informes y certificados independientes se suministran con información sobre el alcance y la versión.</w:t>
      </w:r>
    </w:p>
    <w:p>
      <w:pPr>
        <w:numPr>
          <w:ilvl w:val="0"/>
          <w:numId w:val="1616"/>
        </w:numPr>
        <w:pStyle w:val="Compact"/>
      </w:pPr>
      <w:r>
        <w:t xml:space="preserve">☐ Las pruebas al cliente no anulan el soporte o la protección contractual cuando se realizan de forma segura.</w:t>
      </w:r>
    </w:p>
    <w:p>
      <w:pPr>
        <w:numPr>
          <w:ilvl w:val="0"/>
          <w:numId w:val="1616"/>
        </w:numPr>
        <w:pStyle w:val="Compact"/>
      </w:pPr>
      <w:r>
        <w:t xml:space="preserve">☐ Se apoyan las investigaciones reglamentarias, las inspecciones, las solicitudes de información, los exámenes de los organismos notificados y las cuestiones de aplicación.</w:t>
      </w:r>
    </w:p>
    <w:p>
      <w:pPr>
        <w:numPr>
          <w:ilvl w:val="0"/>
          <w:numId w:val="1616"/>
        </w:numPr>
        <w:pStyle w:val="Compact"/>
      </w:pPr>
      <w:r>
        <w:t xml:space="preserve">☐ Los registros requeridos pueden ser producidos dentro de los plazos legalmente requeridos.</w:t>
      </w:r>
    </w:p>
    <w:p>
      <w:pPr>
        <w:numPr>
          <w:ilvl w:val="0"/>
          <w:numId w:val="1616"/>
        </w:numPr>
        <w:pStyle w:val="Compact"/>
      </w:pPr>
      <w:r>
        <w:t xml:space="preserve">☐ El cumplimiento del subprocesador y del proveedor ascendente se reduce.</w:t>
      </w:r>
    </w:p>
    <w:p>
      <w:pPr>
        <w:numPr>
          <w:ilvl w:val="0"/>
          <w:numId w:val="1616"/>
        </w:numPr>
        <w:pStyle w:val="Compact"/>
      </w:pPr>
      <w:r>
        <w:t xml:space="preserve">☐ Se definen los plazos de reparación y aumento de las lagunas en las pruebas.</w:t>
      </w:r>
    </w:p>
    <w:p>
      <w:pPr>
        <w:numPr>
          <w:ilvl w:val="0"/>
          <w:numId w:val="1616"/>
        </w:numPr>
        <w:pStyle w:val="Compact"/>
      </w:pPr>
      <w:r>
        <w:t xml:space="preserve">☐ Los términos de confidencialidad no obstaculizan la divulgación legal.</w:t>
      </w:r>
    </w:p>
    <w:bookmarkEnd w:id="1678"/>
    <w:bookmarkStart w:id="1679" w:name="responsabilidad-seguros-y-recursos"/>
    <w:p>
      <w:pPr>
        <w:pStyle w:val="Heading2"/>
      </w:pPr>
      <w:r>
        <w:rPr>
          <w:rStyle w:val="SectionNumber"/>
        </w:rPr>
        <w:t xml:space="preserve">2.264</w:t>
      </w:r>
      <w:r>
        <w:tab/>
      </w:r>
      <w:r>
        <w:t xml:space="preserve">11. Responsabilidad, seguros y recursos</w:t>
      </w:r>
    </w:p>
    <w:p>
      <w:pPr>
        <w:numPr>
          <w:ilvl w:val="0"/>
          <w:numId w:val="1617"/>
        </w:numPr>
        <w:pStyle w:val="Compact"/>
      </w:pPr>
      <w:r>
        <w:t xml:space="preserve">☐ Las garantías se alinean con la capacidad documentada, el propósito previsto, el rendimiento y las limitaciones.</w:t>
      </w:r>
    </w:p>
    <w:p>
      <w:pPr>
        <w:numPr>
          <w:ilvl w:val="0"/>
          <w:numId w:val="1617"/>
        </w:numPr>
        <w:pStyle w:val="Compact"/>
      </w:pPr>
      <w:r>
        <w:t xml:space="preserve">☐ Las garantías se refieren a la autoridad, licencias, derechos de datos, seguridad, documentación y representaciones de cumplimiento.</w:t>
      </w:r>
    </w:p>
    <w:p>
      <w:pPr>
        <w:numPr>
          <w:ilvl w:val="0"/>
          <w:numId w:val="1617"/>
        </w:numPr>
        <w:pStyle w:val="Compact"/>
      </w:pPr>
      <w:r>
        <w:t xml:space="preserve">☐ Las indemnizaciones se refieren a los datos, la privacidad, la propiedad intelectual, la seguridad, la regulación, el producto y las reclamaciones de terceros, según proceda.</w:t>
      </w:r>
    </w:p>
    <w:p>
      <w:pPr>
        <w:numPr>
          <w:ilvl w:val="0"/>
          <w:numId w:val="1617"/>
        </w:numPr>
        <w:pStyle w:val="Compact"/>
      </w:pPr>
      <w:r>
        <w:t xml:space="preserve">☐ Los límites máximos de responsabilidad y exclusiones reflejan el riesgo importante de IA y no neutralizan los remedios esenciales.</w:t>
      </w:r>
    </w:p>
    <w:p>
      <w:pPr>
        <w:numPr>
          <w:ilvl w:val="0"/>
          <w:numId w:val="1617"/>
        </w:numPr>
        <w:pStyle w:val="Compact"/>
      </w:pPr>
      <w:r>
        <w:t xml:space="preserve">☐ Los requisitos de seguro son proporcionados y actuales.</w:t>
      </w:r>
    </w:p>
    <w:p>
      <w:pPr>
        <w:numPr>
          <w:ilvl w:val="0"/>
          <w:numId w:val="1617"/>
        </w:numPr>
        <w:pStyle w:val="Compact"/>
      </w:pPr>
      <w:r>
        <w:t xml:space="preserve">☐ Los créditos por servicios no sustituyen a la rehabilitación, suspensión, rescisión, indemnización o daños cuando proceda.</w:t>
      </w:r>
    </w:p>
    <w:p>
      <w:pPr>
        <w:numPr>
          <w:ilvl w:val="0"/>
          <w:numId w:val="1617"/>
        </w:numPr>
        <w:pStyle w:val="Compact"/>
      </w:pPr>
      <w:r>
        <w:t xml:space="preserve">☐ Existen derechos de terminación por incumplimiento, incidentes graves, falla de pruebas, cambios no justificados o defectos repetidos.</w:t>
      </w:r>
    </w:p>
    <w:p>
      <w:pPr>
        <w:numPr>
          <w:ilvl w:val="0"/>
          <w:numId w:val="1617"/>
        </w:numPr>
        <w:pStyle w:val="Compact"/>
      </w:pPr>
      <w:r>
        <w:t xml:space="preserve">☐ La asistencia para la transición y la salida es obligatoria.</w:t>
      </w:r>
    </w:p>
    <w:bookmarkEnd w:id="1679"/>
    <w:bookmarkStart w:id="1680" w:name="examen-de-la-eficacia-de-las-cláusulas"/>
    <w:p>
      <w:pPr>
        <w:pStyle w:val="Heading2"/>
      </w:pPr>
      <w:r>
        <w:rPr>
          <w:rStyle w:val="SectionNumber"/>
        </w:rPr>
        <w:t xml:space="preserve">2.265</w:t>
      </w:r>
      <w:r>
        <w:tab/>
      </w:r>
      <w:r>
        <w:t xml:space="preserve">12. Examen de la eficacia de las cláusulas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Zona de la cláusula</w:t>
            </w:r>
          </w:p>
        </w:tc>
        <w:tc>
          <w:tcPr/>
          <w:p>
            <w:pPr>
              <w:pStyle w:val="Compact"/>
              <w:jc w:val="left"/>
            </w:pPr>
            <w:r>
              <w:t xml:space="preserve">¿Requerido?</w:t>
            </w:r>
          </w:p>
        </w:tc>
        <w:tc>
          <w:tcPr/>
          <w:p>
            <w:pPr>
              <w:pStyle w:val="Compact"/>
              <w:jc w:val="left"/>
            </w:pPr>
            <w:r>
              <w:t xml:space="preserve">¿Incluida?</w:t>
            </w:r>
          </w:p>
        </w:tc>
        <w:tc>
          <w:tcPr/>
          <w:p>
            <w:pPr>
              <w:pStyle w:val="Compact"/>
              <w:jc w:val="left"/>
            </w:pPr>
            <w:r>
              <w:t xml:space="preserve">Propietario de la operación</w:t>
            </w:r>
          </w:p>
        </w:tc>
        <w:tc>
          <w:tcPr/>
          <w:p>
            <w:pPr>
              <w:pStyle w:val="Compact"/>
              <w:jc w:val="left"/>
            </w:pPr>
            <w:r>
              <w:t xml:space="preserve">Pruebas/pruebas</w:t>
            </w:r>
          </w:p>
        </w:tc>
        <w:tc>
          <w:tcPr/>
          <w:p>
            <w:pPr>
              <w:pStyle w:val="Compact"/>
              <w:jc w:val="left"/>
            </w:pPr>
            <w:r>
              <w:t xml:space="preserve">Brecha/medida</w:t>
            </w:r>
          </w:p>
        </w:tc>
      </w:tr>
      <w:tr>
        <w:tc>
          <w:tcPr/>
          <w:p>
            <w:pPr>
              <w:pStyle w:val="Compact"/>
              <w:jc w:val="left"/>
            </w:pPr>
            <w:r>
              <w:t xml:space="preserve">Funciones y finalidad prevista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Documentación/pruebas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Datos/privacidad/IP</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Seguridad/resiliencia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Cambios/subprocesadores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Supervisión/supervisión/transparencia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Incidentes/acción correctiva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Auditoría/cooperación normativa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Continuidad/salida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Responsabilidad/recursos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Confirme que los propietarios operativos entienden y pueden ejercer las cláusulas. Un derecho contractual que no puede ser invocado, probado o ejecutado no es un control efectivo.</w:t>
      </w:r>
    </w:p>
    <w:bookmarkEnd w:id="1680"/>
    <w:bookmarkStart w:id="1681" w:name="decisión-6"/>
    <w:p>
      <w:pPr>
        <w:pStyle w:val="Heading2"/>
      </w:pPr>
      <w:r>
        <w:rPr>
          <w:rStyle w:val="SectionNumber"/>
        </w:rPr>
        <w:t xml:space="preserve">2.266</w:t>
      </w:r>
      <w:r>
        <w:tab/>
      </w:r>
      <w:r>
        <w:t xml:space="preserve">13. Decisión</w:t>
      </w:r>
    </w:p>
    <w:p>
      <w:pPr>
        <w:numPr>
          <w:ilvl w:val="0"/>
          <w:numId w:val="1618"/>
        </w:numPr>
        <w:pStyle w:val="Compact"/>
      </w:pPr>
      <w:r>
        <w:t xml:space="preserve">☐ Aprobado</w:t>
      </w:r>
    </w:p>
    <w:p>
      <w:pPr>
        <w:numPr>
          <w:ilvl w:val="0"/>
          <w:numId w:val="1618"/>
        </w:numPr>
        <w:pStyle w:val="Compact"/>
      </w:pPr>
      <w:r>
        <w:t xml:space="preserve">☐ Aprobados con desviaciones y controles compensatorios</w:t>
      </w:r>
    </w:p>
    <w:p>
      <w:pPr>
        <w:numPr>
          <w:ilvl w:val="0"/>
          <w:numId w:val="1618"/>
        </w:numPr>
        <w:pStyle w:val="Compact"/>
      </w:pPr>
      <w:r>
        <w:t xml:space="preserve">☐ Piloto restringido solamente</w:t>
      </w:r>
    </w:p>
    <w:p>
      <w:pPr>
        <w:numPr>
          <w:ilvl w:val="0"/>
          <w:numId w:val="1618"/>
        </w:numPr>
        <w:pStyle w:val="Compact"/>
      </w:pPr>
      <w:r>
        <w:t xml:space="preserve">☐ Negociaciones requeridas</w:t>
      </w:r>
    </w:p>
    <w:p>
      <w:pPr>
        <w:numPr>
          <w:ilvl w:val="0"/>
          <w:numId w:val="1618"/>
        </w:numPr>
        <w:pStyle w:val="Compact"/>
      </w:pPr>
      <w:r>
        <w:t xml:space="preserve">☐ No aprobado</w:t>
      </w:r>
    </w:p>
    <w:p>
      <w:pPr>
        <w:numPr>
          <w:ilvl w:val="0"/>
          <w:numId w:val="1618"/>
        </w:numPr>
        <w:pStyle w:val="Compact"/>
      </w:pPr>
      <w:r>
        <w:t xml:space="preserve">☐ Se requiere un examen jurídico o especializado cualificado</w:t>
      </w:r>
    </w:p>
    <w:p>
      <w:pPr>
        <w:pStyle w:val="FirstParagraph"/>
      </w:pPr>
      <w:r>
        <w:t xml:space="preserve">** Justificación de la decisión:</w:t>
      </w:r>
      <w:r>
        <w:rPr>
          <w:bCs/>
          <w:b/>
        </w:rPr>
        <w:t xml:space="preserve"> </w:t>
      </w:r>
      <w:r>
        <w:t xml:space="preserve"> </w:t>
      </w:r>
      <w:r>
        <w:t xml:space="preserve">Desviaciones aprobadas:</w:t>
      </w:r>
      <w:r>
        <w:rPr>
          <w:bCs/>
          <w:b/>
        </w:rPr>
        <w:t xml:space="preserve"> </w:t>
      </w:r>
      <w:r>
        <w:t xml:space="preserve"> </w:t>
      </w:r>
      <w:r>
        <w:t xml:space="preserve">Controles compensatorios:</w:t>
      </w:r>
      <w:r>
        <w:rPr>
          <w:bCs/>
          <w:b/>
        </w:rPr>
        <w:t xml:space="preserve"> </w:t>
      </w:r>
      <w:r>
        <w:t xml:space="preserve"> </w:t>
      </w:r>
      <w:r>
        <w:t xml:space="preserve">Riesgos no resueltos:</w:t>
      </w:r>
      <w:r>
        <w:rPr>
          <w:bCs/>
          <w:b/>
        </w:rPr>
        <w:t xml:space="preserve"> </w:t>
      </w:r>
      <w:r>
        <w:t xml:space="preserve"> </w:t>
      </w:r>
      <w:r>
        <w:t xml:space="preserve">Preparación para la terminación/salida:**</w:t>
      </w:r>
    </w:p>
    <w:bookmarkEnd w:id="1681"/>
    <w:bookmarkStart w:id="1682" w:name="medidas-abiertas-1"/>
    <w:p>
      <w:pPr>
        <w:pStyle w:val="Heading2"/>
      </w:pPr>
      <w:r>
        <w:rPr>
          <w:rStyle w:val="SectionNumber"/>
        </w:rPr>
        <w:t xml:space="preserve">2.267</w:t>
      </w:r>
      <w:r>
        <w:tab/>
      </w:r>
      <w:r>
        <w:t xml:space="preserve">14. Medidas abiertas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Riesgo/impacto jurídico</w:t>
            </w:r>
          </w:p>
        </w:tc>
        <w:tc>
          <w:tcPr/>
          <w:p>
            <w:pPr>
              <w:pStyle w:val="Compact"/>
              <w:jc w:val="left"/>
            </w:pPr>
            <w:r>
              <w:t xml:space="preserve">Situación</w:t>
            </w:r>
          </w:p>
        </w:tc>
        <w:tc>
          <w:tcPr/>
          <w:p>
            <w:pPr>
              <w:pStyle w:val="Compact"/>
              <w:jc w:val="left"/>
            </w:pPr>
            <w:r>
              <w:t xml:space="preserve">Pruebas de cierre</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682"/>
    <w:bookmarkStart w:id="1683" w:name="detonadores-de-la-revisión-8"/>
    <w:p>
      <w:pPr>
        <w:pStyle w:val="Heading2"/>
      </w:pPr>
      <w:r>
        <w:rPr>
          <w:rStyle w:val="SectionNumber"/>
        </w:rPr>
        <w:t xml:space="preserve">2.268</w:t>
      </w:r>
      <w:r>
        <w:tab/>
      </w:r>
      <w:r>
        <w:t xml:space="preserve">15. Detonadores de la revisión</w:t>
      </w:r>
    </w:p>
    <w:p>
      <w:pPr>
        <w:pStyle w:val="FirstParagraph"/>
      </w:pPr>
      <w:r>
        <w:t xml:space="preserve">Volver a evaluar después de:</w:t>
      </w:r>
    </w:p>
    <w:p>
      <w:pPr>
        <w:numPr>
          <w:ilvl w:val="0"/>
          <w:numId w:val="1619"/>
        </w:numPr>
        <w:pStyle w:val="Compact"/>
      </w:pPr>
      <w:r>
        <w:t xml:space="preserve">renovación, modificación, cesión, adquisición o reestructuración;</w:t>
      </w:r>
    </w:p>
    <w:p>
      <w:pPr>
        <w:numPr>
          <w:ilvl w:val="0"/>
          <w:numId w:val="1619"/>
        </w:numPr>
        <w:pStyle w:val="Compact"/>
      </w:pPr>
      <w:r>
        <w:t xml:space="preserve">modelo, servicio, datos, característica, subprocesador, alojamiento, licencia o cambio de política;</w:t>
      </w:r>
    </w:p>
    <w:p>
      <w:pPr>
        <w:numPr>
          <w:ilvl w:val="0"/>
          <w:numId w:val="1619"/>
        </w:numPr>
        <w:pStyle w:val="Compact"/>
      </w:pPr>
      <w:r>
        <w:t xml:space="preserve">función, clasificación, finalidad prevista, conformidad o cambio de jurisdicción;</w:t>
      </w:r>
    </w:p>
    <w:p>
      <w:pPr>
        <w:numPr>
          <w:ilvl w:val="0"/>
          <w:numId w:val="1619"/>
        </w:numPr>
        <w:pStyle w:val="Compact"/>
      </w:pPr>
      <w:r>
        <w:t xml:space="preserve">incidente, vulnerabilidad, queja, interrupción del servicio, constatación de auditoría o solicitud de autoridad;</w:t>
      </w:r>
    </w:p>
    <w:p>
      <w:pPr>
        <w:numPr>
          <w:ilvl w:val="0"/>
          <w:numId w:val="1619"/>
        </w:numPr>
        <w:pStyle w:val="Compact"/>
      </w:pPr>
      <w:r>
        <w:t xml:space="preserve">Depredación, fin del apoyo, deterioro del proveedor o evento de salida;</w:t>
      </w:r>
    </w:p>
    <w:p>
      <w:pPr>
        <w:numPr>
          <w:ilvl w:val="0"/>
          <w:numId w:val="1619"/>
        </w:numPr>
        <w:pStyle w:val="Compact"/>
      </w:pPr>
      <w:r>
        <w:t xml:space="preserve">desarrollo legal, regulatorio, estándar, código o autoridad.</w:t>
      </w:r>
    </w:p>
    <w:bookmarkEnd w:id="1683"/>
    <w:bookmarkStart w:id="1684" w:name="X22112945b971b61265766887bc281cf95bbe9cd"/>
    <w:p>
      <w:pPr>
        <w:pStyle w:val="Heading2"/>
      </w:pPr>
      <w:r>
        <w:rPr>
          <w:rStyle w:val="SectionNumber"/>
        </w:rPr>
        <w:t xml:space="preserve">2.269</w:t>
      </w:r>
      <w:r>
        <w:tab/>
      </w:r>
      <w:r>
        <w:t xml:space="preserve">Ejemplo de servicios de viajes de GlobalWay</w:t>
      </w:r>
    </w:p>
    <w:p>
      <w:pPr>
        <w:pStyle w:val="FirstParagraph"/>
      </w:pPr>
      <w:r>
        <w:t xml:space="preserve">GlobalWay negocia un servicio de asistencia al viajero GPAI. El contrato inicial permite cambios de modelo sin previo aviso, amplio uso de entrenamiento de avisos, acceso limitado a evidencia, y ninguna obligación de retroceso. GlobalWay requiere restricciones explícitas de uso de datos, aviso de cambio anticipado, preservación de versiones, cooperación de auditoría y regulador, aviso de incidentes, soporte de pruebas multilingües, reversión, continuidad y asistencia de salida antes de aprobar un piloto restringido.</w:t>
      </w:r>
    </w:p>
    <w:bookmarkEnd w:id="1684"/>
    <w:bookmarkStart w:id="1685" w:name="homologación-13"/>
    <w:p>
      <w:pPr>
        <w:pStyle w:val="Heading2"/>
      </w:pPr>
      <w:r>
        <w:rPr>
          <w:rStyle w:val="SectionNumber"/>
        </w:rPr>
        <w:t xml:space="preserve">2.270</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Asuntos jurídicos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Adquisiciones/Gestión de los proveedores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Seguridad/Privacidad/Técnica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Riesgo/cumplimiento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Datos/producto/HR,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Desviaciones aprobadas:</w:t>
      </w:r>
      <w:r>
        <w:rPr>
          <w:bCs/>
          <w:b/>
        </w:rPr>
        <w:t xml:space="preserve"> </w:t>
      </w:r>
      <w:r>
        <w:t xml:space="preserve"> </w:t>
      </w:r>
      <w:r>
        <w:t xml:space="preserve">Referencias de pruebas:</w:t>
      </w:r>
      <w:r>
        <w:rPr>
          <w:bCs/>
          <w:b/>
        </w:rPr>
        <w:t xml:space="preserve"> </w:t>
      </w:r>
      <w:r>
        <w:t xml:space="preserve"> </w:t>
      </w:r>
      <w:r>
        <w:t xml:space="preserve">Controles compensatorios:</w:t>
      </w:r>
      <w:r>
        <w:rPr>
          <w:bCs/>
          <w:b/>
        </w:rPr>
        <w:t xml:space="preserve"> </w:t>
      </w:r>
      <w:r>
        <w:t xml:space="preserve">Peligro/fecha de reevaluación:</w:t>
      </w:r>
      <w:r>
        <w:rPr>
          <w:bCs/>
          <w:b/>
        </w:rPr>
        <w:t xml:space="preserve"> </w:t>
      </w:r>
      <w:r>
        <w:t xml:space="preserve">Versión de la lista de verificación:**</w:t>
      </w:r>
    </w:p>
    <w:bookmarkEnd w:id="1685"/>
    <w:bookmarkStart w:id="1686" w:name="referencias-jurídicas-primarias-122"/>
    <w:p>
      <w:pPr>
        <w:pStyle w:val="Heading2"/>
      </w:pPr>
      <w:r>
        <w:rPr>
          <w:rStyle w:val="SectionNumber"/>
        </w:rPr>
        <w:t xml:space="preserve">2.271</w:t>
      </w:r>
      <w:r>
        <w:tab/>
      </w:r>
      <w:r>
        <w:t xml:space="preserve">Referencias jurídicas primarias</w:t>
      </w:r>
    </w:p>
    <w:p>
      <w:pPr>
        <w:numPr>
          <w:ilvl w:val="0"/>
          <w:numId w:val="1620"/>
        </w:numPr>
        <w:pStyle w:val="Compact"/>
      </w:pPr>
      <w:r>
        <w:t xml:space="preserve">Reglamento (UE) 2024/1689, modificado: disposiciones aplicables sobre cadena de valor, proveedor, GPAI, aguas abajo, importador, distribuidor, representante, fabricante de productos, alto riesgo, transparencia, supervisión, incidencia, medidas correctivas, autoridad y pruebas.</w:t>
      </w:r>
    </w:p>
    <w:p>
      <w:pPr>
        <w:numPr>
          <w:ilvl w:val="0"/>
          <w:numId w:val="1620"/>
        </w:numPr>
        <w:pStyle w:val="Compact"/>
      </w:pPr>
      <w:r>
        <w:t xml:space="preserve">Reglamento (UE) 2026/1744, en su caso.</w:t>
      </w:r>
    </w:p>
    <w:p>
      <w:pPr>
        <w:numPr>
          <w:ilvl w:val="0"/>
          <w:numId w:val="1620"/>
        </w:numPr>
        <w:pStyle w:val="Compact"/>
      </w:pPr>
      <w:r>
        <w:t xml:space="preserve">Reglamento (UE) 2016/679 y la ciberseguridad aplicable, seguridad de los productos, empleo, igualdad, accesibilidad, protección del consumidor, propiedad intelectual, contrato, competencia y legislación sectorial.</w:t>
      </w:r>
    </w:p>
    <w:p>
      <w:pPr>
        <w:numPr>
          <w:ilvl w:val="0"/>
          <w:numId w:val="1620"/>
        </w:numPr>
        <w:pStyle w:val="Compact"/>
      </w:pPr>
      <w:r>
        <w:t xml:space="preserve">Control actual de los textos oficiales consolidados sobre los resúmenes contractuales.</w:t>
      </w:r>
    </w:p>
    <w:bookmarkEnd w:id="1686"/>
    <w:bookmarkStart w:id="1687" w:name="Xa309eb664de8009cc1c81e63177fd6df992a341"/>
    <w:p>
      <w:pPr>
        <w:pStyle w:val="Heading2"/>
      </w:pPr>
      <w:r>
        <w:rPr>
          <w:rStyle w:val="SectionNumber"/>
        </w:rPr>
        <w:t xml:space="preserve">2.272</w:t>
      </w:r>
      <w:r>
        <w:tab/>
      </w:r>
      <w:r>
        <w:t xml:space="preserve">Apéndice Q — Matriz de alfabetización de la IA</w:t>
      </w:r>
    </w:p>
    <w:p>
      <w:pPr>
        <w:pStyle w:val="BlockText"/>
      </w:pPr>
      <w:r>
        <w:rPr>
          <w:bCs/>
          <w:b/>
        </w:rPr>
        <w:t xml:space="preserve">Estatus legal:</w:t>
      </w:r>
      <w:r>
        <w:t xml:space="preserve"> </w:t>
      </w:r>
      <w:r>
        <w:t xml:space="preserve">Maestro de inglés corregido. El artículo 4 requiere que los proveedores y los implementadores tomen medidas, en su mejor medida, para asegurar un nivel suficiente de conocimientos de IA para el personal relevante y otras personas que se ocupan de sistemas de IA en su nombre. La ley no prescribe un currículo universal, frecuencia, examen o certificado.</w:t>
      </w:r>
    </w:p>
    <w:bookmarkEnd w:id="1687"/>
    <w:bookmarkStart w:id="1688" w:name="finalidad-33"/>
    <w:p>
      <w:pPr>
        <w:pStyle w:val="Heading2"/>
      </w:pPr>
      <w:r>
        <w:rPr>
          <w:rStyle w:val="SectionNumber"/>
        </w:rPr>
        <w:t xml:space="preserve">2.273</w:t>
      </w:r>
      <w:r>
        <w:tab/>
      </w:r>
      <w:r>
        <w:t xml:space="preserve">Finalidad</w:t>
      </w:r>
    </w:p>
    <w:p>
      <w:pPr>
        <w:pStyle w:val="FirstParagraph"/>
      </w:pPr>
      <w:r>
        <w:t xml:space="preserve">Utilice esta matriz para definir, entregar, probar y rastrear los conocimientos, la competencia práctica y el apoyo basado en roles necesarios para las personas que desarrollan, adquieren, integran, despliegan, supervisan, auditan, gobiernan o tratan con sistemas de IA en nombre de la organización.</w:t>
      </w:r>
    </w:p>
    <w:bookmarkEnd w:id="1688"/>
    <w:bookmarkStart w:id="1689" w:name="aplicabilidad-y-alcance-del-programa"/>
    <w:p>
      <w:pPr>
        <w:pStyle w:val="Heading2"/>
      </w:pPr>
      <w:r>
        <w:rPr>
          <w:rStyle w:val="SectionNumber"/>
        </w:rPr>
        <w:t xml:space="preserve">2.274</w:t>
      </w:r>
      <w:r>
        <w:tab/>
      </w:r>
      <w:r>
        <w:t xml:space="preserve">1. Aplicabilidad y alcance del programa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Entidades jurídicas y funciones de proveedor/desplegador</w:t>
            </w:r>
          </w:p>
        </w:tc>
        <w:tc>
          <w:tcPr/>
          <w:p>
            <w:pPr>
              <w:pStyle w:val="Compact"/>
              <w:jc w:val="left"/>
            </w:pPr>
            <w:r>
              <w:t xml:space="preserve">- No, no.</w:t>
            </w:r>
          </w:p>
        </w:tc>
      </w:tr>
      <w:tr>
        <w:tc>
          <w:tcPr/>
          <w:p>
            <w:pPr>
              <w:pStyle w:val="Compact"/>
              <w:jc w:val="left"/>
            </w:pPr>
            <w:r>
              <w:t xml:space="preserve">Sistemas/modelos y jurisdicciones</w:t>
            </w:r>
          </w:p>
        </w:tc>
        <w:tc>
          <w:tcPr/>
          <w:p>
            <w:pPr>
              <w:pStyle w:val="Compact"/>
              <w:jc w:val="left"/>
            </w:pPr>
            <w:r>
              <w:t xml:space="preserve">- No, no.</w:t>
            </w:r>
          </w:p>
        </w:tc>
      </w:tr>
      <w:tr>
        <w:tc>
          <w:tcPr/>
          <w:p>
            <w:pPr>
              <w:pStyle w:val="Compact"/>
              <w:jc w:val="left"/>
            </w:pPr>
            <w:r>
              <w:t xml:space="preserve">Personal y otras personas incluidas en el ámbito</w:t>
            </w:r>
          </w:p>
        </w:tc>
        <w:tc>
          <w:tcPr/>
          <w:p>
            <w:pPr>
              <w:pStyle w:val="Compact"/>
              <w:jc w:val="left"/>
            </w:pPr>
            <w:r>
              <w:t xml:space="preserve">- No, no.</w:t>
            </w:r>
          </w:p>
        </w:tc>
      </w:tr>
      <w:tr>
        <w:tc>
          <w:tcPr/>
          <w:p>
            <w:pPr>
              <w:pStyle w:val="Compact"/>
              <w:jc w:val="left"/>
            </w:pPr>
            <w:r>
              <w:t xml:space="preserve">Conocimiento, experiencia, educación, capacitación y contexto de uso considerado</w:t>
            </w:r>
          </w:p>
        </w:tc>
        <w:tc>
          <w:tcPr/>
          <w:p>
            <w:pPr>
              <w:pStyle w:val="Compact"/>
              <w:jc w:val="left"/>
            </w:pPr>
            <w:r>
              <w:t xml:space="preserve">- No, no.</w:t>
            </w:r>
          </w:p>
        </w:tc>
      </w:tr>
      <w:tr>
        <w:tc>
          <w:tcPr/>
          <w:p>
            <w:pPr>
              <w:pStyle w:val="Compact"/>
              <w:jc w:val="left"/>
            </w:pPr>
            <w:r>
              <w:t xml:space="preserve">Personas/grupos en los que se utilizan sistemas</w:t>
            </w:r>
          </w:p>
        </w:tc>
        <w:tc>
          <w:tcPr/>
          <w:p>
            <w:pPr>
              <w:pStyle w:val="Compact"/>
              <w:jc w:val="left"/>
            </w:pPr>
            <w:r>
              <w:t xml:space="preserve">- No, no.</w:t>
            </w:r>
          </w:p>
        </w:tc>
      </w:tr>
      <w:tr>
        <w:tc>
          <w:tcPr/>
          <w:p>
            <w:pPr>
              <w:pStyle w:val="Compact"/>
              <w:jc w:val="left"/>
            </w:pPr>
            <w:r>
              <w:t xml:space="preserve">Fuente jurídica actual/fecha de solicitud</w:t>
            </w:r>
          </w:p>
        </w:tc>
        <w:tc>
          <w:tcPr/>
          <w:p>
            <w:pPr>
              <w:pStyle w:val="Compact"/>
              <w:jc w:val="left"/>
            </w:pPr>
            <w:r>
              <w:t xml:space="preserve">- No, no.</w:t>
            </w:r>
          </w:p>
        </w:tc>
      </w:tr>
      <w:tr>
        <w:tc>
          <w:tcPr/>
          <w:p>
            <w:pPr>
              <w:pStyle w:val="Compact"/>
              <w:jc w:val="left"/>
            </w:pPr>
            <w:r>
              <w:t xml:space="preserve">Propietario del programa</w:t>
            </w:r>
          </w:p>
        </w:tc>
        <w:tc>
          <w:tcPr/>
          <w:p>
            <w:pPr>
              <w:pStyle w:val="Compact"/>
              <w:jc w:val="left"/>
            </w:pPr>
            <w:r>
              <w:t xml:space="preserve">- No, no.</w:t>
            </w:r>
          </w:p>
        </w:tc>
      </w:tr>
      <w:tr>
        <w:tc>
          <w:tcPr/>
          <w:p>
            <w:pPr>
              <w:pStyle w:val="Compact"/>
              <w:jc w:val="left"/>
            </w:pPr>
            <w:r>
              <w:t xml:space="preserve">Versión del programa/fecha de revisión</w:t>
            </w:r>
          </w:p>
        </w:tc>
        <w:tc>
          <w:tcPr/>
          <w:p>
            <w:pPr>
              <w:pStyle w:val="Compact"/>
              <w:jc w:val="left"/>
            </w:pPr>
            <w:r>
              <w:t xml:space="preserve">- No, no.</w:t>
            </w:r>
          </w:p>
        </w:tc>
      </w:tr>
    </w:tbl>
    <w:bookmarkEnd w:id="1689"/>
    <w:bookmarkStart w:id="1690" w:name="matriz-de-funciones"/>
    <w:p>
      <w:pPr>
        <w:pStyle w:val="Heading2"/>
      </w:pPr>
      <w:r>
        <w:rPr>
          <w:rStyle w:val="SectionNumber"/>
        </w:rPr>
        <w:t xml:space="preserve">2.275</w:t>
      </w:r>
      <w:r>
        <w:tab/>
      </w:r>
      <w:r>
        <w:t xml:space="preserve">2. Matriz de funciones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Función</w:t>
            </w:r>
          </w:p>
        </w:tc>
        <w:tc>
          <w:tcPr/>
          <w:p>
            <w:pPr>
              <w:pStyle w:val="Compact"/>
              <w:jc w:val="left"/>
            </w:pPr>
            <w:r>
              <w:t xml:space="preserve">Responsabilidades jurídicas y operacionales</w:t>
            </w:r>
          </w:p>
        </w:tc>
        <w:tc>
          <w:tcPr/>
          <w:p>
            <w:pPr>
              <w:pStyle w:val="Compact"/>
              <w:jc w:val="left"/>
            </w:pPr>
            <w:r>
              <w:t xml:space="preserve">Conocimientos necesarios</w:t>
            </w:r>
          </w:p>
        </w:tc>
        <w:tc>
          <w:tcPr/>
          <w:p>
            <w:pPr>
              <w:pStyle w:val="Compact"/>
              <w:jc w:val="left"/>
            </w:pPr>
            <w:r>
              <w:t xml:space="preserve">Competencia práctica</w:t>
            </w:r>
          </w:p>
        </w:tc>
        <w:tc>
          <w:tcPr/>
          <w:p>
            <w:pPr>
              <w:pStyle w:val="Compact"/>
              <w:jc w:val="left"/>
            </w:pPr>
            <w:r>
              <w:t xml:space="preserve">Método de entrega</w:t>
            </w:r>
          </w:p>
        </w:tc>
        <w:tc>
          <w:tcPr/>
          <w:p>
            <w:pPr>
              <w:pStyle w:val="Compact"/>
              <w:jc w:val="left"/>
            </w:pPr>
            <w:r>
              <w:t xml:space="preserve">Frecuencia/detonador</w:t>
            </w:r>
          </w:p>
        </w:tc>
        <w:tc>
          <w:tcPr/>
          <w:p>
            <w:pPr>
              <w:pStyle w:val="Compact"/>
              <w:jc w:val="left"/>
            </w:pPr>
            <w:r>
              <w:t xml:space="preserve">Pruebas</w:t>
            </w:r>
          </w:p>
        </w:tc>
      </w:tr>
      <w:tr>
        <w:tc>
          <w:tcPr/>
          <w:p>
            <w:pPr>
              <w:pStyle w:val="Compact"/>
              <w:jc w:val="left"/>
            </w:pPr>
            <w:r>
              <w:t xml:space="preserve">Junta Directiva y ejecutivos</w:t>
            </w:r>
          </w:p>
        </w:tc>
        <w:tc>
          <w:tcPr/>
          <w:p>
            <w:pPr>
              <w:pStyle w:val="Compact"/>
              <w:jc w:val="left"/>
            </w:pPr>
            <w:r>
              <w:t xml:space="preserve">Estrategia, rendición de cuentas, apetito por los riesgos, supervisión, escalada, recursos</w:t>
            </w:r>
          </w:p>
        </w:tc>
        <w:tc>
          <w:tcPr/>
          <w:p>
            <w:pPr>
              <w:pStyle w:val="Compact"/>
              <w:jc w:val="left"/>
            </w:pPr>
            <w:r>
              <w:t xml:space="preserve">Capacidades y limitaciones de IA, exposición legal material, riesgo sistémico, funciones de gobernanza</w:t>
            </w:r>
          </w:p>
        </w:tc>
        <w:tc>
          <w:tcPr/>
          <w:p>
            <w:pPr>
              <w:pStyle w:val="Compact"/>
              <w:jc w:val="left"/>
            </w:pPr>
            <w:r>
              <w:t xml:space="preserve">Gestión de desafíos, aprobación de decisiones de riesgo, supervisión de la rehabilitación</w:t>
            </w:r>
          </w:p>
        </w:tc>
        <w:tc>
          <w:tcPr/>
          <w:p>
            <w:pPr>
              <w:pStyle w:val="Compact"/>
              <w:jc w:val="left"/>
            </w:pPr>
            <w:r>
              <w:t xml:space="preserve">Reunión informativa, ejercicio de hipótesis, taller de la junta</w:t>
            </w:r>
          </w:p>
        </w:tc>
        <w:tc>
          <w:tcPr/>
          <w:p>
            <w:pPr>
              <w:pStyle w:val="Compact"/>
              <w:jc w:val="left"/>
            </w:pPr>
            <w:r>
              <w:t xml:space="preserve">En el momento del nombramiento, anual, y impulsado por eventos</w:t>
            </w:r>
          </w:p>
        </w:tc>
        <w:tc>
          <w:tcPr/>
          <w:p>
            <w:pPr>
              <w:pStyle w:val="Compact"/>
              <w:jc w:val="left"/>
            </w:pPr>
            <w:r>
              <w:t xml:space="preserve">Asistencia, actas, resultados del ejercicio</w:t>
            </w:r>
          </w:p>
        </w:tc>
      </w:tr>
      <w:tr>
        <w:tc>
          <w:tcPr/>
          <w:p>
            <w:pPr>
              <w:pStyle w:val="Compact"/>
              <w:jc w:val="left"/>
            </w:pPr>
            <w:r>
              <w:t xml:space="preserve">Propietarios de empresas/sistemas</w:t>
            </w:r>
          </w:p>
        </w:tc>
        <w:tc>
          <w:tcPr/>
          <w:p>
            <w:pPr>
              <w:pStyle w:val="Compact"/>
              <w:jc w:val="left"/>
            </w:pPr>
            <w:r>
              <w:t xml:space="preserve">Finalidad prevista, propiedad, aprobación, supervisión, cambio, riesgo residual</w:t>
            </w:r>
          </w:p>
        </w:tc>
        <w:tc>
          <w:tcPr/>
          <w:p>
            <w:pPr>
              <w:pStyle w:val="Compact"/>
              <w:jc w:val="left"/>
            </w:pPr>
            <w:r>
              <w:t xml:space="preserve">Clasificación, personas afectadas, obligaciones de control, límites del proveedor</w:t>
            </w:r>
          </w:p>
        </w:tc>
        <w:tc>
          <w:tcPr/>
          <w:p>
            <w:pPr>
              <w:pStyle w:val="Compact"/>
              <w:jc w:val="left"/>
            </w:pPr>
            <w:r>
              <w:t xml:space="preserve">Aprobar el uso, administrar controles, interpretar informes, escalar</w:t>
            </w:r>
          </w:p>
        </w:tc>
        <w:tc>
          <w:tcPr/>
          <w:p>
            <w:pPr>
              <w:pStyle w:val="Compact"/>
              <w:jc w:val="left"/>
            </w:pPr>
            <w:r>
              <w:t xml:space="preserve">Taller sobre la función y ejercicio de casos</w:t>
            </w:r>
          </w:p>
        </w:tc>
        <w:tc>
          <w:tcPr/>
          <w:p>
            <w:pPr>
              <w:pStyle w:val="Compact"/>
              <w:jc w:val="left"/>
            </w:pPr>
            <w:r>
              <w:t xml:space="preserve">Antes de la propiedad, anual, y después del cambio material</w:t>
            </w:r>
          </w:p>
        </w:tc>
        <w:tc>
          <w:tcPr/>
          <w:p>
            <w:pPr>
              <w:pStyle w:val="Compact"/>
              <w:jc w:val="left"/>
            </w:pPr>
            <w:r>
              <w:t xml:space="preserve">Evaluación, certificación, actas de decisiones</w:t>
            </w:r>
          </w:p>
        </w:tc>
      </w:tr>
      <w:tr>
        <w:tc>
          <w:tcPr/>
          <w:p>
            <w:pPr>
              <w:pStyle w:val="Compact"/>
              <w:jc w:val="left"/>
            </w:pPr>
            <w:r>
              <w:t xml:space="preserve">Desarrolladores, ingenieros y equipos de datos</w:t>
            </w:r>
          </w:p>
        </w:tc>
        <w:tc>
          <w:tcPr/>
          <w:p>
            <w:pPr>
              <w:pStyle w:val="Compact"/>
              <w:jc w:val="left"/>
            </w:pPr>
            <w:r>
              <w:t xml:space="preserve">Diseño, datos, pruebas, documentación, desarrollo seguro, monitoreo</w:t>
            </w:r>
          </w:p>
        </w:tc>
        <w:tc>
          <w:tcPr/>
          <w:p>
            <w:pPr>
              <w:pStyle w:val="Compact"/>
              <w:jc w:val="left"/>
            </w:pPr>
            <w:r>
              <w:t xml:space="preserve">Calidad de los datos, sesgo, robustez, ciberseguridad, documentación técnica, supervisión humana</w:t>
            </w:r>
          </w:p>
        </w:tc>
        <w:tc>
          <w:tcPr/>
          <w:p>
            <w:pPr>
              <w:pStyle w:val="Compact"/>
              <w:jc w:val="left"/>
            </w:pPr>
            <w:r>
              <w:t xml:space="preserve">Construir, probar, documentar, validar, reparar, preservar pruebas</w:t>
            </w:r>
          </w:p>
        </w:tc>
        <w:tc>
          <w:tcPr/>
          <w:p>
            <w:pPr>
              <w:pStyle w:val="Compact"/>
              <w:jc w:val="left"/>
            </w:pPr>
            <w:r>
              <w:t xml:space="preserve">Módulos técnicos y laboratorios prácticos</w:t>
            </w:r>
          </w:p>
        </w:tc>
        <w:tc>
          <w:tcPr/>
          <w:p>
            <w:pPr>
              <w:pStyle w:val="Compact"/>
              <w:jc w:val="left"/>
            </w:pPr>
            <w:r>
              <w:t xml:space="preserve">Antes de la asignación y recurrente</w:t>
            </w:r>
          </w:p>
        </w:tc>
        <w:tc>
          <w:tcPr/>
          <w:p>
            <w:pPr>
              <w:pStyle w:val="Compact"/>
              <w:jc w:val="left"/>
            </w:pPr>
            <w:r>
              <w:t xml:space="preserve">Pruebas prácticas, pruebas de código/revisión, registros de proyectos</w:t>
            </w:r>
          </w:p>
        </w:tc>
      </w:tr>
      <w:tr>
        <w:tc>
          <w:tcPr/>
          <w:p>
            <w:pPr>
              <w:pStyle w:val="Compact"/>
              <w:jc w:val="left"/>
            </w:pPr>
            <w:r>
              <w:t xml:space="preserve">Personal de supervisión humana</w:t>
            </w:r>
          </w:p>
        </w:tc>
        <w:tc>
          <w:tcPr/>
          <w:p>
            <w:pPr>
              <w:pStyle w:val="Compact"/>
              <w:jc w:val="left"/>
            </w:pPr>
            <w:r>
              <w:t xml:space="preserve">Revisar, desafiar, anular, detener, escalar, récord de decisiones</w:t>
            </w:r>
          </w:p>
        </w:tc>
        <w:tc>
          <w:tcPr/>
          <w:p>
            <w:pPr>
              <w:pStyle w:val="Compact"/>
              <w:jc w:val="left"/>
            </w:pPr>
            <w:r>
              <w:t xml:space="preserve">Propósito previsto, limitaciones, sesgo de automatización, comportamiento anormal, protección de la persona afectada</w:t>
            </w:r>
          </w:p>
        </w:tc>
        <w:tc>
          <w:tcPr/>
          <w:p>
            <w:pPr>
              <w:pStyle w:val="Compact"/>
              <w:jc w:val="left"/>
            </w:pPr>
            <w:r>
              <w:t xml:space="preserve">Interpretar los resultados, cuestionar las recomendaciones, aplicar la retroactividad, preservar las pruebas</w:t>
            </w:r>
          </w:p>
        </w:tc>
        <w:tc>
          <w:tcPr/>
          <w:p>
            <w:pPr>
              <w:pStyle w:val="Compact"/>
              <w:jc w:val="left"/>
            </w:pPr>
            <w:r>
              <w:t xml:space="preserve">Formación basada en hipótesis y práctica supervisada</w:t>
            </w:r>
          </w:p>
        </w:tc>
        <w:tc>
          <w:tcPr/>
          <w:p>
            <w:pPr>
              <w:pStyle w:val="Compact"/>
              <w:jc w:val="left"/>
            </w:pPr>
            <w:r>
              <w:t xml:space="preserve">Antes de la asignación, recurrente, después de incidentes/cambios</w:t>
            </w:r>
          </w:p>
        </w:tc>
        <w:tc>
          <w:tcPr/>
          <w:p>
            <w:pPr>
              <w:pStyle w:val="Compact"/>
              <w:jc w:val="left"/>
            </w:pPr>
            <w:r>
              <w:t xml:space="preserve">Prueba de competencia, ejercicio observado, calidad de anulación</w:t>
            </w:r>
          </w:p>
        </w:tc>
      </w:tr>
      <w:tr>
        <w:tc>
          <w:tcPr/>
          <w:p>
            <w:pPr>
              <w:pStyle w:val="Compact"/>
              <w:jc w:val="left"/>
            </w:pPr>
            <w:r>
              <w:t xml:space="preserve">Gestión de las adquisiciones y los proveedores</w:t>
            </w:r>
          </w:p>
        </w:tc>
        <w:tc>
          <w:tcPr/>
          <w:p>
            <w:pPr>
              <w:pStyle w:val="Compact"/>
              <w:jc w:val="left"/>
            </w:pPr>
            <w:r>
              <w:t xml:space="preserve">Diligencia debida, contratación, supervisión, salida</w:t>
            </w:r>
          </w:p>
        </w:tc>
        <w:tc>
          <w:tcPr/>
          <w:p>
            <w:pPr>
              <w:pStyle w:val="Compact"/>
              <w:jc w:val="left"/>
            </w:pPr>
            <w:r>
              <w:t xml:space="preserve">Funciones de los actores, suficiencia de pruebas, cláusulas de cambio e incidentes, riesgo de dependencia</w:t>
            </w:r>
          </w:p>
        </w:tc>
        <w:tc>
          <w:tcPr/>
          <w:p>
            <w:pPr>
              <w:pStyle w:val="Compact"/>
              <w:jc w:val="left"/>
            </w:pPr>
            <w:r>
              <w:t xml:space="preserve">Evaluar a los proveedores, negociar controles, hacer un seguimiento de la rehabilitación, invocar los derechos de salida</w:t>
            </w:r>
          </w:p>
        </w:tc>
        <w:tc>
          <w:tcPr/>
          <w:p>
            <w:pPr>
              <w:pStyle w:val="Compact"/>
              <w:jc w:val="left"/>
            </w:pPr>
            <w:r>
              <w:t xml:space="preserve">Taller sobre la función y estudio de casos de proveedores</w:t>
            </w:r>
          </w:p>
        </w:tc>
        <w:tc>
          <w:tcPr/>
          <w:p>
            <w:pPr>
              <w:pStyle w:val="Compact"/>
              <w:jc w:val="left"/>
            </w:pPr>
            <w:r>
              <w:t xml:space="preserve">Antes de la función, anual y antes de las adquisiciones críticas</w:t>
            </w:r>
          </w:p>
        </w:tc>
        <w:tc>
          <w:tcPr/>
          <w:p>
            <w:pPr>
              <w:pStyle w:val="Compact"/>
              <w:jc w:val="left"/>
            </w:pPr>
            <w:r>
              <w:t xml:space="preserve">Cuestionario completado, examen del contrato, evaluación</w:t>
            </w:r>
          </w:p>
        </w:tc>
      </w:tr>
      <w:tr>
        <w:tc>
          <w:tcPr/>
          <w:p>
            <w:pPr>
              <w:pStyle w:val="Compact"/>
              <w:jc w:val="left"/>
            </w:pPr>
            <w:r>
              <w:t xml:space="preserve">Legal, cumplimiento, privacidad y seguridad</w:t>
            </w:r>
          </w:p>
        </w:tc>
        <w:tc>
          <w:tcPr/>
          <w:p>
            <w:pPr>
              <w:pStyle w:val="Compact"/>
              <w:jc w:val="left"/>
            </w:pPr>
            <w:r>
              <w:t xml:space="preserve">Aplicabilidad, interpretación, controles, notificaciones, investigaciones, garantías</w:t>
            </w:r>
          </w:p>
        </w:tc>
        <w:tc>
          <w:tcPr/>
          <w:p>
            <w:pPr>
              <w:pStyle w:val="Compact"/>
              <w:jc w:val="left"/>
            </w:pPr>
            <w:r>
              <w:t xml:space="preserve">Disposiciones de la Ley de IA, RGPD y leyes conexas, seguridad, pruebas, interacción con las autoridades</w:t>
            </w:r>
          </w:p>
        </w:tc>
        <w:tc>
          <w:tcPr/>
          <w:p>
            <w:pPr>
              <w:pStyle w:val="Compact"/>
              <w:jc w:val="left"/>
            </w:pPr>
            <w:r>
              <w:t xml:space="preserve">Asesorar, revisar, probar, investigar, escalar, mantener la trazabilidad</w:t>
            </w:r>
          </w:p>
        </w:tc>
        <w:tc>
          <w:tcPr/>
          <w:p>
            <w:pPr>
              <w:pStyle w:val="Compact"/>
              <w:jc w:val="left"/>
            </w:pPr>
            <w:r>
              <w:t xml:space="preserve">Capacitación especializada y reuniones informativas sobre el cambio jurídico</w:t>
            </w:r>
          </w:p>
        </w:tc>
        <w:tc>
          <w:tcPr/>
          <w:p>
            <w:pPr>
              <w:pStyle w:val="Compact"/>
              <w:jc w:val="left"/>
            </w:pPr>
            <w:r>
              <w:t xml:space="preserve">Actualizaciones continuas y asignación específica</w:t>
            </w:r>
          </w:p>
        </w:tc>
        <w:tc>
          <w:tcPr/>
          <w:p>
            <w:pPr>
              <w:pStyle w:val="Compact"/>
              <w:jc w:val="left"/>
            </w:pPr>
            <w:r>
              <w:t xml:space="preserve">Registros de exámenes, ejercicios, pruebas de formación continua</w:t>
            </w:r>
          </w:p>
        </w:tc>
      </w:tr>
      <w:tr>
        <w:tc>
          <w:tcPr/>
          <w:p>
            <w:pPr>
              <w:pStyle w:val="Compact"/>
              <w:jc w:val="left"/>
            </w:pPr>
            <w:r>
              <w:t xml:space="preserve">Auditoría interna y garantías</w:t>
            </w:r>
          </w:p>
        </w:tc>
        <w:tc>
          <w:tcPr/>
          <w:p>
            <w:pPr>
              <w:pStyle w:val="Compact"/>
              <w:jc w:val="left"/>
            </w:pPr>
            <w:r>
              <w:t xml:space="preserve">Planificación independiente, pruebas, informes, validación de cierres</w:t>
            </w:r>
          </w:p>
        </w:tc>
        <w:tc>
          <w:tcPr/>
          <w:p>
            <w:pPr>
              <w:pStyle w:val="Compact"/>
              <w:jc w:val="left"/>
            </w:pPr>
            <w:r>
              <w:t xml:space="preserve">Diseño de controles, fiabilidad de las pruebas, conceptos de garantía técnica, distinción jurídica</w:t>
            </w:r>
          </w:p>
        </w:tc>
        <w:tc>
          <w:tcPr/>
          <w:p>
            <w:pPr>
              <w:pStyle w:val="Compact"/>
              <w:jc w:val="left"/>
            </w:pPr>
            <w:r>
              <w:t xml:space="preserve">Auditorías de alcance, muestra, prueba, desafío, informe, validación</w:t>
            </w:r>
          </w:p>
        </w:tc>
        <w:tc>
          <w:tcPr/>
          <w:p>
            <w:pPr>
              <w:pStyle w:val="Compact"/>
              <w:jc w:val="left"/>
            </w:pPr>
            <w:r>
              <w:t xml:space="preserve">Capacitación específica en materia de auditoría y reuniones de información técnica</w:t>
            </w:r>
          </w:p>
        </w:tc>
        <w:tc>
          <w:tcPr/>
          <w:p>
            <w:pPr>
              <w:pStyle w:val="Compact"/>
              <w:jc w:val="left"/>
            </w:pPr>
            <w:r>
              <w:t xml:space="preserve">Anual y antes de la asignación</w:t>
            </w:r>
          </w:p>
        </w:tc>
        <w:tc>
          <w:tcPr/>
          <w:p>
            <w:pPr>
              <w:pStyle w:val="Compact"/>
              <w:jc w:val="left"/>
            </w:pPr>
            <w:r>
              <w:t xml:space="preserve">Documentos de trabajo, evaluación de la competencia, evaluación de la calidad</w:t>
            </w:r>
          </w:p>
        </w:tc>
      </w:tr>
      <w:tr>
        <w:tc>
          <w:tcPr/>
          <w:p>
            <w:pPr>
              <w:pStyle w:val="Compact"/>
              <w:jc w:val="left"/>
            </w:pPr>
            <w:r>
              <w:t xml:space="preserve">Usuarios y contratistas generales</w:t>
            </w:r>
          </w:p>
        </w:tc>
        <w:tc>
          <w:tcPr/>
          <w:p>
            <w:pPr>
              <w:pStyle w:val="Compact"/>
              <w:jc w:val="left"/>
            </w:pPr>
            <w:r>
              <w:t xml:space="preserve">Uso aprobado, confidencialidad, comprobación de la salida, notificación de incidentes</w:t>
            </w:r>
          </w:p>
        </w:tc>
        <w:tc>
          <w:tcPr/>
          <w:p>
            <w:pPr>
              <w:pStyle w:val="Compact"/>
              <w:jc w:val="left"/>
            </w:pPr>
            <w:r>
              <w:t xml:space="preserve">Herramientas aprobadas, uso prohibido, limitaciones, privacidad, seguridad, transparencia</w:t>
            </w:r>
          </w:p>
        </w:tc>
        <w:tc>
          <w:tcPr/>
          <w:p>
            <w:pPr>
              <w:pStyle w:val="Compact"/>
              <w:jc w:val="left"/>
            </w:pPr>
            <w:r>
              <w:t xml:space="preserve">Utilizar de forma segura, verificar las salidas, evitar entradas sensibles, informar de problemas</w:t>
            </w:r>
          </w:p>
        </w:tc>
        <w:tc>
          <w:tcPr/>
          <w:p>
            <w:pPr>
              <w:pStyle w:val="Compact"/>
              <w:jc w:val="left"/>
            </w:pPr>
            <w:r>
              <w:t xml:space="preserve">Incorporación, microaprendizaje, ejemplos de funciones</w:t>
            </w:r>
          </w:p>
        </w:tc>
        <w:tc>
          <w:tcPr/>
          <w:p>
            <w:pPr>
              <w:pStyle w:val="Compact"/>
              <w:jc w:val="left"/>
            </w:pPr>
            <w:r>
              <w:t xml:space="preserve">Antes del acceso, anual, y después de cambios en la política/sistema</w:t>
            </w:r>
          </w:p>
        </w:tc>
        <w:tc>
          <w:tcPr/>
          <w:p>
            <w:pPr>
              <w:pStyle w:val="Compact"/>
              <w:jc w:val="left"/>
            </w:pPr>
            <w:r>
              <w:t xml:space="preserve">Prueba, certificado, registro de acceso</w:t>
            </w:r>
          </w:p>
        </w:tc>
      </w:tr>
    </w:tbl>
    <w:bookmarkEnd w:id="1690"/>
    <w:bookmarkStart w:id="1691" w:name="selección-de-los-programas-de-estudios"/>
    <w:p>
      <w:pPr>
        <w:pStyle w:val="Heading2"/>
      </w:pPr>
      <w:r>
        <w:rPr>
          <w:rStyle w:val="SectionNumber"/>
        </w:rPr>
        <w:t xml:space="preserve">2.276</w:t>
      </w:r>
      <w:r>
        <w:tab/>
      </w:r>
      <w:r>
        <w:t xml:space="preserve">3. Selección de los programas de estudios</w:t>
      </w:r>
    </w:p>
    <w:p>
      <w:pPr>
        <w:pStyle w:val="FirstParagraph"/>
      </w:pPr>
      <w:r>
        <w:t xml:space="preserve">Seleccione proporcionalmente entre:</w:t>
      </w:r>
    </w:p>
    <w:p>
      <w:pPr>
        <w:numPr>
          <w:ilvl w:val="0"/>
          <w:numId w:val="1621"/>
        </w:numPr>
        <w:pStyle w:val="Compact"/>
      </w:pPr>
      <w:r>
        <w:t xml:space="preserve">conceptos, capacidades, limitaciones, incertidumbre y alucinaciones de la IA;</w:t>
      </w:r>
    </w:p>
    <w:p>
      <w:pPr>
        <w:numPr>
          <w:ilvl w:val="0"/>
          <w:numId w:val="1621"/>
        </w:numPr>
        <w:pStyle w:val="Compact"/>
      </w:pPr>
      <w:r>
        <w:t xml:space="preserve">fines previstos, uso autorizado, uso prohibido o restringido y uso indebido previsible;</w:t>
      </w:r>
    </w:p>
    <w:p>
      <w:pPr>
        <w:numPr>
          <w:ilvl w:val="0"/>
          <w:numId w:val="1621"/>
        </w:numPr>
        <w:pStyle w:val="Compact"/>
      </w:pPr>
      <w:r>
        <w:t xml:space="preserve">funciones legales, clasificaciones estatutarias, fechas de aplicación y controles organizativos;</w:t>
      </w:r>
    </w:p>
    <w:p>
      <w:pPr>
        <w:numPr>
          <w:ilvl w:val="0"/>
          <w:numId w:val="1621"/>
        </w:numPr>
        <w:pStyle w:val="Compact"/>
      </w:pPr>
      <w:r>
        <w:t xml:space="preserve">protección de datos, confidencialidad, propiedad intelectual y restricciones a los datos del cliente;</w:t>
      </w:r>
    </w:p>
    <w:p>
      <w:pPr>
        <w:numPr>
          <w:ilvl w:val="0"/>
          <w:numId w:val="1621"/>
        </w:numPr>
        <w:pStyle w:val="Compact"/>
      </w:pPr>
      <w:r>
        <w:t xml:space="preserve">sesgo, igualdad, accesibilidad, derechos fundamentales, niños y personas vulnerables;</w:t>
      </w:r>
    </w:p>
    <w:p>
      <w:pPr>
        <w:numPr>
          <w:ilvl w:val="0"/>
          <w:numId w:val="1621"/>
        </w:numPr>
        <w:pStyle w:val="Compact"/>
      </w:pPr>
      <w:r>
        <w:t xml:space="preserve">supervisión humana, sesgo de automatización, anulación, parada, retroceso, apelación y escalada;</w:t>
      </w:r>
    </w:p>
    <w:p>
      <w:pPr>
        <w:numPr>
          <w:ilvl w:val="0"/>
          <w:numId w:val="1621"/>
        </w:numPr>
        <w:pStyle w:val="Compact"/>
      </w:pPr>
      <w:r>
        <w:t xml:space="preserve">seguridad cibernética, inyección rápida, uso indebido de herramientas, acción agente y notificación de incidentes;</w:t>
      </w:r>
    </w:p>
    <w:p>
      <w:pPr>
        <w:numPr>
          <w:ilvl w:val="0"/>
          <w:numId w:val="1621"/>
        </w:numPr>
        <w:pStyle w:val="Compact"/>
      </w:pPr>
      <w:r>
        <w:t xml:space="preserve">transparencia, avisos, marcado de contenido sintético y comunicación entre las personas afectadas;</w:t>
      </w:r>
    </w:p>
    <w:p>
      <w:pPr>
        <w:numPr>
          <w:ilvl w:val="0"/>
          <w:numId w:val="1621"/>
        </w:numPr>
        <w:pStyle w:val="Compact"/>
      </w:pPr>
      <w:r>
        <w:t xml:space="preserve">documentación, pruebas, registro, gestión del cambio y retención legal;</w:t>
      </w:r>
    </w:p>
    <w:p>
      <w:pPr>
        <w:numPr>
          <w:ilvl w:val="0"/>
          <w:numId w:val="1621"/>
        </w:numPr>
        <w:pStyle w:val="Compact"/>
      </w:pPr>
      <w:r>
        <w:t xml:space="preserve">riesgo del proveedor, supervisión, quejas, medidas correctivas y cooperación en materia de reglamentación.</w:t>
      </w:r>
    </w:p>
    <w:bookmarkEnd w:id="1691"/>
    <w:bookmarkStart w:id="1692" w:name="accesibilidad-y-prestación-de-servicios"/>
    <w:p>
      <w:pPr>
        <w:pStyle w:val="Heading2"/>
      </w:pPr>
      <w:r>
        <w:rPr>
          <w:rStyle w:val="SectionNumber"/>
        </w:rPr>
        <w:t xml:space="preserve">2.277</w:t>
      </w:r>
      <w:r>
        <w:tab/>
      </w:r>
      <w:r>
        <w:t xml:space="preserve">4. Accesibilidad y prestación de servicios</w:t>
      </w:r>
    </w:p>
    <w:p>
      <w:pPr>
        <w:pStyle w:val="FirstParagraph"/>
      </w:pPr>
      <w:r>
        <w:t xml:space="preserve">Proporcionar lenguajes relevantes, ajustes de discapacidad, formatos accesibles, ejemplos basados en roles, escenarios realistas, ejercicios prácticos, práctica supervisada cuando sea necesario, y material de actualización después de incidentes, hallazgos, cambios legales, cambios de proveedores o cambios en el sistema material.</w:t>
      </w:r>
    </w:p>
    <w:bookmarkEnd w:id="1692"/>
    <w:bookmarkStart w:id="1693" w:name="rastreador-de-competencias-y-terminación"/>
    <w:p>
      <w:pPr>
        <w:pStyle w:val="Heading2"/>
      </w:pPr>
      <w:r>
        <w:rPr>
          <w:rStyle w:val="SectionNumber"/>
        </w:rPr>
        <w:t xml:space="preserve">2.278</w:t>
      </w:r>
      <w:r>
        <w:tab/>
      </w:r>
      <w:r>
        <w:t xml:space="preserve">5. Rastreador de competencias y terminación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Persona/grupo</w:t>
            </w:r>
          </w:p>
        </w:tc>
        <w:tc>
          <w:tcPr/>
          <w:p>
            <w:pPr>
              <w:pStyle w:val="Compact"/>
              <w:jc w:val="left"/>
            </w:pPr>
            <w:r>
              <w:t xml:space="preserve">Función</w:t>
            </w:r>
          </w:p>
        </w:tc>
        <w:tc>
          <w:tcPr/>
          <w:p>
            <w:pPr>
              <w:pStyle w:val="Compact"/>
              <w:jc w:val="left"/>
            </w:pPr>
            <w:r>
              <w:t xml:space="preserve">Módulos necesarios</w:t>
            </w:r>
          </w:p>
        </w:tc>
        <w:tc>
          <w:tcPr/>
          <w:p>
            <w:pPr>
              <w:pStyle w:val="Compact"/>
              <w:jc w:val="left"/>
            </w:pPr>
            <w:r>
              <w:t xml:space="preserve">Finalización</w:t>
            </w:r>
          </w:p>
        </w:tc>
        <w:tc>
          <w:tcPr/>
          <w:p>
            <w:pPr>
              <w:pStyle w:val="Compact"/>
              <w:jc w:val="left"/>
            </w:pPr>
            <w:r>
              <w:t xml:space="preserve">Resultado de la competencia</w:t>
            </w:r>
          </w:p>
        </w:tc>
        <w:tc>
          <w:tcPr/>
          <w:p>
            <w:pPr>
              <w:pStyle w:val="Compact"/>
              <w:jc w:val="left"/>
            </w:pPr>
            <w:r>
              <w:t xml:space="preserve">Restricción/supervisión intermedia</w:t>
            </w:r>
          </w:p>
        </w:tc>
        <w:tc>
          <w:tcPr/>
          <w:p>
            <w:pPr>
              <w:pStyle w:val="Compact"/>
              <w:jc w:val="left"/>
            </w:pPr>
            <w:r>
              <w:t xml:space="preserve">Renovación/trigger</w:t>
            </w:r>
          </w:p>
        </w:tc>
        <w:tc>
          <w:tcPr/>
          <w:p>
            <w:pPr>
              <w:pStyle w:val="Compact"/>
              <w:jc w:val="left"/>
            </w:pPr>
            <w:r>
              <w:t xml:space="preserve">Excepciones</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Las funciones de alto impacto deben incluir la validación basada en escenarios o práctica.</w:t>
      </w:r>
    </w:p>
    <w:bookmarkEnd w:id="1693"/>
    <w:bookmarkStart w:id="1694" w:name="medidas-de-eficacia"/>
    <w:p>
      <w:pPr>
        <w:pStyle w:val="Heading2"/>
      </w:pPr>
      <w:r>
        <w:rPr>
          <w:rStyle w:val="SectionNumber"/>
        </w:rPr>
        <w:t xml:space="preserve">2.279</w:t>
      </w:r>
      <w:r>
        <w:tab/>
      </w:r>
      <w:r>
        <w:t xml:space="preserve">6. Medidas de eficacia</w:t>
      </w:r>
    </w:p>
    <w:p>
      <w:pPr>
        <w:pStyle w:val="FirstParagraph"/>
      </w:pPr>
      <w:r>
        <w:t xml:space="preserve">Vía, según proceda:</w:t>
      </w:r>
    </w:p>
    <w:p>
      <w:pPr>
        <w:numPr>
          <w:ilvl w:val="0"/>
          <w:numId w:val="1622"/>
        </w:numPr>
        <w:pStyle w:val="Compact"/>
      </w:pPr>
      <w:r>
        <w:t xml:space="preserve">las tasas de terminación y de retraso;</w:t>
      </w:r>
    </w:p>
    <w:p>
      <w:pPr>
        <w:numPr>
          <w:ilvl w:val="0"/>
          <w:numId w:val="1622"/>
        </w:numPr>
        <w:pStyle w:val="Compact"/>
      </w:pPr>
      <w:r>
        <w:t xml:space="preserve">la evaluación y los resultados del ejercicio práctico;</w:t>
      </w:r>
    </w:p>
    <w:p>
      <w:pPr>
        <w:numPr>
          <w:ilvl w:val="0"/>
          <w:numId w:val="1622"/>
        </w:numPr>
        <w:pStyle w:val="Compact"/>
      </w:pPr>
      <w:r>
        <w:t xml:space="preserve">los incidentes de uso peligroso y las infracciones de las políticas;</w:t>
      </w:r>
    </w:p>
    <w:p>
      <w:pPr>
        <w:numPr>
          <w:ilvl w:val="0"/>
          <w:numId w:val="1622"/>
        </w:numPr>
        <w:pStyle w:val="Compact"/>
      </w:pPr>
      <w:r>
        <w:t xml:space="preserve">la calidad del revisor anulada y aumentada;</w:t>
      </w:r>
    </w:p>
    <w:p>
      <w:pPr>
        <w:numPr>
          <w:ilvl w:val="0"/>
          <w:numId w:val="1622"/>
        </w:numPr>
        <w:pStyle w:val="Compact"/>
      </w:pPr>
      <w:r>
        <w:t xml:space="preserve">los resultados repetidos de las auditorías o los fallos de control;</w:t>
      </w:r>
    </w:p>
    <w:p>
      <w:pPr>
        <w:numPr>
          <w:ilvl w:val="0"/>
          <w:numId w:val="1622"/>
        </w:numPr>
        <w:pStyle w:val="Compact"/>
      </w:pPr>
      <w:r>
        <w:t xml:space="preserve">la confianza de los empleados en la identificación y notificación del riesgo;</w:t>
      </w:r>
    </w:p>
    <w:p>
      <w:pPr>
        <w:numPr>
          <w:ilvl w:val="0"/>
          <w:numId w:val="1622"/>
        </w:numPr>
        <w:pStyle w:val="Compact"/>
      </w:pPr>
      <w:r>
        <w:t xml:space="preserve">accesibilidad y defectos lingüísticos;</w:t>
      </w:r>
    </w:p>
    <w:p>
      <w:pPr>
        <w:numPr>
          <w:ilvl w:val="0"/>
          <w:numId w:val="1622"/>
        </w:numPr>
        <w:pStyle w:val="Compact"/>
      </w:pPr>
      <w:r>
        <w:t xml:space="preserve">mejora del rendimiento tras una rehabilitación específica;</w:t>
      </w:r>
    </w:p>
    <w:p>
      <w:pPr>
        <w:numPr>
          <w:ilvl w:val="0"/>
          <w:numId w:val="1622"/>
        </w:numPr>
        <w:pStyle w:val="Compact"/>
      </w:pPr>
      <w:r>
        <w:t xml:space="preserve">personal limitado de funciones en espera de competencia.</w:t>
      </w:r>
    </w:p>
    <w:bookmarkEnd w:id="1694"/>
    <w:bookmarkStart w:id="1695" w:name="X9634e55855bea0146ebcdb5f33c968e59d35ba3"/>
    <w:p>
      <w:pPr>
        <w:pStyle w:val="Heading2"/>
      </w:pPr>
      <w:r>
        <w:rPr>
          <w:rStyle w:val="SectionNumber"/>
        </w:rPr>
        <w:t xml:space="preserve">2.280</w:t>
      </w:r>
      <w:r>
        <w:tab/>
      </w:r>
      <w:r>
        <w:t xml:space="preserve">7. Gestión de excepciones y medidas correctivas</w:t>
      </w:r>
    </w:p>
    <w:p>
      <w:pPr>
        <w:pStyle w:val="FirstParagraph"/>
      </w:pPr>
      <w:r>
        <w:t xml:space="preserve">Documente excepciones temporales, razones, riesgo, supervisión provisional o restricciones de acceso, propietario de la rehabilitación, fecha de vencimiento, método de validación y autoridad de aprobación. No permita que una excepción renuncie a un deber vinculante o permita que una persona no calificada realice una supervisión de alto impacto sin salvaguardias adecuadas.</w:t>
      </w:r>
    </w:p>
    <w:bookmarkEnd w:id="1695"/>
    <w:bookmarkStart w:id="1696" w:name="homologación-14"/>
    <w:p>
      <w:pPr>
        <w:pStyle w:val="Heading2"/>
      </w:pPr>
      <w:r>
        <w:rPr>
          <w:rStyle w:val="SectionNumber"/>
        </w:rPr>
        <w:t xml:space="preserve">2.281</w:t>
      </w:r>
      <w:r>
        <w:tab/>
      </w:r>
      <w:r>
        <w:t xml:space="preserve">Homologación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Propietario del programa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Recursos humanos y aprendizaje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Patrocinador ejecutivo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Excepciones/controles intermedios:</w:t>
      </w:r>
      <w:r>
        <w:rPr>
          <w:bCs/>
          <w:b/>
        </w:rPr>
        <w:t xml:space="preserve"> </w:t>
      </w:r>
      <w:r>
        <w:t xml:space="preserve">Pedido/fecha de la próxima revisión:**</w:t>
      </w:r>
    </w:p>
    <w:bookmarkEnd w:id="1696"/>
    <w:bookmarkStart w:id="1697" w:name="Xd4a2492477cb9f8b2296e6f9c8206f513b1d65c"/>
    <w:p>
      <w:pPr>
        <w:pStyle w:val="Heading2"/>
      </w:pPr>
      <w:r>
        <w:rPr>
          <w:rStyle w:val="SectionNumber"/>
        </w:rPr>
        <w:t xml:space="preserve">2.282</w:t>
      </w:r>
      <w:r>
        <w:tab/>
      </w:r>
      <w:r>
        <w:t xml:space="preserve">Apéndice R — Plantillas de notificación de transparencia</w:t>
      </w:r>
    </w:p>
    <w:p>
      <w:pPr>
        <w:pStyle w:val="BlockText"/>
      </w:pPr>
      <w:r>
        <w:rPr>
          <w:bCs/>
          <w:b/>
        </w:rPr>
        <w:t xml:space="preserve">Estado legal:</w:t>
      </w:r>
      <w:r>
        <w:t xml:space="preserve"> </w:t>
      </w:r>
      <w:r>
        <w:t xml:space="preserve">Maestro inglés corregido. Seleccione solamente el módulo de aviso activado por el actor, sistema, uso, salida y disposición aplicable. Un aviso genérico de IA no satisface cada Artículo 13, Artículo 26, Artículo 50, privacidad, empleo, consumidor, accesibilidad, o deber sectorial.</w:t>
      </w:r>
    </w:p>
    <w:bookmarkEnd w:id="1697"/>
    <w:bookmarkStart w:id="1698" w:name="finalidad-34"/>
    <w:p>
      <w:pPr>
        <w:pStyle w:val="Heading2"/>
      </w:pPr>
      <w:r>
        <w:rPr>
          <w:rStyle w:val="SectionNumber"/>
        </w:rPr>
        <w:t xml:space="preserve">2.283</w:t>
      </w:r>
      <w:r>
        <w:tab/>
      </w:r>
      <w:r>
        <w:t xml:space="preserve">Finalidad</w:t>
      </w:r>
    </w:p>
    <w:p>
      <w:pPr>
        <w:pStyle w:val="FirstParagraph"/>
      </w:pPr>
      <w:r>
        <w:t xml:space="preserve">Utilice estas plantillas para identificar el disparador de transparencia aplicable, preparar avisos precisos y accesibles, vincularlos a la versión aprobada del sistema, probar si funcionan en el contexto real del usuario y retener pruebas de aprobación e implementación.</w:t>
      </w:r>
    </w:p>
    <w:bookmarkEnd w:id="1698"/>
    <w:bookmarkStart w:id="1699" w:name="registro-de-aplicabilidad-2"/>
    <w:p>
      <w:pPr>
        <w:pStyle w:val="Heading2"/>
      </w:pPr>
      <w:r>
        <w:rPr>
          <w:rStyle w:val="SectionNumber"/>
        </w:rPr>
        <w:t xml:space="preserve">2.284</w:t>
      </w:r>
      <w:r>
        <w:tab/>
      </w:r>
      <w:r>
        <w:t xml:space="preserve">1. Registro de aplicabilidad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Sistema/modelo, ID de inventario, versión/configuración</w:t>
            </w:r>
          </w:p>
        </w:tc>
        <w:tc>
          <w:tcPr/>
          <w:p>
            <w:pPr>
              <w:pStyle w:val="Compact"/>
              <w:jc w:val="left"/>
            </w:pPr>
            <w:r>
              <w:t xml:space="preserve">- No, no.</w:t>
            </w:r>
          </w:p>
        </w:tc>
      </w:tr>
      <w:tr>
        <w:tc>
          <w:tcPr/>
          <w:p>
            <w:pPr>
              <w:pStyle w:val="Compact"/>
              <w:jc w:val="left"/>
            </w:pPr>
            <w:r>
              <w:t xml:space="preserve">Entidad jurídica y función de actor</w:t>
            </w:r>
          </w:p>
        </w:tc>
        <w:tc>
          <w:tcPr/>
          <w:p>
            <w:pPr>
              <w:pStyle w:val="Compact"/>
              <w:jc w:val="left"/>
            </w:pPr>
            <w:r>
              <w:t xml:space="preserve">- No, no.</w:t>
            </w:r>
          </w:p>
        </w:tc>
      </w:tr>
      <w:tr>
        <w:tc>
          <w:tcPr/>
          <w:p>
            <w:pPr>
              <w:pStyle w:val="Compact"/>
              <w:jc w:val="left"/>
            </w:pPr>
            <w:r>
              <w:t xml:space="preserve">Uso previsto, producción, audiencia y personas afectadas</w:t>
            </w:r>
          </w:p>
        </w:tc>
        <w:tc>
          <w:tcPr/>
          <w:p>
            <w:pPr>
              <w:pStyle w:val="Compact"/>
              <w:jc w:val="left"/>
            </w:pPr>
            <w:r>
              <w:t xml:space="preserve">- No, no.</w:t>
            </w:r>
          </w:p>
        </w:tc>
      </w:tr>
      <w:tr>
        <w:tc>
          <w:tcPr/>
          <w:p>
            <w:pPr>
              <w:pStyle w:val="Compact"/>
              <w:jc w:val="left"/>
            </w:pPr>
            <w:r>
              <w:t xml:space="preserve">Competencia e idioma</w:t>
            </w:r>
          </w:p>
        </w:tc>
        <w:tc>
          <w:tcPr/>
          <w:p>
            <w:pPr>
              <w:pStyle w:val="Compact"/>
              <w:jc w:val="left"/>
            </w:pPr>
            <w:r>
              <w:t xml:space="preserve">- No, no.</w:t>
            </w:r>
          </w:p>
        </w:tc>
      </w:tr>
      <w:tr>
        <w:tc>
          <w:tcPr/>
          <w:p>
            <w:pPr>
              <w:pStyle w:val="Compact"/>
              <w:jc w:val="left"/>
            </w:pPr>
            <w:r>
              <w:t xml:space="preserve">Disposición de activación u otra base jurídica</w:t>
            </w:r>
          </w:p>
        </w:tc>
        <w:tc>
          <w:tcPr/>
          <w:p>
            <w:pPr>
              <w:pStyle w:val="Compact"/>
              <w:jc w:val="left"/>
            </w:pPr>
            <w:r>
              <w:t xml:space="preserve">- No, no.</w:t>
            </w:r>
          </w:p>
        </w:tc>
      </w:tr>
      <w:tr>
        <w:tc>
          <w:tcPr/>
          <w:p>
            <w:pPr>
              <w:pStyle w:val="Compact"/>
              <w:jc w:val="left"/>
            </w:pPr>
            <w:r>
              <w:t xml:space="preserve">Fecha de aplicación, excepción o exclusión</w:t>
            </w:r>
          </w:p>
        </w:tc>
        <w:tc>
          <w:tcPr/>
          <w:p>
            <w:pPr>
              <w:pStyle w:val="Compact"/>
              <w:jc w:val="left"/>
            </w:pPr>
            <w:r>
              <w:t xml:space="preserve">- No, no.</w:t>
            </w:r>
          </w:p>
        </w:tc>
      </w:tr>
      <w:tr>
        <w:tc>
          <w:tcPr/>
          <w:p>
            <w:pPr>
              <w:pStyle w:val="Compact"/>
              <w:jc w:val="left"/>
            </w:pPr>
            <w:r>
              <w:t xml:space="preserve">Titular de la notificación y aprobador</w:t>
            </w:r>
          </w:p>
        </w:tc>
        <w:tc>
          <w:tcPr/>
          <w:p>
            <w:pPr>
              <w:pStyle w:val="Compact"/>
              <w:jc w:val="left"/>
            </w:pPr>
            <w:r>
              <w:t xml:space="preserve">- No, no.</w:t>
            </w:r>
          </w:p>
        </w:tc>
      </w:tr>
      <w:tr>
        <w:tc>
          <w:tcPr/>
          <w:p>
            <w:pPr>
              <w:pStyle w:val="Compact"/>
              <w:jc w:val="left"/>
            </w:pPr>
            <w:r>
              <w:t xml:space="preserve">Canal de entrega y cronograma</w:t>
            </w:r>
          </w:p>
        </w:tc>
        <w:tc>
          <w:tcPr/>
          <w:p>
            <w:pPr>
              <w:pStyle w:val="Compact"/>
              <w:jc w:val="left"/>
            </w:pPr>
            <w:r>
              <w:t xml:space="preserve">- No, no.</w:t>
            </w:r>
          </w:p>
        </w:tc>
      </w:tr>
    </w:tbl>
    <w:bookmarkEnd w:id="1699"/>
    <w:bookmarkStart w:id="1700" w:name="módulo-a---interacción-humana-con-ai"/>
    <w:p>
      <w:pPr>
        <w:pStyle w:val="Heading2"/>
      </w:pPr>
      <w:r>
        <w:rPr>
          <w:rStyle w:val="SectionNumber"/>
        </w:rPr>
        <w:t xml:space="preserve">2.285</w:t>
      </w:r>
      <w:r>
        <w:tab/>
      </w:r>
      <w:r>
        <w:t xml:space="preserve">2. Módulo A - Interacción humana con AI</w:t>
      </w:r>
    </w:p>
    <w:p>
      <w:pPr>
        <w:pStyle w:val="FirstParagraph"/>
      </w:pPr>
      <w:r>
        <w:t xml:space="preserve">Indique claramente y en el momento oportuno que la persona está interactuando con un sistema de IA, a menos que esto sea obvio para una persona razonablemente bien informada, observadora y prudente en las circunstancias u otra excepción legal se aplica.</w:t>
      </w:r>
    </w:p>
    <w:p>
      <w:pPr>
        <w:pStyle w:val="BodyText"/>
      </w:pPr>
      <w:r>
        <w:t xml:space="preserve">Campos sugeridos:</w:t>
      </w:r>
    </w:p>
    <w:p>
      <w:pPr>
        <w:numPr>
          <w:ilvl w:val="0"/>
          <w:numId w:val="1623"/>
        </w:numPr>
        <w:pStyle w:val="Compact"/>
      </w:pPr>
      <w:r>
        <w:t xml:space="preserve">organización responsable;</w:t>
      </w:r>
    </w:p>
    <w:p>
      <w:pPr>
        <w:numPr>
          <w:ilvl w:val="0"/>
          <w:numId w:val="1623"/>
        </w:numPr>
        <w:pStyle w:val="Compact"/>
      </w:pPr>
      <w:r>
        <w:t xml:space="preserve">la finalidad de la interacción;</w:t>
      </w:r>
    </w:p>
    <w:p>
      <w:pPr>
        <w:numPr>
          <w:ilvl w:val="0"/>
          <w:numId w:val="1623"/>
        </w:numPr>
        <w:pStyle w:val="Compact"/>
      </w:pPr>
      <w:r>
        <w:t xml:space="preserve">la disponibilidad de un ser humano;</w:t>
      </w:r>
    </w:p>
    <w:p>
      <w:pPr>
        <w:numPr>
          <w:ilvl w:val="0"/>
          <w:numId w:val="1623"/>
        </w:numPr>
        <w:pStyle w:val="Compact"/>
      </w:pPr>
      <w:r>
        <w:t xml:space="preserve">la forma de solicitar asistencia humana;</w:t>
      </w:r>
    </w:p>
    <w:p>
      <w:pPr>
        <w:numPr>
          <w:ilvl w:val="0"/>
          <w:numId w:val="1623"/>
        </w:numPr>
        <w:pStyle w:val="Compact"/>
      </w:pPr>
      <w:r>
        <w:t xml:space="preserve">limitaciones materiales pertinentes a la interacción;</w:t>
      </w:r>
    </w:p>
    <w:p>
      <w:pPr>
        <w:numPr>
          <w:ilvl w:val="0"/>
          <w:numId w:val="1623"/>
        </w:numPr>
        <w:pStyle w:val="Compact"/>
      </w:pPr>
      <w:r>
        <w:t xml:space="preserve">privacidad, quejas, accesibilidad e incidentes de contactos.</w:t>
      </w:r>
    </w:p>
    <w:bookmarkEnd w:id="1700"/>
    <w:bookmarkStart w:id="1701" w:name="Xbdeed4f260122c22b8d5915605049db8aaa43af"/>
    <w:p>
      <w:pPr>
        <w:pStyle w:val="Heading2"/>
      </w:pPr>
      <w:r>
        <w:rPr>
          <w:rStyle w:val="SectionNumber"/>
        </w:rPr>
        <w:t xml:space="preserve">2.286</w:t>
      </w:r>
      <w:r>
        <w:tab/>
      </w:r>
      <w:r>
        <w:t xml:space="preserve">3. Módulo B - Instrucciones de alto riesgo e información sobre el despliegue</w:t>
      </w:r>
    </w:p>
    <w:p>
      <w:pPr>
        <w:pStyle w:val="FirstParagraph"/>
      </w:pPr>
      <w:r>
        <w:t xml:space="preserve">Proporcionar o poner en funcionamiento las instrucciones, capacidades, limitaciones, precisión esperada, propósito previsto, requisitos de entrada, medidas de supervisión humana, registro, mantenimiento, uso indebido previsible y otra información requerida para la relación proveedor/desplegador pertinente.</w:t>
      </w:r>
    </w:p>
    <w:p>
      <w:pPr>
        <w:pStyle w:val="BodyText"/>
      </w:pPr>
      <w:r>
        <w:t xml:space="preserve">Confirme que la información orientada al despliegue coincide con el sistema liberado y está a disposición de las personas responsables de la operación, supervisión, supervisión, respuesta a incidentes y comunicación entre las personas afectadas.</w:t>
      </w:r>
    </w:p>
    <w:bookmarkEnd w:id="1701"/>
    <w:bookmarkStart w:id="1702" w:name="X28e69877df35d2bcc19f92a1881f294e5d6c658"/>
    <w:p>
      <w:pPr>
        <w:pStyle w:val="Heading2"/>
      </w:pPr>
      <w:r>
        <w:rPr>
          <w:rStyle w:val="SectionNumber"/>
        </w:rPr>
        <w:t xml:space="preserve">2.287</w:t>
      </w:r>
      <w:r>
        <w:tab/>
      </w:r>
      <w:r>
        <w:t xml:space="preserve">4. Módulo C - Contenido generado o manipulado por IA</w:t>
      </w:r>
    </w:p>
    <w:p>
      <w:pPr>
        <w:pStyle w:val="FirstParagraph"/>
      </w:pPr>
      <w:r>
        <w:t xml:space="preserve">Grabación:</w:t>
      </w:r>
    </w:p>
    <w:p>
      <w:pPr>
        <w:numPr>
          <w:ilvl w:val="0"/>
          <w:numId w:val="1624"/>
        </w:numPr>
        <w:pStyle w:val="Compact"/>
      </w:pPr>
      <w:r>
        <w:t xml:space="preserve">capacidad de marcado del proveedor;</w:t>
      </w:r>
    </w:p>
    <w:p>
      <w:pPr>
        <w:numPr>
          <w:ilvl w:val="0"/>
          <w:numId w:val="1624"/>
        </w:numPr>
        <w:pStyle w:val="Compact"/>
      </w:pPr>
      <w:r>
        <w:t xml:space="preserve">formato legible por máquina;</w:t>
      </w:r>
    </w:p>
    <w:p>
      <w:pPr>
        <w:numPr>
          <w:ilvl w:val="0"/>
          <w:numId w:val="1624"/>
        </w:numPr>
        <w:pStyle w:val="Compact"/>
      </w:pPr>
      <w:r>
        <w:t xml:space="preserve">viabilidad técnica, robustez, fiabilidad e interoperabilidad;</w:t>
      </w:r>
    </w:p>
    <w:p>
      <w:pPr>
        <w:numPr>
          <w:ilvl w:val="0"/>
          <w:numId w:val="1624"/>
        </w:numPr>
        <w:pStyle w:val="Compact"/>
      </w:pPr>
      <w:r>
        <w:t xml:space="preserve">tipo de contenido y canal de salida;</w:t>
      </w:r>
    </w:p>
    <w:p>
      <w:pPr>
        <w:numPr>
          <w:ilvl w:val="0"/>
          <w:numId w:val="1624"/>
        </w:numPr>
        <w:pStyle w:val="Compact"/>
      </w:pPr>
      <w:r>
        <w:t xml:space="preserve">obligación de divulgación del despliegue;</w:t>
      </w:r>
    </w:p>
    <w:p>
      <w:pPr>
        <w:numPr>
          <w:ilvl w:val="0"/>
          <w:numId w:val="1624"/>
        </w:numPr>
        <w:pStyle w:val="Compact"/>
      </w:pPr>
      <w:r>
        <w:t xml:space="preserve">la visibilidad y el momento de la divulgación;</w:t>
      </w:r>
    </w:p>
    <w:p>
      <w:pPr>
        <w:numPr>
          <w:ilvl w:val="0"/>
          <w:numId w:val="1624"/>
        </w:numPr>
        <w:pStyle w:val="Compact"/>
      </w:pPr>
      <w:r>
        <w:t xml:space="preserve">persistencia tras el tratamiento ordinario;</w:t>
      </w:r>
    </w:p>
    <w:p>
      <w:pPr>
        <w:numPr>
          <w:ilvl w:val="0"/>
          <w:numId w:val="1624"/>
        </w:numPr>
        <w:pStyle w:val="Compact"/>
      </w:pPr>
      <w:r>
        <w:t xml:space="preserve">excepciones legales o tratamiento de responsabilidad editorial.</w:t>
      </w:r>
    </w:p>
    <w:p>
      <w:pPr>
        <w:pStyle w:val="FirstParagraph"/>
      </w:pPr>
      <w:r>
        <w:t xml:space="preserve">Distinguir textos falsos, de interés público y otros casos de contenido sintético. No asuma que una etiqueta satisface cada contexto de salida y uso.</w:t>
      </w:r>
    </w:p>
    <w:bookmarkEnd w:id="1702"/>
    <w:bookmarkStart w:id="1703" w:name="X44b06dba2ecb8d59bcb8de4a3040c1cdd7228f2"/>
    <w:p>
      <w:pPr>
        <w:pStyle w:val="Heading2"/>
      </w:pPr>
      <w:r>
        <w:rPr>
          <w:rStyle w:val="SectionNumber"/>
        </w:rPr>
        <w:t xml:space="preserve">2.288</w:t>
      </w:r>
      <w:r>
        <w:tab/>
      </w:r>
      <w:r>
        <w:t xml:space="preserve">5. Módulo D - Reconocimiento de emociones o categorización biométrica</w:t>
      </w:r>
    </w:p>
    <w:p>
      <w:pPr>
        <w:pStyle w:val="FirstParagraph"/>
      </w:pPr>
      <w:r>
        <w:t xml:space="preserve">Informar a las personas físicas expuestas cuando sea aplicable el desencadenante legal. Coordinar el aviso con:</w:t>
      </w:r>
    </w:p>
    <w:p>
      <w:pPr>
        <w:numPr>
          <w:ilvl w:val="0"/>
          <w:numId w:val="1625"/>
        </w:numPr>
        <w:pStyle w:val="Compact"/>
      </w:pPr>
      <w:r>
        <w:t xml:space="preserve">la detección de prácticas prohibidas;</w:t>
      </w:r>
    </w:p>
    <w:p>
      <w:pPr>
        <w:numPr>
          <w:ilvl w:val="0"/>
          <w:numId w:val="1625"/>
        </w:numPr>
        <w:pStyle w:val="Compact"/>
      </w:pPr>
      <w:r>
        <w:t xml:space="preserve">clasificación de alto riesgo;</w:t>
      </w:r>
    </w:p>
    <w:p>
      <w:pPr>
        <w:numPr>
          <w:ilvl w:val="0"/>
          <w:numId w:val="1625"/>
        </w:numPr>
        <w:pStyle w:val="Compact"/>
      </w:pPr>
      <w:r>
        <w:t xml:space="preserve">privacidad y análisis de datos de categorías especiales;</w:t>
      </w:r>
    </w:p>
    <w:p>
      <w:pPr>
        <w:numPr>
          <w:ilvl w:val="0"/>
          <w:numId w:val="1625"/>
        </w:numPr>
        <w:pStyle w:val="Compact"/>
      </w:pPr>
      <w:r>
        <w:t xml:space="preserve">el empleo, la consulta de los trabajadores, la educación, la igualdad y las obligaciones sectoriales;</w:t>
      </w:r>
    </w:p>
    <w:p>
      <w:pPr>
        <w:numPr>
          <w:ilvl w:val="0"/>
          <w:numId w:val="1625"/>
        </w:numPr>
        <w:pStyle w:val="Compact"/>
      </w:pPr>
      <w:r>
        <w:t xml:space="preserve">accesibilidad y requisitos lingüísticos;</w:t>
      </w:r>
    </w:p>
    <w:p>
      <w:pPr>
        <w:numPr>
          <w:ilvl w:val="0"/>
          <w:numId w:val="1625"/>
        </w:numPr>
        <w:pStyle w:val="Compact"/>
      </w:pPr>
      <w:r>
        <w:t xml:space="preserve">denuncias y vías de reparación.</w:t>
      </w:r>
    </w:p>
    <w:bookmarkEnd w:id="1703"/>
    <w:bookmarkStart w:id="1710" w:name="Xc1e7822bdf3a248a444815c6f3b13fa85b16bb5"/>
    <w:p>
      <w:pPr>
        <w:pStyle w:val="Heading2"/>
      </w:pPr>
      <w:r>
        <w:rPr>
          <w:rStyle w:val="SectionNumber"/>
        </w:rPr>
        <w:t xml:space="preserve">2.289</w:t>
      </w:r>
      <w:r>
        <w:tab/>
      </w:r>
      <w:r>
        <w:t xml:space="preserve">6. Campos básicos de anuncios en lenguaje sencillo</w:t>
      </w:r>
    </w:p>
    <w:p>
      <w:pPr>
        <w:pStyle w:val="FirstParagraph"/>
      </w:pPr>
      <w:r>
        <w:t xml:space="preserve">Incluya únicamente lo que es exacto y aplicable:</w:t>
      </w:r>
    </w:p>
    <w:bookmarkStart w:id="1704" w:name="participación-de-la-ia"/>
    <w:p>
      <w:pPr>
        <w:pStyle w:val="Heading3"/>
      </w:pPr>
      <w:r>
        <w:rPr>
          <w:rStyle w:val="SectionNumber"/>
        </w:rPr>
        <w:t xml:space="preserve">2.289.1</w:t>
      </w:r>
      <w:r>
        <w:tab/>
      </w:r>
      <w:r>
        <w:t xml:space="preserve">Participación de la IA</w:t>
      </w:r>
    </w:p>
    <w:p>
      <w:pPr>
        <w:pStyle w:val="FirstParagraph"/>
      </w:pPr>
      <w:r>
        <w:t xml:space="preserve">Explique si la persona está interactuando con IA o si IA apoya un proceso o decisión que la afecte.</w:t>
      </w:r>
    </w:p>
    <w:bookmarkEnd w:id="1704"/>
    <w:bookmarkStart w:id="1705" w:name="finalidad-35"/>
    <w:p>
      <w:pPr>
        <w:pStyle w:val="Heading3"/>
      </w:pPr>
      <w:r>
        <w:rPr>
          <w:rStyle w:val="SectionNumber"/>
        </w:rPr>
        <w:t xml:space="preserve">2.289.2</w:t>
      </w:r>
      <w:r>
        <w:tab/>
      </w:r>
      <w:r>
        <w:t xml:space="preserve">Finalidad</w:t>
      </w:r>
    </w:p>
    <w:p>
      <w:pPr>
        <w:pStyle w:val="FirstParagraph"/>
      </w:pPr>
      <w:r>
        <w:t xml:space="preserve">Explique qué hace el sistema, por qué se está utilizando, qué decisiones, recomendaciones, clasificaciones, contenido o acciones apoya, y si un humano hace o revisa el resultado final.</w:t>
      </w:r>
    </w:p>
    <w:bookmarkEnd w:id="1705"/>
    <w:bookmarkStart w:id="1706" w:name="información-utilizada"/>
    <w:p>
      <w:pPr>
        <w:pStyle w:val="Heading3"/>
      </w:pPr>
      <w:r>
        <w:rPr>
          <w:rStyle w:val="SectionNumber"/>
        </w:rPr>
        <w:t xml:space="preserve">2.289.3</w:t>
      </w:r>
      <w:r>
        <w:tab/>
      </w:r>
      <w:r>
        <w:t xml:space="preserve">Información utilizada</w:t>
      </w:r>
    </w:p>
    <w:p>
      <w:pPr>
        <w:pStyle w:val="FirstParagraph"/>
      </w:pPr>
      <w:r>
        <w:t xml:space="preserve">Describir las principales categorías de información utilizadas y proporcionar el aviso de privacidad pertinente u otra información sobre el uso de datos.</w:t>
      </w:r>
    </w:p>
    <w:bookmarkEnd w:id="1706"/>
    <w:bookmarkStart w:id="1707" w:name="limitaciones-de-materiales"/>
    <w:p>
      <w:pPr>
        <w:pStyle w:val="Heading3"/>
      </w:pPr>
      <w:r>
        <w:rPr>
          <w:rStyle w:val="SectionNumber"/>
        </w:rPr>
        <w:t xml:space="preserve">2.289.4</w:t>
      </w:r>
      <w:r>
        <w:tab/>
      </w:r>
      <w:r>
        <w:t xml:space="preserve">Limitaciones de materiales</w:t>
      </w:r>
    </w:p>
    <w:p>
      <w:pPr>
        <w:pStyle w:val="FirstParagraph"/>
      </w:pPr>
      <w:r>
        <w:t xml:space="preserve">Explique los errores previsibles, la incertidumbre, los límites de rendimiento conocidos, las limitaciones de lenguaje o accesibilidad, los usos no justificados y las circunstancias en las que no se debe confiar en el sistema.</w:t>
      </w:r>
    </w:p>
    <w:bookmarkEnd w:id="1707"/>
    <w:bookmarkStart w:id="1708" w:name="revisión-humana-y-recurso"/>
    <w:p>
      <w:pPr>
        <w:pStyle w:val="Heading3"/>
      </w:pPr>
      <w:r>
        <w:rPr>
          <w:rStyle w:val="SectionNumber"/>
        </w:rPr>
        <w:t xml:space="preserve">2.289.5</w:t>
      </w:r>
      <w:r>
        <w:tab/>
      </w:r>
      <w:r>
        <w:t xml:space="preserve">Revisión humana y recurso</w:t>
      </w:r>
    </w:p>
    <w:p>
      <w:pPr>
        <w:pStyle w:val="FirstParagraph"/>
      </w:pPr>
      <w:r>
        <w:t xml:space="preserve">Indicar si se dispone o se requiere una revisión humana y explicar cómo:</w:t>
      </w:r>
    </w:p>
    <w:p>
      <w:pPr>
        <w:numPr>
          <w:ilvl w:val="0"/>
          <w:numId w:val="1626"/>
        </w:numPr>
        <w:pStyle w:val="Compact"/>
      </w:pPr>
      <w:r>
        <w:t xml:space="preserve">solicitar la revisión o corrección;</w:t>
      </w:r>
    </w:p>
    <w:p>
      <w:pPr>
        <w:numPr>
          <w:ilvl w:val="0"/>
          <w:numId w:val="1626"/>
        </w:numPr>
        <w:pStyle w:val="Compact"/>
      </w:pPr>
      <w:r>
        <w:t xml:space="preserve">impugnar o apelar un resultado;</w:t>
      </w:r>
    </w:p>
    <w:p>
      <w:pPr>
        <w:numPr>
          <w:ilvl w:val="0"/>
          <w:numId w:val="1626"/>
        </w:numPr>
        <w:pStyle w:val="Compact"/>
      </w:pPr>
      <w:r>
        <w:t xml:space="preserve">contactar a una persona en lugar de un servicio automatizado;</w:t>
      </w:r>
    </w:p>
    <w:p>
      <w:pPr>
        <w:numPr>
          <w:ilvl w:val="0"/>
          <w:numId w:val="1626"/>
        </w:numPr>
        <w:pStyle w:val="Compact"/>
      </w:pPr>
      <w:r>
        <w:t xml:space="preserve">solicitar apoyo o alojamiento para la accesibilidad;</w:t>
      </w:r>
    </w:p>
    <w:p>
      <w:pPr>
        <w:numPr>
          <w:ilvl w:val="0"/>
          <w:numId w:val="1626"/>
        </w:numPr>
        <w:pStyle w:val="Compact"/>
      </w:pPr>
      <w:r>
        <w:t xml:space="preserve">presentar una denuncia o informar de un incidente.</w:t>
      </w:r>
    </w:p>
    <w:bookmarkEnd w:id="1708"/>
    <w:bookmarkStart w:id="1709" w:name="mesa-de-contacto"/>
    <w:p>
      <w:pPr>
        <w:pStyle w:val="Heading3"/>
      </w:pPr>
      <w:r>
        <w:rPr>
          <w:rStyle w:val="SectionNumber"/>
        </w:rPr>
        <w:t xml:space="preserve">2.289.6</w:t>
      </w:r>
      <w:r>
        <w:tab/>
      </w:r>
      <w:r>
        <w:t xml:space="preserve">Mesa de contacto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Finalidad del contacto</w:t>
            </w:r>
          </w:p>
        </w:tc>
        <w:tc>
          <w:tcPr/>
          <w:p>
            <w:pPr>
              <w:pStyle w:val="Compact"/>
              <w:jc w:val="left"/>
            </w:pPr>
            <w:r>
              <w:t xml:space="preserve">Detalles</w:t>
            </w:r>
          </w:p>
        </w:tc>
      </w:tr>
      <w:tr>
        <w:tc>
          <w:tcPr/>
          <w:p>
            <w:pPr>
              <w:pStyle w:val="Compact"/>
              <w:jc w:val="left"/>
            </w:pPr>
            <w:r>
              <w:t xml:space="preserve">Cuestiones generales</w:t>
            </w:r>
          </w:p>
        </w:tc>
        <w:tc>
          <w:tcPr/>
          <w:p>
            <w:pPr>
              <w:pStyle w:val="Compact"/>
              <w:jc w:val="left"/>
            </w:pPr>
            <w:r>
              <w:t xml:space="preserve">- No, no.</w:t>
            </w:r>
          </w:p>
        </w:tc>
      </w:tr>
      <w:tr>
        <w:tc>
          <w:tcPr/>
          <w:p>
            <w:pPr>
              <w:pStyle w:val="Compact"/>
              <w:jc w:val="left"/>
            </w:pPr>
            <w:r>
              <w:t xml:space="preserve">Revisión humana, recusación o apelación</w:t>
            </w:r>
          </w:p>
        </w:tc>
        <w:tc>
          <w:tcPr/>
          <w:p>
            <w:pPr>
              <w:pStyle w:val="Compact"/>
              <w:jc w:val="left"/>
            </w:pPr>
            <w:r>
              <w:t xml:space="preserve">- No, no.</w:t>
            </w:r>
          </w:p>
        </w:tc>
      </w:tr>
      <w:tr>
        <w:tc>
          <w:tcPr/>
          <w:p>
            <w:pPr>
              <w:pStyle w:val="Compact"/>
              <w:jc w:val="left"/>
            </w:pPr>
            <w:r>
              <w:t xml:space="preserve">Solicitud de privacidad</w:t>
            </w:r>
          </w:p>
        </w:tc>
        <w:tc>
          <w:tcPr/>
          <w:p>
            <w:pPr>
              <w:pStyle w:val="Compact"/>
              <w:jc w:val="left"/>
            </w:pPr>
            <w:r>
              <w:t xml:space="preserve">- No, no.</w:t>
            </w:r>
          </w:p>
        </w:tc>
      </w:tr>
      <w:tr>
        <w:tc>
          <w:tcPr/>
          <w:p>
            <w:pPr>
              <w:pStyle w:val="Compact"/>
              <w:jc w:val="left"/>
            </w:pPr>
            <w:r>
              <w:t xml:space="preserve">Accesibilidad o soporte lingüístico</w:t>
            </w:r>
          </w:p>
        </w:tc>
        <w:tc>
          <w:tcPr/>
          <w:p>
            <w:pPr>
              <w:pStyle w:val="Compact"/>
              <w:jc w:val="left"/>
            </w:pPr>
            <w:r>
              <w:t xml:space="preserve">- No, no.</w:t>
            </w:r>
          </w:p>
        </w:tc>
      </w:tr>
      <w:tr>
        <w:tc>
          <w:tcPr/>
          <w:p>
            <w:pPr>
              <w:pStyle w:val="Compact"/>
              <w:jc w:val="left"/>
            </w:pPr>
            <w:r>
              <w:t xml:space="preserve">Denuncia o incidente</w:t>
            </w:r>
          </w:p>
        </w:tc>
        <w:tc>
          <w:tcPr/>
          <w:p>
            <w:pPr>
              <w:pStyle w:val="Compact"/>
              <w:jc w:val="left"/>
            </w:pPr>
            <w:r>
              <w:t xml:space="preserve">- No, no.</w:t>
            </w:r>
          </w:p>
        </w:tc>
      </w:tr>
    </w:tbl>
    <w:bookmarkEnd w:id="1709"/>
    <w:bookmarkEnd w:id="1710"/>
    <w:bookmarkStart w:id="1711" w:name="X228d8b20398be24f7e960d10648ae328d8df825"/>
    <w:p>
      <w:pPr>
        <w:pStyle w:val="Heading2"/>
      </w:pPr>
      <w:r>
        <w:rPr>
          <w:rStyle w:val="SectionNumber"/>
        </w:rPr>
        <w:t xml:space="preserve">2.290</w:t>
      </w:r>
      <w:r>
        <w:tab/>
      </w:r>
      <w:r>
        <w:t xml:space="preserve">7. Lista de comprobación de la calidad y las pruebas</w:t>
      </w:r>
    </w:p>
    <w:p>
      <w:pPr>
        <w:numPr>
          <w:ilvl w:val="0"/>
          <w:numId w:val="1627"/>
        </w:numPr>
        <w:pStyle w:val="Compact"/>
      </w:pPr>
      <w:r>
        <w:t xml:space="preserve">☐ Entregado antes o en el momento oportuno desde el punto de vista jurídico y operacional.</w:t>
      </w:r>
    </w:p>
    <w:p>
      <w:pPr>
        <w:numPr>
          <w:ilvl w:val="0"/>
          <w:numId w:val="1627"/>
        </w:numPr>
        <w:pStyle w:val="Compact"/>
      </w:pPr>
      <w:r>
        <w:t xml:space="preserve">☐ Clara, concisa, comprensible, y no oculta entre términos no relacionados.</w:t>
      </w:r>
    </w:p>
    <w:p>
      <w:pPr>
        <w:numPr>
          <w:ilvl w:val="0"/>
          <w:numId w:val="1627"/>
        </w:numPr>
        <w:pStyle w:val="Compact"/>
      </w:pPr>
      <w:r>
        <w:t xml:space="preserve">☐ Accesible a las personas con discapacidad y disponible en los idiomas pertinentes.</w:t>
      </w:r>
    </w:p>
    <w:p>
      <w:pPr>
        <w:numPr>
          <w:ilvl w:val="0"/>
          <w:numId w:val="1627"/>
        </w:numPr>
        <w:pStyle w:val="Compact"/>
      </w:pPr>
      <w:r>
        <w:t xml:space="preserve">☐ Consistente con el comportamiento real del sistema, propósito previsto y limitaciones.</w:t>
      </w:r>
    </w:p>
    <w:p>
      <w:pPr>
        <w:numPr>
          <w:ilvl w:val="0"/>
          <w:numId w:val="1627"/>
        </w:numPr>
        <w:pStyle w:val="Compact"/>
      </w:pPr>
      <w:r>
        <w:t xml:space="preserve">☐ No exagera la exactitud, la capacidad, la participación humana o el estatus legal.</w:t>
      </w:r>
    </w:p>
    <w:p>
      <w:pPr>
        <w:numPr>
          <w:ilvl w:val="0"/>
          <w:numId w:val="1627"/>
        </w:numPr>
        <w:pStyle w:val="Compact"/>
      </w:pPr>
      <w:r>
        <w:t xml:space="preserve">☐ Las vías de denuncia, revisión, apelación y contacto humano funcionan en la práctica.</w:t>
      </w:r>
    </w:p>
    <w:p>
      <w:pPr>
        <w:numPr>
          <w:ilvl w:val="0"/>
          <w:numId w:val="1627"/>
        </w:numPr>
        <w:pStyle w:val="Compact"/>
      </w:pPr>
      <w:r>
        <w:t xml:space="preserve">☐ Los trabajos de marcado legibles por máquina y persisten cuando procede.</w:t>
      </w:r>
    </w:p>
    <w:p>
      <w:pPr>
        <w:numPr>
          <w:ilvl w:val="0"/>
          <w:numId w:val="1627"/>
        </w:numPr>
        <w:pStyle w:val="Compact"/>
      </w:pPr>
      <w:r>
        <w:t xml:space="preserve">☐ La notificación aprobada está vinculada a la versión y el canal desplegados.</w:t>
      </w:r>
    </w:p>
    <w:p>
      <w:pPr>
        <w:numPr>
          <w:ilvl w:val="0"/>
          <w:numId w:val="1627"/>
        </w:numPr>
        <w:pStyle w:val="Compact"/>
      </w:pPr>
      <w:r>
        <w:t xml:space="preserve">☐ Cambios desencadenan reevaluación y reaprobación.</w:t>
      </w:r>
    </w:p>
    <w:bookmarkEnd w:id="1711"/>
    <w:bookmarkStart w:id="1712" w:name="registro-de-pruebas"/>
    <w:p>
      <w:pPr>
        <w:pStyle w:val="Heading2"/>
      </w:pPr>
      <w:r>
        <w:rPr>
          <w:rStyle w:val="SectionNumber"/>
        </w:rPr>
        <w:t xml:space="preserve">2.291</w:t>
      </w:r>
      <w:r>
        <w:tab/>
      </w:r>
      <w:r>
        <w:t xml:space="preserve">8. Registro de pruebas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Ensayo</w:t>
            </w:r>
          </w:p>
        </w:tc>
        <w:tc>
          <w:tcPr/>
          <w:p>
            <w:pPr>
              <w:pStyle w:val="Compact"/>
              <w:jc w:val="left"/>
            </w:pPr>
            <w:r>
              <w:t xml:space="preserve">Audiencia/canal</w:t>
            </w:r>
          </w:p>
        </w:tc>
        <w:tc>
          <w:tcPr/>
          <w:p>
            <w:pPr>
              <w:pStyle w:val="Compact"/>
              <w:jc w:val="left"/>
            </w:pPr>
            <w:r>
              <w:t xml:space="preserve">Método</w:t>
            </w:r>
          </w:p>
        </w:tc>
        <w:tc>
          <w:tcPr/>
          <w:p>
            <w:pPr>
              <w:pStyle w:val="Compact"/>
              <w:jc w:val="left"/>
            </w:pPr>
            <w:r>
              <w:t xml:space="preserve">Resultado</w:t>
            </w:r>
          </w:p>
        </w:tc>
        <w:tc>
          <w:tcPr/>
          <w:p>
            <w:pPr>
              <w:pStyle w:val="Compact"/>
              <w:jc w:val="left"/>
            </w:pPr>
            <w:r>
              <w:t xml:space="preserve">Defecto/acción</w:t>
            </w:r>
          </w:p>
        </w:tc>
        <w:tc>
          <w:tcPr/>
          <w:p>
            <w:pPr>
              <w:pStyle w:val="Compact"/>
              <w:jc w:val="left"/>
            </w:pPr>
            <w:r>
              <w:t xml:space="preserve">Pruebas</w:t>
            </w:r>
          </w:p>
        </w:tc>
      </w:tr>
      <w:tr>
        <w:tc>
          <w:tcPr/>
          <w:p>
            <w:pPr>
              <w:pStyle w:val="Compact"/>
              <w:jc w:val="left"/>
            </w:pPr>
            <w:r>
              <w:t xml:space="preserve">Calendario y visibilidad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Legibilidad y comprensión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Accesibilidad y tecnología de asistencia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Traducción y localización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Marcado técnico y persistencia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Ruta de contacto humano y de apelación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Coherencia jurídica y operacional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12"/>
    <w:bookmarkStart w:id="1713" w:name="aprobación-1"/>
    <w:p>
      <w:pPr>
        <w:pStyle w:val="Heading2"/>
      </w:pPr>
      <w:r>
        <w:rPr>
          <w:rStyle w:val="SectionNumber"/>
        </w:rPr>
        <w:t xml:space="preserve">2.292</w:t>
      </w:r>
      <w:r>
        <w:tab/>
      </w:r>
      <w:r>
        <w:t xml:space="preserve">9. Aprobación</w:t>
      </w:r>
    </w:p>
    <w:p>
      <w:pPr>
        <w:numPr>
          <w:ilvl w:val="0"/>
          <w:numId w:val="1628"/>
        </w:numPr>
        <w:pStyle w:val="Compact"/>
      </w:pPr>
      <w:r>
        <w:t xml:space="preserve">☐ Módulo reglamentario aplicable aprobado</w:t>
      </w:r>
    </w:p>
    <w:p>
      <w:pPr>
        <w:numPr>
          <w:ilvl w:val="0"/>
          <w:numId w:val="1628"/>
        </w:numPr>
        <w:pStyle w:val="Compact"/>
      </w:pPr>
      <w:r>
        <w:t xml:space="preserve">☐ Notificación voluntaria/de organización aprobada</w:t>
      </w:r>
    </w:p>
    <w:p>
      <w:pPr>
        <w:numPr>
          <w:ilvl w:val="0"/>
          <w:numId w:val="1628"/>
        </w:numPr>
        <w:pStyle w:val="Compact"/>
      </w:pPr>
      <w:r>
        <w:t xml:space="preserve">☐ Aprobado con condiciones</w:t>
      </w:r>
    </w:p>
    <w:p>
      <w:pPr>
        <w:numPr>
          <w:ilvl w:val="0"/>
          <w:numId w:val="1628"/>
        </w:numPr>
        <w:pStyle w:val="Compact"/>
      </w:pPr>
      <w:r>
        <w:t xml:space="preserve">☐ No se requiere notificación — justificación documentada</w:t>
      </w:r>
    </w:p>
    <w:p>
      <w:pPr>
        <w:numPr>
          <w:ilvl w:val="0"/>
          <w:numId w:val="1628"/>
        </w:numPr>
        <w:pStyle w:val="Compact"/>
      </w:pPr>
      <w:r>
        <w:t xml:space="preserve">☐ Se requiere una revisión legal calificada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Empresa/propietario del producto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Privacidad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Accesibilidad/comunicaciones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Excepción/razón de no aplicación:</w:t>
      </w:r>
      <w:r>
        <w:rPr>
          <w:bCs/>
          <w:b/>
        </w:rPr>
        <w:t xml:space="preserve"> </w:t>
      </w:r>
      <w:r>
        <w:t xml:space="preserve">Pedido/fecha de la próxima revisión:**</w:t>
      </w:r>
    </w:p>
    <w:bookmarkEnd w:id="1713"/>
    <w:bookmarkStart w:id="1714" w:name="X6c21f1f0a91d5a9d113ea994307a92ad77666c7"/>
    <w:p>
      <w:pPr>
        <w:pStyle w:val="Heading2"/>
      </w:pPr>
      <w:r>
        <w:rPr>
          <w:rStyle w:val="SectionNumber"/>
        </w:rPr>
        <w:t xml:space="preserve">2.293</w:t>
      </w:r>
      <w:r>
        <w:tab/>
      </w:r>
      <w:r>
        <w:t xml:space="preserve">Apéndice S — Evaluación del cambio de modelo</w:t>
      </w:r>
    </w:p>
    <w:p>
      <w:pPr>
        <w:pStyle w:val="BlockText"/>
      </w:pPr>
      <w:r>
        <w:rPr>
          <w:bCs/>
          <w:b/>
        </w:rPr>
        <w:t xml:space="preserve">Estado legal:</w:t>
      </w:r>
      <w:r>
        <w:t xml:space="preserve"> </w:t>
      </w:r>
      <w:r>
        <w:t xml:space="preserve">Maestro inglés corregido. Esta evaluación distingue el cambio controlado ordinario, cambio operacional material, cambio de propósito, cambio de rol del proveedor y posible modificación sustancial. No determina por sí mismo el estatus legal.</w:t>
      </w:r>
    </w:p>
    <w:bookmarkEnd w:id="1714"/>
    <w:bookmarkStart w:id="1715" w:name="finalidad-36"/>
    <w:p>
      <w:pPr>
        <w:pStyle w:val="Heading2"/>
      </w:pPr>
      <w:r>
        <w:rPr>
          <w:rStyle w:val="SectionNumber"/>
        </w:rPr>
        <w:t xml:space="preserve">2.294</w:t>
      </w:r>
      <w:r>
        <w:tab/>
      </w:r>
      <w:r>
        <w:t xml:space="preserve">Finalidad</w:t>
      </w:r>
    </w:p>
    <w:p>
      <w:pPr>
        <w:pStyle w:val="FirstParagraph"/>
      </w:pPr>
      <w:r>
        <w:t xml:space="preserve">Utilice esta evaluación antes de implementar una nueva versión de modelo, cambio de proveedor, actualización de ajuste, cambio rápido o de herramienta, cambio de recuperación, cambio de datos, cambio de configuración, cambio de filtro de seguridad, cambio de alojamiento o cambio de capacidad material.</w:t>
      </w:r>
    </w:p>
    <w:bookmarkEnd w:id="1715"/>
    <w:bookmarkStart w:id="1716" w:name="cambiar-el-registro"/>
    <w:p>
      <w:pPr>
        <w:pStyle w:val="Heading2"/>
      </w:pPr>
      <w:r>
        <w:rPr>
          <w:rStyle w:val="SectionNumber"/>
        </w:rPr>
        <w:t xml:space="preserve">2.295</w:t>
      </w:r>
      <w:r>
        <w:tab/>
      </w:r>
      <w:r>
        <w:t xml:space="preserve">1. Cambiar el registro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ID del sistema/inventario</w:t>
            </w:r>
          </w:p>
        </w:tc>
        <w:tc>
          <w:tcPr/>
          <w:p>
            <w:pPr>
              <w:pStyle w:val="Compact"/>
              <w:jc w:val="left"/>
            </w:pPr>
            <w:r>
              <w:t xml:space="preserve">- No, no.</w:t>
            </w:r>
          </w:p>
        </w:tc>
      </w:tr>
      <w:tr>
        <w:tc>
          <w:tcPr/>
          <w:p>
            <w:pPr>
              <w:pStyle w:val="Compact"/>
              <w:jc w:val="left"/>
            </w:pPr>
            <w:r>
              <w:t xml:space="preserve">Modelo/versión/configuración actual y propuesto</w:t>
            </w:r>
          </w:p>
        </w:tc>
        <w:tc>
          <w:tcPr/>
          <w:p>
            <w:pPr>
              <w:pStyle w:val="Compact"/>
              <w:jc w:val="left"/>
            </w:pPr>
            <w:r>
              <w:t xml:space="preserve">- No, no.</w:t>
            </w:r>
          </w:p>
        </w:tc>
      </w:tr>
      <w:tr>
        <w:tc>
          <w:tcPr/>
          <w:p>
            <w:pPr>
              <w:pStyle w:val="Compact"/>
              <w:jc w:val="left"/>
            </w:pPr>
            <w:r>
              <w:t xml:space="preserve">Entidad jurídica y función de actor</w:t>
            </w:r>
          </w:p>
        </w:tc>
        <w:tc>
          <w:tcPr/>
          <w:p>
            <w:pPr>
              <w:pStyle w:val="Compact"/>
              <w:jc w:val="left"/>
            </w:pPr>
            <w:r>
              <w:t xml:space="preserve">- No, no.</w:t>
            </w:r>
          </w:p>
        </w:tc>
      </w:tr>
      <w:tr>
        <w:tc>
          <w:tcPr/>
          <w:p>
            <w:pPr>
              <w:pStyle w:val="Compact"/>
              <w:jc w:val="left"/>
            </w:pPr>
            <w:r>
              <w:t xml:space="preserve">Finalidad prevista antes/después</w:t>
            </w:r>
          </w:p>
        </w:tc>
        <w:tc>
          <w:tcPr/>
          <w:p>
            <w:pPr>
              <w:pStyle w:val="Compact"/>
              <w:jc w:val="left"/>
            </w:pPr>
            <w:r>
              <w:t xml:space="preserve">- No, no.</w:t>
            </w:r>
          </w:p>
        </w:tc>
      </w:tr>
      <w:tr>
        <w:tc>
          <w:tcPr/>
          <w:p>
            <w:pPr>
              <w:pStyle w:val="Compact"/>
              <w:jc w:val="left"/>
            </w:pPr>
            <w:r>
              <w:t xml:space="preserve">Cambio de propietario y fecha prevista</w:t>
            </w:r>
          </w:p>
        </w:tc>
        <w:tc>
          <w:tcPr/>
          <w:p>
            <w:pPr>
              <w:pStyle w:val="Compact"/>
              <w:jc w:val="left"/>
            </w:pPr>
            <w:r>
              <w:t xml:space="preserve">- No, no.</w:t>
            </w:r>
          </w:p>
        </w:tc>
      </w:tr>
      <w:tr>
        <w:tc>
          <w:tcPr/>
          <w:p>
            <w:pPr>
              <w:pStyle w:val="Compact"/>
              <w:jc w:val="left"/>
            </w:pPr>
            <w:r>
              <w:t xml:space="preserve">Jurisdicciones y poblaciones afectadas</w:t>
            </w:r>
          </w:p>
        </w:tc>
        <w:tc>
          <w:tcPr/>
          <w:p>
            <w:pPr>
              <w:pStyle w:val="Compact"/>
              <w:jc w:val="left"/>
            </w:pPr>
            <w:r>
              <w:t xml:space="preserve">- No, no.</w:t>
            </w:r>
          </w:p>
        </w:tc>
      </w:tr>
      <w:tr>
        <w:tc>
          <w:tcPr/>
          <w:p>
            <w:pPr>
              <w:pStyle w:val="Compact"/>
              <w:jc w:val="left"/>
            </w:pPr>
            <w:r>
              <w:t xml:space="preserve">Fuente jurídica actual/fecha de solicitud</w:t>
            </w:r>
          </w:p>
        </w:tc>
        <w:tc>
          <w:tcPr/>
          <w:p>
            <w:pPr>
              <w:pStyle w:val="Compact"/>
              <w:jc w:val="left"/>
            </w:pPr>
            <w:r>
              <w:t xml:space="preserve">- No, no.</w:t>
            </w:r>
          </w:p>
        </w:tc>
      </w:tr>
      <w:tr>
        <w:tc>
          <w:tcPr/>
          <w:p>
            <w:pPr>
              <w:pStyle w:val="Compact"/>
              <w:jc w:val="left"/>
            </w:pPr>
            <w:r>
              <w:t xml:space="preserve">Ticket de liberación/cambio relacionado</w:t>
            </w:r>
          </w:p>
        </w:tc>
        <w:tc>
          <w:tcPr/>
          <w:p>
            <w:pPr>
              <w:pStyle w:val="Compact"/>
              <w:jc w:val="left"/>
            </w:pPr>
            <w:r>
              <w:t xml:space="preserve">- No, no.</w:t>
            </w:r>
          </w:p>
        </w:tc>
      </w:tr>
    </w:tbl>
    <w:bookmarkEnd w:id="1716"/>
    <w:bookmarkStart w:id="1717" w:name="cambiar-la-descripción-y-el-alcance"/>
    <w:p>
      <w:pPr>
        <w:pStyle w:val="Heading2"/>
      </w:pPr>
      <w:r>
        <w:rPr>
          <w:rStyle w:val="SectionNumber"/>
        </w:rPr>
        <w:t xml:space="preserve">2.296</w:t>
      </w:r>
      <w:r>
        <w:tab/>
      </w:r>
      <w:r>
        <w:t xml:space="preserve">2. Cambiar la descripción y el alcance</w:t>
      </w:r>
    </w:p>
    <w:p>
      <w:pPr>
        <w:pStyle w:val="FirstParagraph"/>
      </w:pPr>
      <w:r>
        <w:t xml:space="preserve">Describir:</w:t>
      </w:r>
    </w:p>
    <w:p>
      <w:pPr>
        <w:numPr>
          <w:ilvl w:val="0"/>
          <w:numId w:val="1629"/>
        </w:numPr>
        <w:pStyle w:val="Compact"/>
      </w:pPr>
      <w:r>
        <w:t xml:space="preserve">qué está cambiando y por qué;</w:t>
      </w:r>
    </w:p>
    <w:p>
      <w:pPr>
        <w:numPr>
          <w:ilvl w:val="0"/>
          <w:numId w:val="1629"/>
        </w:numPr>
        <w:pStyle w:val="Compact"/>
      </w:pPr>
      <w:r>
        <w:t xml:space="preserve">los beneficios esperados y el proceso empresarial afectado;</w:t>
      </w:r>
    </w:p>
    <w:p>
      <w:pPr>
        <w:numPr>
          <w:ilvl w:val="0"/>
          <w:numId w:val="1629"/>
        </w:numPr>
        <w:pStyle w:val="Compact"/>
      </w:pPr>
      <w:r>
        <w:t xml:space="preserve">proveedor/modelo, arquitectura, avisos, instrucciones del sistema, herramientas, agentes, recuperación, datos, umbrales, filtros de seguridad, alojamiento, subprocesadores, interfaces y capacidad autónoma afectada;</w:t>
      </w:r>
    </w:p>
    <w:p>
      <w:pPr>
        <w:numPr>
          <w:ilvl w:val="0"/>
          <w:numId w:val="1629"/>
        </w:numPr>
        <w:pStyle w:val="Compact"/>
      </w:pPr>
      <w:r>
        <w:t xml:space="preserve">usuarios afectados, revisores, clientes, trabajadores u otras personas;</w:t>
      </w:r>
    </w:p>
    <w:p>
      <w:pPr>
        <w:numPr>
          <w:ilvl w:val="0"/>
          <w:numId w:val="1629"/>
        </w:numPr>
        <w:pStyle w:val="Compact"/>
      </w:pPr>
      <w:r>
        <w:t xml:space="preserve">si se producen cambios en la finalidad prevista, el uso real, la marca, la distribución o el control operativo;</w:t>
      </w:r>
    </w:p>
    <w:p>
      <w:pPr>
        <w:numPr>
          <w:ilvl w:val="0"/>
          <w:numId w:val="1629"/>
        </w:numPr>
        <w:pStyle w:val="Compact"/>
      </w:pPr>
      <w:r>
        <w:t xml:space="preserve">si las versiones anteriores pueden conservarse y restaurarse.</w:t>
      </w:r>
    </w:p>
    <w:bookmarkEnd w:id="1717"/>
    <w:bookmarkStart w:id="1718" w:name="examen-jurídico-y-operacional"/>
    <w:p>
      <w:pPr>
        <w:pStyle w:val="Heading2"/>
      </w:pPr>
      <w:r>
        <w:rPr>
          <w:rStyle w:val="SectionNumber"/>
        </w:rPr>
        <w:t xml:space="preserve">2.297</w:t>
      </w:r>
      <w:r>
        <w:tab/>
      </w:r>
      <w:r>
        <w:t xml:space="preserve">3. Examen jurídico y operacional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Zona</w:t>
            </w:r>
          </w:p>
        </w:tc>
        <w:tc>
          <w:tcPr/>
          <w:p>
            <w:pPr>
              <w:pStyle w:val="Compact"/>
              <w:jc w:val="left"/>
            </w:pPr>
            <w:r>
              <w:t xml:space="preserve">Sin impacto</w:t>
            </w:r>
          </w:p>
        </w:tc>
        <w:tc>
          <w:tcPr/>
          <w:p>
            <w:pPr>
              <w:pStyle w:val="Compact"/>
              <w:jc w:val="left"/>
            </w:pPr>
            <w:r>
              <w:t xml:space="preserve">Menor</w:t>
            </w:r>
          </w:p>
        </w:tc>
        <w:tc>
          <w:tcPr/>
          <w:p>
            <w:pPr>
              <w:pStyle w:val="Compact"/>
              <w:jc w:val="left"/>
            </w:pPr>
            <w:r>
              <w:t xml:space="preserve">Material</w:t>
            </w:r>
          </w:p>
        </w:tc>
        <w:tc>
          <w:tcPr/>
          <w:p>
            <w:pPr>
              <w:pStyle w:val="Compact"/>
              <w:jc w:val="left"/>
            </w:pPr>
            <w:r>
              <w:t xml:space="preserve">Revisión jurídica necesaria</w:t>
            </w:r>
          </w:p>
        </w:tc>
        <w:tc>
          <w:tcPr/>
          <w:p>
            <w:pPr>
              <w:pStyle w:val="Compact"/>
              <w:jc w:val="left"/>
            </w:pPr>
            <w:r>
              <w:t xml:space="preserve">Pruebas/racionamiento</w:t>
            </w:r>
          </w:p>
        </w:tc>
      </w:tr>
      <w:tr>
        <w:tc>
          <w:tcPr/>
          <w:p>
            <w:pPr>
              <w:pStyle w:val="Compact"/>
              <w:jc w:val="left"/>
            </w:pPr>
            <w:r>
              <w:t xml:space="preserve">Finalidad prevista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Función de actor o colocación de marca propia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Artículo 5 Riesgo de prácticas prohibidas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Artículo 6/Clasificación de los anexos I o III</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Artículo 6, apartado 3, supuestos de excepción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Posible modificación sustancial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Conformidad, registro, declaración o marcado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Gobernanza, privacidad y uso lícito de los datos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Precisión, fiabilidad, sesgo, seguridad y derechos fundamentales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Supervisión y transparencia humanas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Ciberseguridad, registro, monitoreo y respuesta a incidentes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Vendedor, dependencia, portabilidad y continuidad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Accesibilidad, idioma y despliegue jurisdiccional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18"/>
    <w:bookmarkStart w:id="1719" w:name="validación-requerida"/>
    <w:p>
      <w:pPr>
        <w:pStyle w:val="Heading2"/>
      </w:pPr>
      <w:r>
        <w:rPr>
          <w:rStyle w:val="SectionNumber"/>
        </w:rPr>
        <w:t xml:space="preserve">2.298</w:t>
      </w:r>
      <w:r>
        <w:tab/>
      </w:r>
      <w:r>
        <w:t xml:space="preserve">4. Validación requerida</w:t>
      </w:r>
    </w:p>
    <w:p>
      <w:pPr>
        <w:pStyle w:val="FirstParagraph"/>
      </w:pPr>
      <w:r>
        <w:t xml:space="preserve">Seleccione y defina los criterios de aceptación antes del lanzamiento:</w:t>
      </w:r>
    </w:p>
    <w:p>
      <w:pPr>
        <w:numPr>
          <w:ilvl w:val="0"/>
          <w:numId w:val="1630"/>
        </w:numPr>
        <w:pStyle w:val="Compact"/>
      </w:pPr>
      <w:r>
        <w:t xml:space="preserve">☐ Ensayos de regresión</w:t>
      </w:r>
    </w:p>
    <w:p>
      <w:pPr>
        <w:numPr>
          <w:ilvl w:val="0"/>
          <w:numId w:val="1630"/>
        </w:numPr>
        <w:pStyle w:val="Compact"/>
      </w:pPr>
      <w:r>
        <w:t xml:space="preserve">☐ Pruebas de rendimiento y fiabilidad</w:t>
      </w:r>
    </w:p>
    <w:p>
      <w:pPr>
        <w:numPr>
          <w:ilvl w:val="0"/>
          <w:numId w:val="1630"/>
        </w:numPr>
        <w:pStyle w:val="Compact"/>
      </w:pPr>
      <w:r>
        <w:t xml:space="preserve">☐ Subgrupo, sesgo y pruebas de equidad</w:t>
      </w:r>
    </w:p>
    <w:p>
      <w:pPr>
        <w:numPr>
          <w:ilvl w:val="0"/>
          <w:numId w:val="1630"/>
        </w:numPr>
        <w:pStyle w:val="Compact"/>
      </w:pPr>
      <w:r>
        <w:t xml:space="preserve">☐ Seguridad, mal uso, inyección rápida y pruebas de abuso de herramientas</w:t>
      </w:r>
    </w:p>
    <w:p>
      <w:pPr>
        <w:numPr>
          <w:ilvl w:val="0"/>
          <w:numId w:val="1630"/>
        </w:numPr>
        <w:pStyle w:val="Compact"/>
      </w:pPr>
      <w:r>
        <w:t xml:space="preserve">☐ Supervisión humana, anulación, parada y validación de escalada</w:t>
      </w:r>
    </w:p>
    <w:p>
      <w:pPr>
        <w:numPr>
          <w:ilvl w:val="0"/>
          <w:numId w:val="1630"/>
        </w:numPr>
        <w:pStyle w:val="Compact"/>
      </w:pPr>
      <w:r>
        <w:t xml:space="preserve">☐ Revisión de transparencia, notificación y marcado</w:t>
      </w:r>
    </w:p>
    <w:p>
      <w:pPr>
        <w:numPr>
          <w:ilvl w:val="0"/>
          <w:numId w:val="1630"/>
        </w:numPr>
        <w:pStyle w:val="Compact"/>
      </w:pPr>
      <w:r>
        <w:t xml:space="preserve">☐ Gobernanza de datos y revisión de la privacidad</w:t>
      </w:r>
    </w:p>
    <w:p>
      <w:pPr>
        <w:numPr>
          <w:ilvl w:val="0"/>
          <w:numId w:val="1630"/>
        </w:numPr>
        <w:pStyle w:val="Compact"/>
      </w:pPr>
      <w:r>
        <w:t xml:space="preserve">☐ Resiliencia, retroceso, retroceso, y pruebas de continuidad</w:t>
      </w:r>
    </w:p>
    <w:p>
      <w:pPr>
        <w:numPr>
          <w:ilvl w:val="0"/>
          <w:numId w:val="1630"/>
        </w:numPr>
        <w:pStyle w:val="Compact"/>
      </w:pPr>
      <w:r>
        <w:t xml:space="preserve">☐ Jurisdicción, idioma y pruebas de accesibilidad</w:t>
      </w:r>
    </w:p>
    <w:p>
      <w:pPr>
        <w:numPr>
          <w:ilvl w:val="0"/>
          <w:numId w:val="1630"/>
        </w:numPr>
        <w:pStyle w:val="Compact"/>
      </w:pPr>
      <w:r>
        <w:t xml:space="preserve">☐ Registro, pruebas y validación de monitoreo</w:t>
      </w:r>
    </w:p>
    <w:p>
      <w:pPr>
        <w:numPr>
          <w:ilvl w:val="0"/>
          <w:numId w:val="1630"/>
        </w:numPr>
        <w:pStyle w:val="Compact"/>
      </w:pPr>
      <w:r>
        <w:t xml:space="preserve">☐ Documentación-a-producción versión conciliación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Ensayo</w:t>
            </w:r>
          </w:p>
        </w:tc>
        <w:tc>
          <w:tcPr/>
          <w:p>
            <w:pPr>
              <w:pStyle w:val="Compact"/>
              <w:jc w:val="left"/>
            </w:pPr>
            <w:r>
              <w:t xml:space="preserve">Criterio de aceptación</w:t>
            </w:r>
          </w:p>
        </w:tc>
        <w:tc>
          <w:tcPr/>
          <w:p>
            <w:pPr>
              <w:pStyle w:val="Compact"/>
              <w:jc w:val="left"/>
            </w:pPr>
            <w:r>
              <w:t xml:space="preserve">Resultado</w:t>
            </w:r>
          </w:p>
        </w:tc>
        <w:tc>
          <w:tcPr/>
          <w:p>
            <w:pPr>
              <w:pStyle w:val="Compact"/>
              <w:jc w:val="left"/>
            </w:pPr>
            <w:r>
              <w:t xml:space="preserve">Limitación/defecto</w:t>
            </w:r>
          </w:p>
        </w:tc>
        <w:tc>
          <w:tcPr/>
          <w:p>
            <w:pPr>
              <w:pStyle w:val="Compact"/>
              <w:jc w:val="left"/>
            </w:pPr>
            <w:r>
              <w:t xml:space="preserve">Propietario</w:t>
            </w:r>
          </w:p>
        </w:tc>
        <w:tc>
          <w:tcPr/>
          <w:p>
            <w:pPr>
              <w:pStyle w:val="Compact"/>
              <w:jc w:val="left"/>
            </w:pPr>
            <w:r>
              <w:t xml:space="preserve">Pruebas</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19"/>
    <w:bookmarkStart w:id="1720" w:name="X5e6a9d23e090078f4693aee4c3fa6c5786243ec"/>
    <w:p>
      <w:pPr>
        <w:pStyle w:val="Heading2"/>
      </w:pPr>
      <w:r>
        <w:rPr>
          <w:rStyle w:val="SectionNumber"/>
        </w:rPr>
        <w:t xml:space="preserve">2.299</w:t>
      </w:r>
      <w:r>
        <w:tab/>
      </w:r>
      <w:r>
        <w:t xml:space="preserve">5. Actualización de la documentación y el control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Documento o control</w:t>
            </w:r>
          </w:p>
        </w:tc>
        <w:tc>
          <w:tcPr/>
          <w:p>
            <w:pPr>
              <w:pStyle w:val="Compact"/>
              <w:jc w:val="left"/>
            </w:pPr>
            <w:r>
              <w:t xml:space="preserve">¿Se requiere actualización?</w:t>
            </w:r>
          </w:p>
        </w:tc>
        <w:tc>
          <w:tcPr/>
          <w:p>
            <w:pPr>
              <w:pStyle w:val="Compact"/>
              <w:jc w:val="left"/>
            </w:pPr>
            <w:r>
              <w:t xml:space="preserve">Propietario</w:t>
            </w:r>
          </w:p>
        </w:tc>
        <w:tc>
          <w:tcPr/>
          <w:p>
            <w:pPr>
              <w:pStyle w:val="Compact"/>
              <w:jc w:val="left"/>
            </w:pPr>
            <w:r>
              <w:t xml:space="preserve">Situación</w:t>
            </w:r>
          </w:p>
        </w:tc>
        <w:tc>
          <w:tcPr/>
          <w:p>
            <w:pPr>
              <w:pStyle w:val="Compact"/>
              <w:jc w:val="left"/>
            </w:pPr>
            <w:r>
              <w:t xml:space="preserve">Pruebas</w:t>
            </w:r>
          </w:p>
        </w:tc>
      </w:tr>
      <w:tr>
        <w:tc>
          <w:tcPr/>
          <w:p>
            <w:pPr>
              <w:pStyle w:val="Compact"/>
              <w:jc w:val="left"/>
            </w:pPr>
            <w:r>
              <w:t xml:space="preserve">Inventario y evaluación de funciones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Aplicabilidad/clasificación de alto riesgo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Evaluación de riesgos y FRIA/DPIA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Documentación técnica e historial de versiones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Plan de supervisión humana y capacitación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Aviso de transparencia, instrucciones y marcas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Registros de proveedores, contratos y dependencias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Plan de seguimiento posterior a la comercialización y umbrales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Incidentes, retrocesos, continuidad y procedimientos legales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Conformidad, declaración, registro o prueba de marcaje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20"/>
    <w:bookmarkStart w:id="1721" w:name="decisión-7"/>
    <w:p>
      <w:pPr>
        <w:pStyle w:val="Heading2"/>
      </w:pPr>
      <w:r>
        <w:rPr>
          <w:rStyle w:val="SectionNumber"/>
        </w:rPr>
        <w:t xml:space="preserve">2.300</w:t>
      </w:r>
      <w:r>
        <w:tab/>
      </w:r>
      <w:r>
        <w:t xml:space="preserve">6. Decisión</w:t>
      </w:r>
    </w:p>
    <w:p>
      <w:pPr>
        <w:numPr>
          <w:ilvl w:val="0"/>
          <w:numId w:val="1631"/>
        </w:numPr>
        <w:pStyle w:val="Compact"/>
      </w:pPr>
      <w:r>
        <w:t xml:space="preserve">☐ Aprobado como cambio controlado ordinario</w:t>
      </w:r>
    </w:p>
    <w:p>
      <w:pPr>
        <w:numPr>
          <w:ilvl w:val="0"/>
          <w:numId w:val="1631"/>
        </w:numPr>
        <w:pStyle w:val="Compact"/>
      </w:pPr>
      <w:r>
        <w:t xml:space="preserve">☐ Aprobado con una mejor supervisión</w:t>
      </w:r>
    </w:p>
    <w:p>
      <w:pPr>
        <w:numPr>
          <w:ilvl w:val="0"/>
          <w:numId w:val="1631"/>
        </w:numPr>
        <w:pStyle w:val="Compact"/>
      </w:pPr>
      <w:r>
        <w:t xml:space="preserve">☐ Piloto restringido</w:t>
      </w:r>
    </w:p>
    <w:p>
      <w:pPr>
        <w:numPr>
          <w:ilvl w:val="0"/>
          <w:numId w:val="1631"/>
        </w:numPr>
        <w:pStyle w:val="Compact"/>
      </w:pPr>
      <w:r>
        <w:t xml:space="preserve">☐ Diferido en espera de pruebas o pruebas</w:t>
      </w:r>
    </w:p>
    <w:p>
      <w:pPr>
        <w:numPr>
          <w:ilvl w:val="0"/>
          <w:numId w:val="1631"/>
        </w:numPr>
        <w:pStyle w:val="Compact"/>
      </w:pPr>
      <w:r>
        <w:t xml:space="preserve">☐ Rechazado</w:t>
      </w:r>
    </w:p>
    <w:p>
      <w:pPr>
        <w:numPr>
          <w:ilvl w:val="0"/>
          <w:numId w:val="1631"/>
        </w:numPr>
        <w:pStyle w:val="Compact"/>
      </w:pPr>
      <w:r>
        <w:t xml:space="preserve">☐ Escalonado para una modificación sustancial/examen de las funciones de los proveedores</w:t>
      </w:r>
    </w:p>
    <w:p>
      <w:pPr>
        <w:numPr>
          <w:ilvl w:val="0"/>
          <w:numId w:val="1631"/>
        </w:numPr>
        <w:pStyle w:val="Compact"/>
      </w:pPr>
      <w:r>
        <w:t xml:space="preserve">☐ Reevaluación de la conformidad requerida</w:t>
      </w:r>
    </w:p>
    <w:bookmarkEnd w:id="1721"/>
    <w:bookmarkStart w:id="1722" w:name="retroceso-y-contingencia"/>
    <w:p>
      <w:pPr>
        <w:pStyle w:val="Heading2"/>
      </w:pPr>
      <w:r>
        <w:rPr>
          <w:rStyle w:val="SectionNumber"/>
        </w:rPr>
        <w:t xml:space="preserve">2.301</w:t>
      </w:r>
      <w:r>
        <w:tab/>
      </w:r>
      <w:r>
        <w:t xml:space="preserve">7. Retroceso y contingencia</w:t>
      </w:r>
    </w:p>
    <w:p>
      <w:pPr>
        <w:pStyle w:val="FirstParagraph"/>
      </w:pPr>
      <w:r>
        <w:t xml:space="preserve">Versión de reversión de registros, desencadenantes de reversión, autoridad de decisión, personal responsable, preservación de pruebas, protección de personas afectadas, comunicaciones, proceso de reversión y criterios de restauración.</w:t>
      </w:r>
    </w:p>
    <w:bookmarkEnd w:id="1722"/>
    <w:bookmarkStart w:id="1723" w:name="homologación-15"/>
    <w:p>
      <w:pPr>
        <w:pStyle w:val="Heading2"/>
      </w:pPr>
      <w:r>
        <w:rPr>
          <w:rStyle w:val="SectionNumber"/>
        </w:rPr>
        <w:t xml:space="preserve">2.302</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técnico/producto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Responsable del riesgo/conformidad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 </w:t>
      </w:r>
      <w:r>
        <w:t xml:space="preserve">Limitaciones de los recursos:</w:t>
      </w:r>
      <w:r>
        <w:rPr>
          <w:bCs/>
          <w:b/>
        </w:rPr>
        <w:t xml:space="preserve"> </w:t>
      </w:r>
      <w:r>
        <w:t xml:space="preserve">Pedido/fecha de la próxima revisión:**</w:t>
      </w:r>
    </w:p>
    <w:bookmarkEnd w:id="1723"/>
    <w:bookmarkStart w:id="1724" w:name="X8da0153971d8094d12602583cfbe97f941775ae"/>
    <w:p>
      <w:pPr>
        <w:pStyle w:val="Heading2"/>
      </w:pPr>
      <w:r>
        <w:rPr>
          <w:rStyle w:val="SectionNumber"/>
        </w:rPr>
        <w:t xml:space="preserve">2.303</w:t>
      </w:r>
      <w:r>
        <w:tab/>
      </w:r>
      <w:r>
        <w:t xml:space="preserve">Apéndice T — Evaluación de la modificación sustancial</w:t>
      </w:r>
    </w:p>
    <w:p>
      <w:pPr>
        <w:pStyle w:val="BlockText"/>
      </w:pPr>
      <w:r>
        <w:rPr>
          <w:bCs/>
          <w:b/>
        </w:rPr>
        <w:t xml:space="preserve">Estado legal:</w:t>
      </w:r>
      <w:r>
        <w:t xml:space="preserve"> </w:t>
      </w:r>
      <w:r>
        <w:t xml:space="preserve">Maestro inglés corregido. Use la definición legal actual y las reglas específicas del actor. Un cambio operacional material no es automáticamente una modificación sustancial, y una modificación sustancial puede transferir responsabilidades del proveedor y desencadenar nuevas obligaciones de conformidad.</w:t>
      </w:r>
    </w:p>
    <w:bookmarkEnd w:id="1724"/>
    <w:bookmarkStart w:id="1725" w:name="finalidad-37"/>
    <w:p>
      <w:pPr>
        <w:pStyle w:val="Heading2"/>
      </w:pPr>
      <w:r>
        <w:rPr>
          <w:rStyle w:val="SectionNumber"/>
        </w:rPr>
        <w:t xml:space="preserve">2.304</w:t>
      </w:r>
      <w:r>
        <w:tab/>
      </w:r>
      <w:r>
        <w:t xml:space="preserve">Finalidad</w:t>
      </w:r>
    </w:p>
    <w:p>
      <w:pPr>
        <w:pStyle w:val="FirstParagraph"/>
      </w:pPr>
      <w:r>
        <w:t xml:space="preserve">Utilizar esta evaluación para determinar si un cambio propuesto o completado puede constituir una modificación sustancial, alterar el propósito previsto, cambiar la función jurídica o la clasificación, o requerir una reevaluación de la conformidad y otras medidas previas al despliegue.</w:t>
      </w:r>
    </w:p>
    <w:bookmarkEnd w:id="1725"/>
    <w:bookmarkStart w:id="1726" w:name="sistema-y-cambio-de-registro"/>
    <w:p>
      <w:pPr>
        <w:pStyle w:val="Heading2"/>
      </w:pPr>
      <w:r>
        <w:rPr>
          <w:rStyle w:val="SectionNumber"/>
        </w:rPr>
        <w:t xml:space="preserve">2.305</w:t>
      </w:r>
      <w:r>
        <w:tab/>
      </w:r>
      <w:r>
        <w:t xml:space="preserve">1. Sistema y cambio de registro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Nombre del sistema, ID de inventario y versión</w:t>
            </w:r>
          </w:p>
        </w:tc>
        <w:tc>
          <w:tcPr/>
          <w:p>
            <w:pPr>
              <w:pStyle w:val="Compact"/>
              <w:jc w:val="left"/>
            </w:pPr>
            <w:r>
              <w:t xml:space="preserve">- No, no.</w:t>
            </w:r>
          </w:p>
        </w:tc>
      </w:tr>
      <w:tr>
        <w:tc>
          <w:tcPr/>
          <w:p>
            <w:pPr>
              <w:pStyle w:val="Compact"/>
              <w:jc w:val="left"/>
            </w:pPr>
            <w:r>
              <w:t xml:space="preserve">Funciones actuales del proveedor y el actor</w:t>
            </w:r>
          </w:p>
        </w:tc>
        <w:tc>
          <w:tcPr/>
          <w:p>
            <w:pPr>
              <w:pStyle w:val="Compact"/>
              <w:jc w:val="left"/>
            </w:pPr>
            <w:r>
              <w:t xml:space="preserve">- No, no.</w:t>
            </w:r>
          </w:p>
        </w:tc>
      </w:tr>
      <w:tr>
        <w:tc>
          <w:tcPr/>
          <w:p>
            <w:pPr>
              <w:pStyle w:val="Compact"/>
              <w:jc w:val="left"/>
            </w:pPr>
            <w:r>
              <w:t xml:space="preserve">Entidad que realiza el cambio</w:t>
            </w:r>
          </w:p>
        </w:tc>
        <w:tc>
          <w:tcPr/>
          <w:p>
            <w:pPr>
              <w:pStyle w:val="Compact"/>
              <w:jc w:val="left"/>
            </w:pPr>
            <w:r>
              <w:t xml:space="preserve">- No, no.</w:t>
            </w:r>
          </w:p>
        </w:tc>
      </w:tr>
      <w:tr>
        <w:tc>
          <w:tcPr/>
          <w:p>
            <w:pPr>
              <w:pStyle w:val="Compact"/>
              <w:jc w:val="left"/>
            </w:pPr>
            <w:r>
              <w:t xml:space="preserve">Finalidad actual</w:t>
            </w:r>
          </w:p>
        </w:tc>
        <w:tc>
          <w:tcPr/>
          <w:p>
            <w:pPr>
              <w:pStyle w:val="Compact"/>
              <w:jc w:val="left"/>
            </w:pPr>
            <w:r>
              <w:t xml:space="preserve">- No, no.</w:t>
            </w:r>
          </w:p>
        </w:tc>
      </w:tr>
      <w:tr>
        <w:tc>
          <w:tcPr/>
          <w:p>
            <w:pPr>
              <w:pStyle w:val="Compact"/>
              <w:jc w:val="left"/>
            </w:pPr>
            <w:r>
              <w:t xml:space="preserve">Cambio propuesto</w:t>
            </w:r>
          </w:p>
        </w:tc>
        <w:tc>
          <w:tcPr/>
          <w:p>
            <w:pPr>
              <w:pStyle w:val="Compact"/>
              <w:jc w:val="left"/>
            </w:pPr>
            <w:r>
              <w:t xml:space="preserve">- No, no.</w:t>
            </w:r>
          </w:p>
        </w:tc>
      </w:tr>
      <w:tr>
        <w:tc>
          <w:tcPr/>
          <w:p>
            <w:pPr>
              <w:pStyle w:val="Compact"/>
              <w:jc w:val="left"/>
            </w:pPr>
            <w:r>
              <w:t xml:space="preserve">Clasificación de alto riesgo/base jurídica</w:t>
            </w:r>
          </w:p>
        </w:tc>
        <w:tc>
          <w:tcPr/>
          <w:p>
            <w:pPr>
              <w:pStyle w:val="Compact"/>
              <w:jc w:val="left"/>
            </w:pPr>
            <w:r>
              <w:t xml:space="preserve">- No, no.</w:t>
            </w:r>
          </w:p>
        </w:tc>
      </w:tr>
      <w:tr>
        <w:tc>
          <w:tcPr/>
          <w:p>
            <w:pPr>
              <w:pStyle w:val="Compact"/>
              <w:jc w:val="left"/>
            </w:pPr>
            <w:r>
              <w:t xml:space="preserve">Jurisdicciones y poblaciones afectadas</w:t>
            </w:r>
          </w:p>
        </w:tc>
        <w:tc>
          <w:tcPr/>
          <w:p>
            <w:pPr>
              <w:pStyle w:val="Compact"/>
              <w:jc w:val="left"/>
            </w:pPr>
            <w:r>
              <w:t xml:space="preserve">- No, no.</w:t>
            </w:r>
          </w:p>
        </w:tc>
      </w:tr>
      <w:tr>
        <w:tc>
          <w:tcPr/>
          <w:p>
            <w:pPr>
              <w:pStyle w:val="Compact"/>
              <w:jc w:val="left"/>
            </w:pPr>
            <w:r>
              <w:t xml:space="preserve">Responsable de la evaluación/fecha</w:t>
            </w:r>
          </w:p>
        </w:tc>
        <w:tc>
          <w:tcPr/>
          <w:p>
            <w:pPr>
              <w:pStyle w:val="Compact"/>
              <w:jc w:val="left"/>
            </w:pPr>
            <w:r>
              <w:t xml:space="preserve">- No, no.</w:t>
            </w:r>
          </w:p>
        </w:tc>
      </w:tr>
      <w:tr>
        <w:tc>
          <w:tcPr/>
          <w:p>
            <w:pPr>
              <w:pStyle w:val="Compact"/>
              <w:jc w:val="left"/>
            </w:pPr>
            <w:r>
              <w:t xml:space="preserve">Fuente jurídica actual/fecha de solicitud</w:t>
            </w:r>
          </w:p>
        </w:tc>
        <w:tc>
          <w:tcPr/>
          <w:p>
            <w:pPr>
              <w:pStyle w:val="Compact"/>
              <w:jc w:val="left"/>
            </w:pPr>
            <w:r>
              <w:t xml:space="preserve">- No, no.</w:t>
            </w:r>
          </w:p>
        </w:tc>
      </w:tr>
    </w:tbl>
    <w:bookmarkEnd w:id="1726"/>
    <w:bookmarkStart w:id="1727" w:name="cambiar-la-descripción"/>
    <w:p>
      <w:pPr>
        <w:pStyle w:val="Heading2"/>
      </w:pPr>
      <w:r>
        <w:rPr>
          <w:rStyle w:val="SectionNumber"/>
        </w:rPr>
        <w:t xml:space="preserve">2.306</w:t>
      </w:r>
      <w:r>
        <w:tab/>
      </w:r>
      <w:r>
        <w:t xml:space="preserve">2. Cambiar la descripción</w:t>
      </w:r>
    </w:p>
    <w:p>
      <w:pPr>
        <w:pStyle w:val="FirstParagraph"/>
      </w:pPr>
      <w:r>
        <w:t xml:space="preserve">Documento:</w:t>
      </w:r>
    </w:p>
    <w:p>
      <w:pPr>
        <w:numPr>
          <w:ilvl w:val="0"/>
          <w:numId w:val="1632"/>
        </w:numPr>
        <w:pStyle w:val="Compact"/>
      </w:pPr>
      <w:r>
        <w:t xml:space="preserve">modelo, proveedor, arquitectura, datos, avisos, herramientas, capacidad de agente, interfaces, alojamiento, subprocesadores, umbrales y salvaguardias afectados;</w:t>
      </w:r>
    </w:p>
    <w:p>
      <w:pPr>
        <w:numPr>
          <w:ilvl w:val="0"/>
          <w:numId w:val="1632"/>
        </w:numPr>
        <w:pStyle w:val="Compact"/>
      </w:pPr>
      <w:r>
        <w:t xml:space="preserve">razón de negocio y resultado esperado;</w:t>
      </w:r>
    </w:p>
    <w:p>
      <w:pPr>
        <w:numPr>
          <w:ilvl w:val="0"/>
          <w:numId w:val="1632"/>
        </w:numPr>
        <w:pStyle w:val="Compact"/>
      </w:pPr>
      <w:r>
        <w:t xml:space="preserve">nuevos usuarios, personas afectadas, contextos de decisión, sectores o jurisdicciones;</w:t>
      </w:r>
    </w:p>
    <w:p>
      <w:pPr>
        <w:numPr>
          <w:ilvl w:val="0"/>
          <w:numId w:val="1632"/>
        </w:numPr>
        <w:pStyle w:val="Compact"/>
      </w:pPr>
      <w:r>
        <w:t xml:space="preserve">la marca, la colocación de nombres propios, la distribución, la integración y el control operativo;</w:t>
      </w:r>
    </w:p>
    <w:p>
      <w:pPr>
        <w:numPr>
          <w:ilvl w:val="0"/>
          <w:numId w:val="1632"/>
        </w:numPr>
        <w:pStyle w:val="Compact"/>
      </w:pPr>
      <w:r>
        <w:t xml:space="preserve">si el cambio estaba previsto en la documentación de conformidad original o en un plan de cambio predeterminado;</w:t>
      </w:r>
    </w:p>
    <w:p>
      <w:pPr>
        <w:numPr>
          <w:ilvl w:val="0"/>
          <w:numId w:val="1632"/>
        </w:numPr>
        <w:pStyle w:val="Compact"/>
      </w:pPr>
      <w:r>
        <w:t xml:space="preserve">si se modifican las salvaguardias, la supervisión, la transparencia, el registro o la supervisión.</w:t>
      </w:r>
    </w:p>
    <w:bookmarkEnd w:id="1727"/>
    <w:bookmarkStart w:id="1728" w:name="prueba-de-umbral"/>
    <w:p>
      <w:pPr>
        <w:pStyle w:val="Heading2"/>
      </w:pPr>
      <w:r>
        <w:rPr>
          <w:rStyle w:val="SectionNumber"/>
        </w:rPr>
        <w:t xml:space="preserve">2.307</w:t>
      </w:r>
      <w:r>
        <w:tab/>
      </w:r>
      <w:r>
        <w:t xml:space="preserve">3. Prueba de umbral</w:t>
      </w:r>
    </w:p>
    <w:p>
      <w:pPr>
        <w:pStyle w:val="FirstParagraph"/>
      </w:pPr>
      <w:r>
        <w:t xml:space="preserve">Evaluar si el cambio fue imprevisto o no previsto en la evaluación de conformidad inicial y si afecta al cumplimiento de los requisitos aplicables o modifica el propósito previsto.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Sí/No/Incierto</w:t>
            </w:r>
          </w:p>
        </w:tc>
        <w:tc>
          <w:tcPr/>
          <w:p>
            <w:pPr>
              <w:pStyle w:val="Compact"/>
              <w:jc w:val="left"/>
            </w:pPr>
            <w:r>
              <w:t xml:space="preserve">Pruebas/racionamiento</w:t>
            </w:r>
          </w:p>
        </w:tc>
      </w:tr>
      <w:tr>
        <w:tc>
          <w:tcPr/>
          <w:p>
            <w:pPr>
              <w:pStyle w:val="Compact"/>
              <w:jc w:val="left"/>
            </w:pPr>
            <w:r>
              <w:t xml:space="preserve">¿El cambio estaba predeterminado y documentado en la documentación técnica original o en el plan de cambio aprobado?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¿Altera el cambio el propósito previsto o el uso razonablemente previsible?</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¿Introduce una nueva población afectada, contexto de decisión, sector o jurisdicción?</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¿Afecta al cumplimiento de los artículos 9 a 15 u otros requisitos aplicables?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¿Cambia el análisis de los artículos 5 o 6, la integración de productos o la ruta de conformidad?</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¿Afecta materialmente el rendimiento, los prejuicios, la seguridad, los derechos fundamentales, la gobernanza de los datos, la supervisión, la transparencia, la robustez o la ciberseguridad?</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¿Introduce un nuevo modelo, proveedor, arquitectura, fuente de datos, capacidad autónoma, herramienta o agente?</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 Elimina, debilita, pasa por alto o cambia materialmente las salvaguardias?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¿Afecta la tala, la trazabilidad, el monitoreo, la respuesta a incidentes o la retención de pruebas?</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¿Requiere un nuevo registro, declaración, marcación, instrucciones o interacción de autoridad?</w:t>
            </w:r>
          </w:p>
        </w:tc>
        <w:tc>
          <w:tcPr/>
          <w:p>
            <w:pPr>
              <w:pStyle w:val="Compact"/>
              <w:jc w:val="left"/>
            </w:pPr>
            <w:r>
              <w:t xml:space="preserve">- No, no.</w:t>
            </w:r>
          </w:p>
        </w:tc>
        <w:tc>
          <w:tcPr/>
          <w:p>
            <w:pPr>
              <w:pStyle w:val="Compact"/>
              <w:jc w:val="left"/>
            </w:pPr>
            <w:r>
              <w:t xml:space="preserve">- No, no.</w:t>
            </w:r>
          </w:p>
        </w:tc>
      </w:tr>
    </w:tbl>
    <w:bookmarkEnd w:id="1728"/>
    <w:bookmarkStart w:id="1729" w:name="Xccc7ba3ed08c8bbc9381e92a822ad173568a7e5"/>
    <w:p>
      <w:pPr>
        <w:pStyle w:val="Heading2"/>
      </w:pPr>
      <w:r>
        <w:rPr>
          <w:rStyle w:val="SectionNumber"/>
        </w:rPr>
        <w:t xml:space="preserve">2.308</w:t>
      </w:r>
      <w:r>
        <w:tab/>
      </w:r>
      <w:r>
        <w:t xml:space="preserve">4. Función del proveedor y consecuencia de la cadena de valor</w:t>
      </w:r>
    </w:p>
    <w:p>
      <w:pPr>
        <w:pStyle w:val="FirstParagraph"/>
      </w:pPr>
      <w:r>
        <w:t xml:space="preserve">Determinar si el implementador modificador, distribuidor, importador, fabricante de producto, integrador u otro tercero se convierte en el proveedor bajo la regla aplicable de la cadena de valor.</w:t>
      </w:r>
    </w:p>
    <w:p>
      <w:pPr>
        <w:numPr>
          <w:ilvl w:val="0"/>
          <w:numId w:val="1633"/>
        </w:numPr>
        <w:pStyle w:val="Compact"/>
      </w:pPr>
      <w:r>
        <w:t xml:space="preserve">el nombre propio o la posición de marca propia;</w:t>
      </w:r>
    </w:p>
    <w:p>
      <w:pPr>
        <w:numPr>
          <w:ilvl w:val="0"/>
          <w:numId w:val="1633"/>
        </w:numPr>
        <w:pStyle w:val="Compact"/>
      </w:pPr>
      <w:r>
        <w:t xml:space="preserve">cambio de finalidad prevista;</w:t>
      </w:r>
    </w:p>
    <w:p>
      <w:pPr>
        <w:numPr>
          <w:ilvl w:val="0"/>
          <w:numId w:val="1633"/>
        </w:numPr>
        <w:pStyle w:val="Compact"/>
      </w:pPr>
      <w:r>
        <w:t xml:space="preserve">modificaciones sustanciales;</w:t>
      </w:r>
    </w:p>
    <w:p>
      <w:pPr>
        <w:numPr>
          <w:ilvl w:val="0"/>
          <w:numId w:val="1633"/>
        </w:numPr>
        <w:pStyle w:val="Compact"/>
      </w:pPr>
      <w:r>
        <w:t xml:space="preserve">remarcado o etiquetado en blanco;</w:t>
      </w:r>
    </w:p>
    <w:p>
      <w:pPr>
        <w:numPr>
          <w:ilvl w:val="0"/>
          <w:numId w:val="1633"/>
        </w:numPr>
        <w:pStyle w:val="Compact"/>
      </w:pPr>
      <w:r>
        <w:t xml:space="preserve">integración de productos;</w:t>
      </w:r>
    </w:p>
    <w:p>
      <w:pPr>
        <w:numPr>
          <w:ilvl w:val="0"/>
          <w:numId w:val="1633"/>
        </w:numPr>
        <w:pStyle w:val="Compact"/>
      </w:pPr>
      <w:r>
        <w:t xml:space="preserve">la asignación contractual frente a la conducta real;</w:t>
      </w:r>
    </w:p>
    <w:p>
      <w:pPr>
        <w:numPr>
          <w:ilvl w:val="0"/>
          <w:numId w:val="1633"/>
        </w:numPr>
        <w:pStyle w:val="Compact"/>
      </w:pPr>
      <w:r>
        <w:t xml:space="preserve">obligaciones de notificación anteriores y posteriores.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Entidad</w:t>
            </w:r>
          </w:p>
        </w:tc>
        <w:tc>
          <w:tcPr/>
          <w:p>
            <w:pPr>
              <w:pStyle w:val="Compact"/>
              <w:jc w:val="left"/>
            </w:pPr>
            <w:r>
              <w:t xml:space="preserve">Función actual</w:t>
            </w:r>
          </w:p>
        </w:tc>
        <w:tc>
          <w:tcPr/>
          <w:p>
            <w:pPr>
              <w:pStyle w:val="Compact"/>
              <w:jc w:val="left"/>
            </w:pPr>
            <w:r>
              <w:t xml:space="preserve">Posible nueva función</w:t>
            </w:r>
          </w:p>
        </w:tc>
        <w:tc>
          <w:tcPr/>
          <w:p>
            <w:pPr>
              <w:pStyle w:val="Compact"/>
              <w:jc w:val="left"/>
            </w:pPr>
            <w:r>
              <w:t xml:space="preserve">Fundamento de los hechos</w:t>
            </w:r>
          </w:p>
        </w:tc>
        <w:tc>
          <w:tcPr/>
          <w:p>
            <w:pPr>
              <w:pStyle w:val="Compact"/>
              <w:jc w:val="left"/>
            </w:pPr>
            <w:r>
              <w:t xml:space="preserve">Obligaciones desencadenadas</w:t>
            </w:r>
          </w:p>
        </w:tc>
        <w:tc>
          <w:tcPr/>
          <w:p>
            <w:pPr>
              <w:pStyle w:val="Compact"/>
              <w:jc w:val="left"/>
            </w:pPr>
            <w:r>
              <w:t xml:space="preserve">Conclusión jurídica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29"/>
    <w:bookmarkStart w:id="1730" w:name="pruebas-examinadas-1"/>
    <w:p>
      <w:pPr>
        <w:pStyle w:val="Heading2"/>
      </w:pPr>
      <w:r>
        <w:rPr>
          <w:rStyle w:val="SectionNumber"/>
        </w:rPr>
        <w:t xml:space="preserve">2.309</w:t>
      </w:r>
      <w:r>
        <w:tab/>
      </w:r>
      <w:r>
        <w:t xml:space="preserve">5. Pruebas examinadas</w:t>
      </w:r>
    </w:p>
    <w:p>
      <w:pPr>
        <w:numPr>
          <w:ilvl w:val="0"/>
          <w:numId w:val="1634"/>
        </w:numPr>
        <w:pStyle w:val="Compact"/>
      </w:pPr>
      <w:r>
        <w:t xml:space="preserve">documentación técnica original y expediente de conformidad;</w:t>
      </w:r>
    </w:p>
    <w:p>
      <w:pPr>
        <w:numPr>
          <w:ilvl w:val="0"/>
          <w:numId w:val="1634"/>
        </w:numPr>
        <w:pStyle w:val="Compact"/>
      </w:pPr>
      <w:r>
        <w:t xml:space="preserve">un plan de cambio predeterminado;</w:t>
      </w:r>
    </w:p>
    <w:p>
      <w:pPr>
        <w:numPr>
          <w:ilvl w:val="0"/>
          <w:numId w:val="1634"/>
        </w:numPr>
        <w:pStyle w:val="Compact"/>
      </w:pPr>
      <w:r>
        <w:t xml:space="preserve">evaluación del cambio de modelo;</w:t>
      </w:r>
    </w:p>
    <w:p>
      <w:pPr>
        <w:numPr>
          <w:ilvl w:val="0"/>
          <w:numId w:val="1634"/>
        </w:numPr>
        <w:pStyle w:val="Compact"/>
      </w:pPr>
      <w:r>
        <w:t xml:space="preserve">validación, regresión, subgrupo, seguridad y resultados de resiliencia;</w:t>
      </w:r>
    </w:p>
    <w:p>
      <w:pPr>
        <w:numPr>
          <w:ilvl w:val="0"/>
          <w:numId w:val="1634"/>
        </w:numPr>
        <w:pStyle w:val="Compact"/>
      </w:pPr>
      <w:r>
        <w:t xml:space="preserve">evaluación de riesgos, FRIA, DPIA y gobernanza de los datos;</w:t>
      </w:r>
    </w:p>
    <w:p>
      <w:pPr>
        <w:numPr>
          <w:ilvl w:val="0"/>
          <w:numId w:val="1634"/>
        </w:numPr>
        <w:pStyle w:val="Compact"/>
      </w:pPr>
      <w:r>
        <w:t xml:space="preserve">los anuncios de proveedores y las condiciones del contrato;</w:t>
      </w:r>
    </w:p>
    <w:p>
      <w:pPr>
        <w:numPr>
          <w:ilvl w:val="0"/>
          <w:numId w:val="1634"/>
        </w:numPr>
        <w:pStyle w:val="Compact"/>
      </w:pPr>
      <w:r>
        <w:t xml:space="preserve">los registros de liberación, configuración, versión y reversión;</w:t>
      </w:r>
    </w:p>
    <w:p>
      <w:pPr>
        <w:numPr>
          <w:ilvl w:val="0"/>
          <w:numId w:val="1634"/>
        </w:numPr>
        <w:pStyle w:val="Compact"/>
      </w:pPr>
      <w:r>
        <w:t xml:space="preserve">análisis legal, de productos y de conformidad.</w:t>
      </w:r>
    </w:p>
    <w:bookmarkEnd w:id="1730"/>
    <w:bookmarkStart w:id="1731" w:name="medidas-legales-y-de-control-necesarias"/>
    <w:p>
      <w:pPr>
        <w:pStyle w:val="Heading2"/>
      </w:pPr>
      <w:r>
        <w:rPr>
          <w:rStyle w:val="SectionNumber"/>
        </w:rPr>
        <w:t xml:space="preserve">2.310</w:t>
      </w:r>
      <w:r>
        <w:tab/>
      </w:r>
      <w:r>
        <w:t xml:space="preserve">6. Medidas legales y de control necesarias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Medidas adoptadas</w:t>
            </w:r>
          </w:p>
        </w:tc>
        <w:tc>
          <w:tcPr/>
          <w:p>
            <w:pPr>
              <w:pStyle w:val="Compact"/>
              <w:jc w:val="left"/>
            </w:pPr>
            <w:r>
              <w:t xml:space="preserve">¿Se aplica?</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Situación</w:t>
            </w:r>
          </w:p>
        </w:tc>
        <w:tc>
          <w:tcPr/>
          <w:p>
            <w:pPr>
              <w:pStyle w:val="Compact"/>
              <w:jc w:val="left"/>
            </w:pPr>
            <w:r>
              <w:t xml:space="preserve">Pruebas</w:t>
            </w:r>
          </w:p>
        </w:tc>
      </w:tr>
      <w:tr>
        <w:tc>
          <w:tcPr/>
          <w:p>
            <w:pPr>
              <w:pStyle w:val="Compact"/>
              <w:jc w:val="left"/>
            </w:pPr>
            <w:r>
              <w:t xml:space="preserve">Reevaluación de la función del proveedor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Artículo 5/Reevaluación del artículo 6</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Actualización de la gestión del riesgo y la evaluación del impacto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Documentación técnica y actualización de versiones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Validación/regresión/pruebas de seguridad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Evaluación o reevaluación de la 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Declaración, marcado CE o actualización del registro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Instrucciones, transparencia, accesibilidad y actualización de la formación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Seguimiento posterior a la comercialización y actualización del proceso de incidente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Notificación de contrato, proveedor, cliente o autoridad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Bloqueo, restricción, suspensión o retroceso de la liberación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31"/>
    <w:bookmarkStart w:id="1733" w:name="conclusión"/>
    <w:p>
      <w:pPr>
        <w:pStyle w:val="Heading2"/>
      </w:pPr>
      <w:r>
        <w:rPr>
          <w:rStyle w:val="SectionNumber"/>
        </w:rPr>
        <w:t xml:space="preserve">2.311</w:t>
      </w:r>
      <w:r>
        <w:tab/>
      </w:r>
      <w:r>
        <w:t xml:space="preserve">7. Conclusión</w:t>
      </w:r>
    </w:p>
    <w:p>
      <w:pPr>
        <w:numPr>
          <w:ilvl w:val="0"/>
          <w:numId w:val="1635"/>
        </w:numPr>
        <w:pStyle w:val="Compact"/>
      </w:pPr>
      <w:r>
        <w:t xml:space="preserve">☐ No es una modificación sustancial</w:t>
      </w:r>
    </w:p>
    <w:p>
      <w:pPr>
        <w:numPr>
          <w:ilvl w:val="0"/>
          <w:numId w:val="1635"/>
        </w:numPr>
        <w:pStyle w:val="Compact"/>
      </w:pPr>
      <w:r>
        <w:t xml:space="preserve">☐ Cambio predeterminado dentro del marco de conformidad documentado</w:t>
      </w:r>
    </w:p>
    <w:p>
      <w:pPr>
        <w:numPr>
          <w:ilvl w:val="0"/>
          <w:numId w:val="1635"/>
        </w:numPr>
        <w:pStyle w:val="Compact"/>
      </w:pPr>
      <w:r>
        <w:t xml:space="preserve">☐ Posiblemente sustancial: se requieren pruebas adicionales</w:t>
      </w:r>
    </w:p>
    <w:p>
      <w:pPr>
        <w:numPr>
          <w:ilvl w:val="0"/>
          <w:numId w:val="1635"/>
        </w:numPr>
        <w:pStyle w:val="Compact"/>
      </w:pPr>
      <w:r>
        <w:t xml:space="preserve">☐ Modificación sustancial</w:t>
      </w:r>
    </w:p>
    <w:p>
      <w:pPr>
        <w:numPr>
          <w:ilvl w:val="0"/>
          <w:numId w:val="1635"/>
        </w:numPr>
        <w:pStyle w:val="Compact"/>
      </w:pPr>
      <w:r>
        <w:t xml:space="preserve">☐ Transferencia de la función del proveedor u otra consecuencia del artículo 25</w:t>
      </w:r>
    </w:p>
    <w:p>
      <w:pPr>
        <w:numPr>
          <w:ilvl w:val="0"/>
          <w:numId w:val="1635"/>
        </w:numPr>
        <w:pStyle w:val="Compact"/>
      </w:pPr>
      <w:r>
        <w:t xml:space="preserve">☐ Reevaluación de la conformidad requerida</w:t>
      </w:r>
    </w:p>
    <w:p>
      <w:pPr>
        <w:numPr>
          <w:ilvl w:val="0"/>
          <w:numId w:val="1635"/>
        </w:numPr>
        <w:pStyle w:val="Compact"/>
      </w:pPr>
      <w:r>
        <w:t xml:space="preserve">☐ Se requiere asesoramiento legal calificado o de conformidad externa</w:t>
      </w:r>
    </w:p>
    <w:bookmarkStart w:id="1732" w:name="justificación"/>
    <w:p>
      <w:pPr>
        <w:pStyle w:val="Heading3"/>
      </w:pPr>
      <w:r>
        <w:rPr>
          <w:rStyle w:val="SectionNumber"/>
        </w:rPr>
        <w:t xml:space="preserve">2.311.1</w:t>
      </w:r>
      <w:r>
        <w:tab/>
      </w:r>
      <w:r>
        <w:t xml:space="preserve">Justificación</w:t>
      </w:r>
    </w:p>
    <w:p>
      <w:pPr>
        <w:pStyle w:val="FirstParagraph"/>
      </w:pPr>
      <w:r>
        <w:t xml:space="preserve">Documente los hechos, supuestos, interpretación jurídica, incertidumbre y pruebas que apoyen la conclusión.</w:t>
      </w:r>
    </w:p>
    <w:bookmarkEnd w:id="1732"/>
    <w:bookmarkEnd w:id="1733"/>
    <w:bookmarkStart w:id="1734" w:name="homologación-16"/>
    <w:p>
      <w:pPr>
        <w:pStyle w:val="Heading2"/>
      </w:pPr>
      <w:r>
        <w:rPr>
          <w:rStyle w:val="SectionNumber"/>
        </w:rPr>
        <w:t xml:space="preserve">2.312</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técnico/producto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 la empresa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 la calidad/conformidad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Racional y supuestos:</w:t>
      </w:r>
      <w:r>
        <w:rPr>
          <w:bCs/>
          <w:b/>
        </w:rPr>
        <w:t xml:space="preserve"> </w:t>
      </w:r>
      <w:r>
        <w:t xml:space="preserve"> </w:t>
      </w:r>
      <w:r>
        <w:t xml:space="preserve">Referencias de pruebas:</w:t>
      </w:r>
      <w:r>
        <w:rPr>
          <w:bCs/>
          <w:b/>
        </w:rPr>
        <w:t xml:space="preserve"> </w:t>
      </w:r>
      <w:r>
        <w:t xml:space="preserve">Pedido/fecha de la próxima revisión:**</w:t>
      </w:r>
    </w:p>
    <w:bookmarkEnd w:id="1734"/>
    <w:bookmarkStart w:id="1735" w:name="apéndice-u-registro-de-control-de-la-ia"/>
    <w:p>
      <w:pPr>
        <w:pStyle w:val="Heading2"/>
      </w:pPr>
      <w:r>
        <w:rPr>
          <w:rStyle w:val="SectionNumber"/>
        </w:rPr>
        <w:t xml:space="preserve">2.313</w:t>
      </w:r>
      <w:r>
        <w:tab/>
      </w:r>
      <w:r>
        <w:t xml:space="preserve">Apéndice U — Registro de control de la IA</w:t>
      </w:r>
    </w:p>
    <w:p>
      <w:pPr>
        <w:pStyle w:val="BlockText"/>
      </w:pPr>
      <w:r>
        <w:rPr>
          <w:bCs/>
          <w:b/>
        </w:rPr>
        <w:t xml:space="preserve">Estatus legal:</w:t>
      </w:r>
      <w:r>
        <w:t xml:space="preserve"> </w:t>
      </w:r>
      <w:r>
        <w:t xml:space="preserve">Maestro inglés corregido. El registro debe identificar si cada control implementa leyes vinculantes, contratos, políticas de organización, una norma, práctica de gobernanza recomendada, o una mejora opcional. Un control no debe ser etiquetado legalmente a menos que la disposición citada se aplique al actor registrado, sistema, uso, jurisdicción y fecha de aplicación.</w:t>
      </w:r>
    </w:p>
    <w:bookmarkEnd w:id="1735"/>
    <w:bookmarkStart w:id="1736" w:name="finalidad-38"/>
    <w:p>
      <w:pPr>
        <w:pStyle w:val="Heading2"/>
      </w:pPr>
      <w:r>
        <w:rPr>
          <w:rStyle w:val="SectionNumber"/>
        </w:rPr>
        <w:t xml:space="preserve">2.314</w:t>
      </w:r>
      <w:r>
        <w:tab/>
      </w:r>
      <w:r>
        <w:t xml:space="preserve">Finalidad</w:t>
      </w:r>
    </w:p>
    <w:p>
      <w:pPr>
        <w:pStyle w:val="FirstParagraph"/>
      </w:pPr>
      <w:r>
        <w:t xml:space="preserve">Utilice este registro para documentar controles de IA, su base legal o de gobernanza, alcance, propiedad, frecuencia de operación, pruebas, pruebas, efectividad, rehabilitación y mecanismos de revisión.</w:t>
      </w:r>
    </w:p>
    <w:bookmarkEnd w:id="1736"/>
    <w:bookmarkStart w:id="1737" w:name="registro-de-control"/>
    <w:p>
      <w:pPr>
        <w:pStyle w:val="Heading2"/>
      </w:pPr>
      <w:r>
        <w:rPr>
          <w:rStyle w:val="SectionNumber"/>
        </w:rPr>
        <w:t xml:space="preserve">2.315</w:t>
      </w:r>
      <w:r>
        <w:tab/>
      </w:r>
      <w:r>
        <w:t xml:space="preserve">Registro de control</w:t>
      </w:r>
    </w:p>
    <w:tbl>
      <w:tblPr>
        <w:tblStyle w:val="Table"/>
        <w:tblW w:type="pct" w:w="5000"/>
        <w:tblLook w:firstRow="1" w:lastRow="0" w:firstColumn="0" w:lastColumn="0" w:noHBand="0" w:noVBand="0" w:val="0020"/>
        <w:jc w:val="start"/>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true"/>
        </w:trPr>
        <w:tc>
          <w:tcPr/>
          <w:p>
            <w:pPr>
              <w:pStyle w:val="Compact"/>
              <w:jc w:val="left"/>
            </w:pPr>
            <w:r>
              <w:t xml:space="preserve">ID de control</w:t>
            </w:r>
          </w:p>
        </w:tc>
        <w:tc>
          <w:tcPr/>
          <w:p>
            <w:pPr>
              <w:pStyle w:val="Compact"/>
              <w:jc w:val="left"/>
            </w:pPr>
            <w:r>
              <w:t xml:space="preserve">Título/objetivo de control</w:t>
            </w:r>
          </w:p>
        </w:tc>
        <w:tc>
          <w:tcPr/>
          <w:p>
            <w:pPr>
              <w:pStyle w:val="Compact"/>
              <w:jc w:val="left"/>
            </w:pPr>
            <w:r>
              <w:t xml:space="preserve">Tipo de fuente</w:t>
            </w:r>
          </w:p>
        </w:tc>
        <w:tc>
          <w:tcPr/>
          <w:p>
            <w:pPr>
              <w:pStyle w:val="Compact"/>
              <w:jc w:val="left"/>
            </w:pPr>
            <w:r>
              <w:t xml:space="preserve">Fuente/provisión exacta</w:t>
            </w:r>
          </w:p>
        </w:tc>
        <w:tc>
          <w:tcPr/>
          <w:p>
            <w:pPr>
              <w:pStyle w:val="Compact"/>
              <w:jc w:val="left"/>
            </w:pPr>
            <w:r>
              <w:t xml:space="preserve">Actor</w:t>
            </w:r>
          </w:p>
        </w:tc>
        <w:tc>
          <w:tcPr/>
          <w:p>
            <w:pPr>
              <w:pStyle w:val="Compact"/>
              <w:jc w:val="left"/>
            </w:pPr>
            <w:r>
              <w:t xml:space="preserve">Sistemas/versiones del ámbito de aplicación</w:t>
            </w:r>
          </w:p>
        </w:tc>
        <w:tc>
          <w:tcPr/>
          <w:p>
            <w:pPr>
              <w:pStyle w:val="Compact"/>
              <w:jc w:val="left"/>
            </w:pPr>
            <w:r>
              <w:t xml:space="preserve">Riesgos abordados</w:t>
            </w:r>
          </w:p>
        </w:tc>
        <w:tc>
          <w:tcPr/>
          <w:p>
            <w:pPr>
              <w:pStyle w:val="Compact"/>
              <w:jc w:val="left"/>
            </w:pPr>
            <w:r>
              <w:t xml:space="preserve">Propietario</w:t>
            </w:r>
          </w:p>
        </w:tc>
        <w:tc>
          <w:tcPr/>
          <w:p>
            <w:pPr>
              <w:pStyle w:val="Compact"/>
              <w:jc w:val="left"/>
            </w:pPr>
            <w:r>
              <w:t xml:space="preserve">Performer</w:t>
            </w:r>
          </w:p>
        </w:tc>
        <w:tc>
          <w:tcPr/>
          <w:p>
            <w:pPr>
              <w:pStyle w:val="Compact"/>
              <w:jc w:val="left"/>
            </w:pPr>
            <w:r>
              <w:t xml:space="preserve">Activador/frecuencia</w:t>
            </w:r>
          </w:p>
        </w:tc>
        <w:tc>
          <w:tcPr/>
          <w:p>
            <w:pPr>
              <w:pStyle w:val="Compact"/>
              <w:jc w:val="left"/>
            </w:pPr>
            <w:r>
              <w:t xml:space="preserve">Prevención/detección</w:t>
            </w:r>
          </w:p>
        </w:tc>
        <w:tc>
          <w:tcPr/>
          <w:p>
            <w:pPr>
              <w:pStyle w:val="Compact"/>
              <w:jc w:val="left"/>
            </w:pPr>
            <w:r>
              <w:t xml:space="preserve">Manual/automatizado</w:t>
            </w:r>
          </w:p>
        </w:tc>
        <w:tc>
          <w:tcPr/>
          <w:p>
            <w:pPr>
              <w:pStyle w:val="Compact"/>
              <w:jc w:val="left"/>
            </w:pPr>
            <w:r>
              <w:t xml:space="preserve">Procedimiento</w:t>
            </w:r>
          </w:p>
        </w:tc>
        <w:tc>
          <w:tcPr/>
          <w:p>
            <w:pPr>
              <w:pStyle w:val="Compact"/>
              <w:jc w:val="left"/>
            </w:pPr>
            <w:r>
              <w:t xml:space="preserve">Pruebas</w:t>
            </w:r>
          </w:p>
        </w:tc>
        <w:tc>
          <w:tcPr/>
          <w:p>
            <w:pPr>
              <w:pStyle w:val="Compact"/>
              <w:jc w:val="left"/>
            </w:pPr>
            <w:r>
              <w:t xml:space="preserve">Base de retención</w:t>
            </w:r>
          </w:p>
        </w:tc>
        <w:tc>
          <w:tcPr/>
          <w:p>
            <w:pPr>
              <w:pStyle w:val="Compact"/>
              <w:jc w:val="left"/>
            </w:pPr>
            <w:r>
              <w:t xml:space="preserve">Método de ensayo</w:t>
            </w:r>
          </w:p>
        </w:tc>
        <w:tc>
          <w:tcPr/>
          <w:p>
            <w:pPr>
              <w:pStyle w:val="Compact"/>
              <w:jc w:val="left"/>
            </w:pPr>
            <w:r>
              <w:t xml:space="preserve">Último ensayo/resultado</w:t>
            </w:r>
          </w:p>
        </w:tc>
        <w:tc>
          <w:tcPr/>
          <w:p>
            <w:pPr>
              <w:pStyle w:val="Compact"/>
              <w:jc w:val="left"/>
            </w:pPr>
            <w:r>
              <w:t xml:space="preserve">Situación</w:t>
            </w:r>
          </w:p>
        </w:tc>
        <w:tc>
          <w:tcPr/>
          <w:p>
            <w:pPr>
              <w:pStyle w:val="Compact"/>
              <w:jc w:val="left"/>
            </w:pPr>
            <w:r>
              <w:t xml:space="preserve">Brecha/medida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37"/>
    <w:bookmarkStart w:id="1738" w:name="tipos-de-fuentes"/>
    <w:p>
      <w:pPr>
        <w:pStyle w:val="Heading2"/>
      </w:pPr>
      <w:r>
        <w:rPr>
          <w:rStyle w:val="SectionNumber"/>
        </w:rPr>
        <w:t xml:space="preserve">2.316</w:t>
      </w:r>
      <w:r>
        <w:tab/>
      </w:r>
      <w:r>
        <w:t xml:space="preserve">Tipos de fuentes</w:t>
      </w:r>
    </w:p>
    <w:p>
      <w:pPr>
        <w:numPr>
          <w:ilvl w:val="0"/>
          <w:numId w:val="1636"/>
        </w:numPr>
        <w:pStyle w:val="Compact"/>
      </w:pPr>
      <w:r>
        <w:t xml:space="preserve">Obligación legal o reglamentaria vinculante</w:t>
      </w:r>
    </w:p>
    <w:p>
      <w:pPr>
        <w:numPr>
          <w:ilvl w:val="0"/>
          <w:numId w:val="1636"/>
        </w:numPr>
        <w:pStyle w:val="Compact"/>
      </w:pPr>
      <w:r>
        <w:t xml:space="preserve">Deber contractual</w:t>
      </w:r>
    </w:p>
    <w:p>
      <w:pPr>
        <w:numPr>
          <w:ilvl w:val="0"/>
          <w:numId w:val="1636"/>
        </w:numPr>
        <w:pStyle w:val="Compact"/>
      </w:pPr>
      <w:r>
        <w:t xml:space="preserve">Política o control impuestos por la organización</w:t>
      </w:r>
    </w:p>
    <w:p>
      <w:pPr>
        <w:numPr>
          <w:ilvl w:val="0"/>
          <w:numId w:val="1636"/>
        </w:numPr>
        <w:pStyle w:val="Compact"/>
      </w:pPr>
      <w:r>
        <w:t xml:space="preserve">Estándar armonizado, especificación común u otro estándar reconocido</w:t>
      </w:r>
    </w:p>
    <w:p>
      <w:pPr>
        <w:numPr>
          <w:ilvl w:val="0"/>
          <w:numId w:val="1636"/>
        </w:numPr>
        <w:pStyle w:val="Compact"/>
      </w:pPr>
      <w:r>
        <w:t xml:space="preserve">Práctica recomendada de gobernanza o garantía</w:t>
      </w:r>
    </w:p>
    <w:p>
      <w:pPr>
        <w:numPr>
          <w:ilvl w:val="0"/>
          <w:numId w:val="1636"/>
        </w:numPr>
        <w:pStyle w:val="Compact"/>
      </w:pPr>
      <w:r>
        <w:t xml:space="preserve">Mejora opcional</w:t>
      </w:r>
    </w:p>
    <w:bookmarkEnd w:id="1738"/>
    <w:bookmarkStart w:id="1739" w:name="ámbitos-de-control-mínimos"/>
    <w:p>
      <w:pPr>
        <w:pStyle w:val="Heading2"/>
      </w:pPr>
      <w:r>
        <w:rPr>
          <w:rStyle w:val="SectionNumber"/>
        </w:rPr>
        <w:t xml:space="preserve">2.317</w:t>
      </w:r>
      <w:r>
        <w:tab/>
      </w:r>
      <w:r>
        <w:t xml:space="preserve">Ámbitos de control mínimos</w:t>
      </w:r>
    </w:p>
    <w:p>
      <w:pPr>
        <w:numPr>
          <w:ilvl w:val="0"/>
          <w:numId w:val="1637"/>
        </w:numPr>
        <w:pStyle w:val="Compact"/>
      </w:pPr>
      <w:r>
        <w:t xml:space="preserve">gobernanza, rendición de cuentas y supervisión del consejo de administración;</w:t>
      </w:r>
    </w:p>
    <w:p>
      <w:pPr>
        <w:numPr>
          <w:ilvl w:val="0"/>
          <w:numId w:val="1637"/>
        </w:numPr>
        <w:pStyle w:val="Compact"/>
      </w:pPr>
      <w:r>
        <w:t xml:space="preserve">inventario, admisión, propiedad y estado del ciclo de vida;</w:t>
      </w:r>
    </w:p>
    <w:p>
      <w:pPr>
        <w:numPr>
          <w:ilvl w:val="0"/>
          <w:numId w:val="1637"/>
        </w:numPr>
        <w:pStyle w:val="Compact"/>
      </w:pPr>
      <w:r>
        <w:t xml:space="preserve">aplicabilidad, función del actor y clasificación legal;</w:t>
      </w:r>
    </w:p>
    <w:p>
      <w:pPr>
        <w:numPr>
          <w:ilvl w:val="0"/>
          <w:numId w:val="1637"/>
        </w:numPr>
        <w:pStyle w:val="Compact"/>
      </w:pPr>
      <w:r>
        <w:t xml:space="preserve">la detección de prácticas prohibidas;</w:t>
      </w:r>
    </w:p>
    <w:p>
      <w:pPr>
        <w:numPr>
          <w:ilvl w:val="0"/>
          <w:numId w:val="1637"/>
        </w:numPr>
        <w:pStyle w:val="Compact"/>
      </w:pPr>
      <w:r>
        <w:t xml:space="preserve">evaluación del riesgo, la seguridad y los derechos fundamentales;</w:t>
      </w:r>
    </w:p>
    <w:p>
      <w:pPr>
        <w:numPr>
          <w:ilvl w:val="0"/>
          <w:numId w:val="1637"/>
        </w:numPr>
        <w:pStyle w:val="Compact"/>
      </w:pPr>
      <w:r>
        <w:t xml:space="preserve">gobernanza de datos, privacidad y controles de propiedad intelectual;</w:t>
      </w:r>
    </w:p>
    <w:p>
      <w:pPr>
        <w:numPr>
          <w:ilvl w:val="0"/>
          <w:numId w:val="1637"/>
        </w:numPr>
        <w:pStyle w:val="Compact"/>
      </w:pPr>
      <w:r>
        <w:t xml:space="preserve">documentación técnica, control de versiones y gestión de pruebas;</w:t>
      </w:r>
    </w:p>
    <w:p>
      <w:pPr>
        <w:numPr>
          <w:ilvl w:val="0"/>
          <w:numId w:val="1637"/>
        </w:numPr>
        <w:pStyle w:val="Compact"/>
      </w:pPr>
      <w:r>
        <w:t xml:space="preserve">precisión, robustez, seguridad cibernética, resiliencia y controles de mal uso;</w:t>
      </w:r>
    </w:p>
    <w:p>
      <w:pPr>
        <w:numPr>
          <w:ilvl w:val="0"/>
          <w:numId w:val="1637"/>
        </w:numPr>
        <w:pStyle w:val="Compact"/>
      </w:pPr>
      <w:r>
        <w:t xml:space="preserve">transparencia, instrucciones, accesibilidad y supervisión humana;</w:t>
      </w:r>
    </w:p>
    <w:p>
      <w:pPr>
        <w:numPr>
          <w:ilvl w:val="0"/>
          <w:numId w:val="1637"/>
        </w:numPr>
        <w:pStyle w:val="Compact"/>
      </w:pPr>
      <w:r>
        <w:t xml:space="preserve">registro, trazabilidad, seguimiento y mantenimiento de registros;</w:t>
      </w:r>
    </w:p>
    <w:p>
      <w:pPr>
        <w:numPr>
          <w:ilvl w:val="0"/>
          <w:numId w:val="1637"/>
        </w:numPr>
        <w:pStyle w:val="Compact"/>
      </w:pPr>
      <w:r>
        <w:t xml:space="preserve">la gobernanza de los proveedores, los contratos, la dependencia y la cadena de suministro;</w:t>
      </w:r>
    </w:p>
    <w:p>
      <w:pPr>
        <w:numPr>
          <w:ilvl w:val="0"/>
          <w:numId w:val="1637"/>
        </w:numPr>
        <w:pStyle w:val="Compact"/>
      </w:pPr>
      <w:r>
        <w:t xml:space="preserve">el cambio, la liberación, la finalidad prevista y los controles de modificación sustancial;</w:t>
      </w:r>
    </w:p>
    <w:p>
      <w:pPr>
        <w:numPr>
          <w:ilvl w:val="0"/>
          <w:numId w:val="1637"/>
        </w:numPr>
        <w:pStyle w:val="Compact"/>
      </w:pPr>
      <w:r>
        <w:t xml:space="preserve">la conformidad, el registro, la declaración, el marcado y la disposición normativa, cuando proceda;</w:t>
      </w:r>
    </w:p>
    <w:p>
      <w:pPr>
        <w:numPr>
          <w:ilvl w:val="0"/>
          <w:numId w:val="1637"/>
        </w:numPr>
        <w:pStyle w:val="Compact"/>
      </w:pPr>
      <w:r>
        <w:t xml:space="preserve">seguimiento posterior a la comercialización, incidentes, quejas y medidas correctoras;</w:t>
      </w:r>
    </w:p>
    <w:p>
      <w:pPr>
        <w:numPr>
          <w:ilvl w:val="0"/>
          <w:numId w:val="1637"/>
        </w:numPr>
        <w:pStyle w:val="Compact"/>
      </w:pPr>
      <w:r>
        <w:t xml:space="preserve">Alfabetización, competencia, auditoría interna, conclusiones y mejora continua de la IA.</w:t>
      </w:r>
    </w:p>
    <w:bookmarkEnd w:id="1739"/>
    <w:bookmarkStart w:id="1740" w:name="campos-de-diseño-de-control"/>
    <w:p>
      <w:pPr>
        <w:pStyle w:val="Heading2"/>
      </w:pPr>
      <w:r>
        <w:rPr>
          <w:rStyle w:val="SectionNumber"/>
        </w:rPr>
        <w:t xml:space="preserve">2.318</w:t>
      </w:r>
      <w:r>
        <w:tab/>
      </w:r>
      <w:r>
        <w:t xml:space="preserve">Campos de diseño de control</w:t>
      </w:r>
    </w:p>
    <w:p>
      <w:pPr>
        <w:pStyle w:val="FirstParagraph"/>
      </w:pPr>
      <w:r>
        <w:t xml:space="preserve">Para cada control, registrar:</w:t>
      </w:r>
    </w:p>
    <w:p>
      <w:pPr>
        <w:numPr>
          <w:ilvl w:val="0"/>
          <w:numId w:val="1638"/>
        </w:numPr>
        <w:pStyle w:val="Compact"/>
      </w:pPr>
      <w:r>
        <w:t xml:space="preserve">ámbito, actor, sistema, versión, jurisdicción y fecha de aplicación;</w:t>
      </w:r>
    </w:p>
    <w:p>
      <w:pPr>
        <w:numPr>
          <w:ilvl w:val="0"/>
          <w:numId w:val="1638"/>
        </w:numPr>
        <w:pStyle w:val="Compact"/>
      </w:pPr>
      <w:r>
        <w:t xml:space="preserve">los datos de activación y los insumos necesarios;</w:t>
      </w:r>
    </w:p>
    <w:p>
      <w:pPr>
        <w:numPr>
          <w:ilvl w:val="0"/>
          <w:numId w:val="1638"/>
        </w:numPr>
        <w:pStyle w:val="Compact"/>
      </w:pPr>
      <w:r>
        <w:t xml:space="preserve">procedimientos detallados y criterios de decisión;</w:t>
      </w:r>
    </w:p>
    <w:p>
      <w:pPr>
        <w:numPr>
          <w:ilvl w:val="0"/>
          <w:numId w:val="1638"/>
        </w:numPr>
        <w:pStyle w:val="Compact"/>
      </w:pPr>
      <w:r>
        <w:t xml:space="preserve">autoridad, separación de funciones y escalada;</w:t>
      </w:r>
    </w:p>
    <w:p>
      <w:pPr>
        <w:numPr>
          <w:ilvl w:val="0"/>
          <w:numId w:val="1638"/>
        </w:numPr>
        <w:pStyle w:val="Compact"/>
      </w:pPr>
      <w:r>
        <w:t xml:space="preserve">carácter preventivo o detective;</w:t>
      </w:r>
    </w:p>
    <w:p>
      <w:pPr>
        <w:numPr>
          <w:ilvl w:val="0"/>
          <w:numId w:val="1638"/>
        </w:numPr>
        <w:pStyle w:val="Compact"/>
      </w:pPr>
      <w:r>
        <w:t xml:space="preserve">dependencias de funcionamiento y automatización manuales o automatizadas;</w:t>
      </w:r>
    </w:p>
    <w:p>
      <w:pPr>
        <w:numPr>
          <w:ilvl w:val="0"/>
          <w:numId w:val="1638"/>
        </w:numPr>
        <w:pStyle w:val="Compact"/>
      </w:pPr>
      <w:r>
        <w:t xml:space="preserve">pruebas generadas y sistema de registro;</w:t>
      </w:r>
    </w:p>
    <w:p>
      <w:pPr>
        <w:numPr>
          <w:ilvl w:val="0"/>
          <w:numId w:val="1638"/>
        </w:numPr>
        <w:pStyle w:val="Compact"/>
      </w:pPr>
      <w:r>
        <w:t xml:space="preserve">la base de retención y las restricciones de confidencialidad;</w:t>
      </w:r>
    </w:p>
    <w:p>
      <w:pPr>
        <w:numPr>
          <w:ilvl w:val="0"/>
          <w:numId w:val="1638"/>
        </w:numPr>
        <w:pStyle w:val="Compact"/>
      </w:pPr>
      <w:r>
        <w:t xml:space="preserve">método de ensayo, criterios de aceptación y resultado de funcionamiento;</w:t>
      </w:r>
    </w:p>
    <w:p>
      <w:pPr>
        <w:numPr>
          <w:ilvl w:val="0"/>
          <w:numId w:val="1638"/>
        </w:numPr>
        <w:pStyle w:val="Compact"/>
      </w:pPr>
      <w:r>
        <w:t xml:space="preserve">control de las dependencias, de las repercusiones y de los controles compensatorios;</w:t>
      </w:r>
    </w:p>
    <w:p>
      <w:pPr>
        <w:numPr>
          <w:ilvl w:val="0"/>
          <w:numId w:val="1638"/>
        </w:numPr>
        <w:pStyle w:val="Compact"/>
      </w:pPr>
      <w:r>
        <w:t xml:space="preserve">consecuencias de fracaso y respuesta requerida;</w:t>
      </w:r>
    </w:p>
    <w:p>
      <w:pPr>
        <w:numPr>
          <w:ilvl w:val="0"/>
          <w:numId w:val="1638"/>
        </w:numPr>
        <w:pStyle w:val="Compact"/>
      </w:pPr>
      <w:r>
        <w:t xml:space="preserve">los factores desencadenantes de cambio y reevaluación.</w:t>
      </w:r>
    </w:p>
    <w:bookmarkEnd w:id="1740"/>
    <w:bookmarkStart w:id="1741" w:name="estado-de-control"/>
    <w:p>
      <w:pPr>
        <w:pStyle w:val="Heading2"/>
      </w:pPr>
      <w:r>
        <w:rPr>
          <w:rStyle w:val="SectionNumber"/>
        </w:rPr>
        <w:t xml:space="preserve">2.319</w:t>
      </w:r>
      <w:r>
        <w:tab/>
      </w:r>
      <w:r>
        <w:t xml:space="preserve">Estado de control</w:t>
      </w:r>
    </w:p>
    <w:p>
      <w:pPr>
        <w:pStyle w:val="FirstParagraph"/>
      </w:pPr>
      <w:r>
        <w:t xml:space="preserve">Use uno:</w:t>
      </w:r>
    </w:p>
    <w:p>
      <w:pPr>
        <w:numPr>
          <w:ilvl w:val="0"/>
          <w:numId w:val="1639"/>
        </w:numPr>
        <w:pStyle w:val="Compact"/>
      </w:pPr>
      <w:r>
        <w:t xml:space="preserve">Diseñado</w:t>
      </w:r>
    </w:p>
    <w:p>
      <w:pPr>
        <w:numPr>
          <w:ilvl w:val="0"/>
          <w:numId w:val="1639"/>
        </w:numPr>
        <w:pStyle w:val="Compact"/>
      </w:pPr>
      <w:r>
        <w:t xml:space="preserve">Aplicada</w:t>
      </w:r>
    </w:p>
    <w:p>
      <w:pPr>
        <w:numPr>
          <w:ilvl w:val="0"/>
          <w:numId w:val="1639"/>
        </w:numPr>
        <w:pStyle w:val="Compact"/>
      </w:pPr>
      <w:r>
        <w:t xml:space="preserve">Funcionamiento</w:t>
      </w:r>
    </w:p>
    <w:p>
      <w:pPr>
        <w:numPr>
          <w:ilvl w:val="0"/>
          <w:numId w:val="1639"/>
        </w:numPr>
        <w:pStyle w:val="Compact"/>
      </w:pPr>
      <w:r>
        <w:t xml:space="preserve">Parcialmente efectivo</w:t>
      </w:r>
    </w:p>
    <w:p>
      <w:pPr>
        <w:numPr>
          <w:ilvl w:val="0"/>
          <w:numId w:val="1639"/>
        </w:numPr>
        <w:pStyle w:val="Compact"/>
      </w:pPr>
      <w:r>
        <w:t xml:space="preserve">Ineficacia</w:t>
      </w:r>
    </w:p>
    <w:p>
      <w:pPr>
        <w:numPr>
          <w:ilvl w:val="0"/>
          <w:numId w:val="1639"/>
        </w:numPr>
        <w:pStyle w:val="Compact"/>
      </w:pPr>
      <w:r>
        <w:t xml:space="preserve">No se aplica, con justificación documentada</w:t>
      </w:r>
    </w:p>
    <w:p>
      <w:pPr>
        <w:numPr>
          <w:ilvl w:val="0"/>
          <w:numId w:val="1639"/>
        </w:numPr>
        <w:pStyle w:val="Compact"/>
      </w:pPr>
      <w:r>
        <w:t xml:space="preserve">Suspendido</w:t>
      </w:r>
    </w:p>
    <w:p>
      <w:pPr>
        <w:numPr>
          <w:ilvl w:val="0"/>
          <w:numId w:val="1639"/>
        </w:numPr>
        <w:pStyle w:val="Compact"/>
      </w:pPr>
      <w:r>
        <w:t xml:space="preserve">Jubilado</w:t>
      </w:r>
    </w:p>
    <w:p>
      <w:pPr>
        <w:pStyle w:val="FirstParagraph"/>
      </w:pPr>
      <w:r>
        <w:t xml:space="preserve">No califique un control como operativo o efectivo únicamente porque exista una política o procedimiento. El estado debe reflejar la evidencia de rendimiento actual, vinculada a la versión.</w:t>
      </w:r>
    </w:p>
    <w:bookmarkEnd w:id="1741"/>
    <w:bookmarkStart w:id="1742" w:name="ensayos-y-medidas-correctivas"/>
    <w:p>
      <w:pPr>
        <w:pStyle w:val="Heading2"/>
      </w:pPr>
      <w:r>
        <w:rPr>
          <w:rStyle w:val="SectionNumber"/>
        </w:rPr>
        <w:t xml:space="preserve">2.320</w:t>
      </w:r>
      <w:r>
        <w:tab/>
      </w:r>
      <w:r>
        <w:t xml:space="preserve">Ensayos y medidas correctivas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 de control</w:t>
            </w:r>
          </w:p>
        </w:tc>
        <w:tc>
          <w:tcPr/>
          <w:p>
            <w:pPr>
              <w:pStyle w:val="Compact"/>
              <w:jc w:val="left"/>
            </w:pPr>
            <w:r>
              <w:t xml:space="preserve">Período de ensayo/muestra</w:t>
            </w:r>
          </w:p>
        </w:tc>
        <w:tc>
          <w:tcPr/>
          <w:p>
            <w:pPr>
              <w:pStyle w:val="Compact"/>
              <w:jc w:val="left"/>
            </w:pPr>
            <w:r>
              <w:t xml:space="preserve">Resultado del diseño</w:t>
            </w:r>
          </w:p>
        </w:tc>
        <w:tc>
          <w:tcPr/>
          <w:p>
            <w:pPr>
              <w:pStyle w:val="Compact"/>
              <w:jc w:val="left"/>
            </w:pPr>
            <w:r>
              <w:t xml:space="preserve">Resultado de funcionamiento</w:t>
            </w:r>
          </w:p>
        </w:tc>
        <w:tc>
          <w:tcPr/>
          <w:p>
            <w:pPr>
              <w:pStyle w:val="Compact"/>
              <w:jc w:val="left"/>
            </w:pPr>
            <w:r>
              <w:t xml:space="preserve">Gravedad de la deficiencia</w:t>
            </w:r>
          </w:p>
        </w:tc>
        <w:tc>
          <w:tcPr/>
          <w:p>
            <w:pPr>
              <w:pStyle w:val="Compact"/>
              <w:jc w:val="left"/>
            </w:pPr>
            <w:r>
              <w:t xml:space="preserve">Control provisional</w:t>
            </w:r>
          </w:p>
        </w:tc>
        <w:tc>
          <w:tcPr/>
          <w:p>
            <w:pPr>
              <w:pStyle w:val="Compact"/>
              <w:jc w:val="left"/>
            </w:pPr>
            <w:r>
              <w:t xml:space="preserve">Propietario de la rehabilitación</w:t>
            </w:r>
          </w:p>
        </w:tc>
        <w:tc>
          <w:tcPr/>
          <w:p>
            <w:pPr>
              <w:pStyle w:val="Compact"/>
              <w:jc w:val="left"/>
            </w:pPr>
            <w:r>
              <w:t xml:space="preserve">Fecha de vencimiento</w:t>
            </w:r>
          </w:p>
        </w:tc>
        <w:tc>
          <w:tcPr/>
          <w:p>
            <w:pPr>
              <w:pStyle w:val="Compact"/>
              <w:jc w:val="left"/>
            </w:pPr>
            <w:r>
              <w:t xml:space="preserve">Pruebas de cierre</w:t>
            </w:r>
          </w:p>
        </w:tc>
        <w:tc>
          <w:tcPr/>
          <w:p>
            <w:pPr>
              <w:pStyle w:val="Compact"/>
              <w:jc w:val="left"/>
            </w:pPr>
            <w:r>
              <w:t xml:space="preserve">Validación independiente</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Los fracasos repetidos, las excepciones no justificadas o las acciones de alta severidad vencidas deben intensificarse de acuerdo con el modelo de gobernanza aprobado.</w:t>
      </w:r>
    </w:p>
    <w:bookmarkEnd w:id="1742"/>
    <w:bookmarkStart w:id="1743" w:name="activadores-de-revisión"/>
    <w:p>
      <w:pPr>
        <w:pStyle w:val="Heading2"/>
      </w:pPr>
      <w:r>
        <w:rPr>
          <w:rStyle w:val="SectionNumber"/>
        </w:rPr>
        <w:t xml:space="preserve">2.321</w:t>
      </w:r>
      <w:r>
        <w:tab/>
      </w:r>
      <w:r>
        <w:t xml:space="preserve">Activadores de revisión</w:t>
      </w:r>
    </w:p>
    <w:p>
      <w:pPr>
        <w:pStyle w:val="FirstParagraph"/>
      </w:pPr>
      <w:r>
        <w:t xml:space="preserve">Reevaluación después de cambios legales, actor-papel, propósito, sistema/modelo/versión, datos, proveedor, jurisdicción, incidente, queja, auditoría, control-fracaso, conformidad o fecha de aplicación.</w:t>
      </w:r>
    </w:p>
    <w:bookmarkEnd w:id="1743"/>
    <w:bookmarkStart w:id="1744" w:name="homologación-17"/>
    <w:p>
      <w:pPr>
        <w:pStyle w:val="Heading2"/>
      </w:pPr>
      <w:r>
        <w:rPr>
          <w:rStyle w:val="SectionNumber"/>
        </w:rPr>
        <w:t xml:space="preserve">2.322</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Propietario del registro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Responsable del riesgo/control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Auditoría interna/garantía,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Versión aprobada:</w:t>
      </w:r>
      <w:r>
        <w:rPr>
          <w:bCs/>
          <w:b/>
        </w:rPr>
        <w:t xml:space="preserve"> </w:t>
      </w:r>
      <w:r>
        <w:t xml:space="preserve">Repositorio de pruebas:</w:t>
      </w:r>
      <w:r>
        <w:rPr>
          <w:bCs/>
          <w:b/>
        </w:rPr>
        <w:t xml:space="preserve"> </w:t>
      </w:r>
      <w:r>
        <w:t xml:space="preserve"> </w:t>
      </w:r>
      <w:r>
        <w:t xml:space="preserve">Limitaciones del material abierto:</w:t>
      </w:r>
      <w:r>
        <w:rPr>
          <w:bCs/>
          <w:b/>
        </w:rPr>
        <w:t xml:space="preserve"> </w:t>
      </w:r>
      <w:r>
        <w:t xml:space="preserve">Pedido/fecha de la próxima revisión:**</w:t>
      </w:r>
    </w:p>
    <w:bookmarkEnd w:id="1744"/>
    <w:bookmarkStart w:id="1745" w:name="Xe7892619a57325e020ee481b1cf1ce2f87035f1"/>
    <w:p>
      <w:pPr>
        <w:pStyle w:val="Heading2"/>
      </w:pPr>
      <w:r>
        <w:rPr>
          <w:rStyle w:val="SectionNumber"/>
        </w:rPr>
        <w:t xml:space="preserve">2.323</w:t>
      </w:r>
      <w:r>
        <w:tab/>
      </w:r>
      <w:r>
        <w:t xml:space="preserve">Apéndice V — Registro de pruebas de inteligencia artificial</w:t>
      </w:r>
    </w:p>
    <w:p>
      <w:pPr>
        <w:pStyle w:val="BlockText"/>
      </w:pPr>
      <w:r>
        <w:rPr>
          <w:bCs/>
          <w:b/>
        </w:rPr>
        <w:t xml:space="preserve">Estatus legal:</w:t>
      </w:r>
      <w:r>
        <w:t xml:space="preserve"> </w:t>
      </w:r>
      <w:r>
        <w:t xml:space="preserve">Maestro inglés corregido. Los requisitos de prueba y retención son provisión-, actor-, sistema-, versión-, evento-, contrato- y jurisdicción-específica. La Ley de IA de la UE no impone un período de retención universal para todos los registros de IA.</w:t>
      </w:r>
    </w:p>
    <w:bookmarkEnd w:id="1745"/>
    <w:bookmarkStart w:id="1746" w:name="finalidad-39"/>
    <w:p>
      <w:pPr>
        <w:pStyle w:val="Heading2"/>
      </w:pPr>
      <w:r>
        <w:rPr>
          <w:rStyle w:val="SectionNumber"/>
        </w:rPr>
        <w:t xml:space="preserve">2.324</w:t>
      </w:r>
      <w:r>
        <w:tab/>
      </w:r>
      <w:r>
        <w:t xml:space="preserve">Finalidad</w:t>
      </w:r>
    </w:p>
    <w:p>
      <w:pPr>
        <w:pStyle w:val="FirstParagraph"/>
      </w:pPr>
      <w:r>
        <w:t xml:space="preserve">Utilice este registro para identificar, localizar, controlar, retener, validar y producir pruebas que apoyen la gobernanza de la IA, las obligaciones estatutarias, las actividades de conformidad, las obligaciones contractuales, los controles internos, las auditorías, las investigaciones y las decisiones de gestión.</w:t>
      </w:r>
    </w:p>
    <w:bookmarkEnd w:id="1746"/>
    <w:bookmarkStart w:id="1747" w:name="registro-de-pruebas-1"/>
    <w:p>
      <w:pPr>
        <w:pStyle w:val="Heading2"/>
      </w:pPr>
      <w:r>
        <w:rPr>
          <w:rStyle w:val="SectionNumber"/>
        </w:rPr>
        <w:t xml:space="preserve">2.325</w:t>
      </w:r>
      <w:r>
        <w:tab/>
      </w:r>
      <w:r>
        <w:t xml:space="preserve">Registro de pruebas</w:t>
      </w:r>
    </w:p>
    <w:tbl>
      <w:tblPr>
        <w:tblStyle w:val="Table"/>
        <w:tblW w:type="pct" w:w="500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Identificación de la prueba</w:t>
            </w:r>
          </w:p>
        </w:tc>
        <w:tc>
          <w:tcPr/>
          <w:p>
            <w:pPr>
              <w:pStyle w:val="Compact"/>
              <w:jc w:val="left"/>
            </w:pPr>
            <w:r>
              <w:t xml:space="preserve">Título de prueba</w:t>
            </w:r>
          </w:p>
        </w:tc>
        <w:tc>
          <w:tcPr/>
          <w:p>
            <w:pPr>
              <w:pStyle w:val="Compact"/>
              <w:jc w:val="left"/>
            </w:pPr>
            <w:r>
              <w:t xml:space="preserve">Categoría</w:t>
            </w:r>
          </w:p>
        </w:tc>
        <w:tc>
          <w:tcPr/>
          <w:p>
            <w:pPr>
              <w:pStyle w:val="Compact"/>
              <w:jc w:val="left"/>
            </w:pPr>
            <w:r>
              <w:t xml:space="preserve">Sistema/modelo/versión</w:t>
            </w:r>
          </w:p>
        </w:tc>
        <w:tc>
          <w:tcPr/>
          <w:p>
            <w:pPr>
              <w:pStyle w:val="Compact"/>
              <w:jc w:val="left"/>
            </w:pPr>
            <w:r>
              <w:t xml:space="preserve">Actor/entidad</w:t>
            </w:r>
          </w:p>
        </w:tc>
        <w:tc>
          <w:tcPr/>
          <w:p>
            <w:pPr>
              <w:pStyle w:val="Compact"/>
              <w:jc w:val="left"/>
            </w:pPr>
            <w:r>
              <w:t xml:space="preserve">Requisito/control</w:t>
            </w:r>
          </w:p>
        </w:tc>
        <w:tc>
          <w:tcPr/>
          <w:p>
            <w:pPr>
              <w:pStyle w:val="Compact"/>
              <w:jc w:val="left"/>
            </w:pPr>
            <w:r>
              <w:t xml:space="preserve">Fuente/provisión exacta</w:t>
            </w:r>
          </w:p>
        </w:tc>
        <w:tc>
          <w:tcPr/>
          <w:p>
            <w:pPr>
              <w:pStyle w:val="Compact"/>
              <w:jc w:val="left"/>
            </w:pPr>
            <w:r>
              <w:t xml:space="preserve">Período/evento</w:t>
            </w:r>
          </w:p>
        </w:tc>
        <w:tc>
          <w:tcPr/>
          <w:p>
            <w:pPr>
              <w:pStyle w:val="Compact"/>
              <w:jc w:val="left"/>
            </w:pPr>
            <w:r>
              <w:t xml:space="preserve">Propietario/fuente</w:t>
            </w:r>
          </w:p>
        </w:tc>
        <w:tc>
          <w:tcPr/>
          <w:p>
            <w:pPr>
              <w:pStyle w:val="Compact"/>
              <w:jc w:val="left"/>
            </w:pPr>
            <w:r>
              <w:t xml:space="preserve">Estado de la homologación</w:t>
            </w:r>
          </w:p>
        </w:tc>
        <w:tc>
          <w:tcPr/>
          <w:p>
            <w:pPr>
              <w:pStyle w:val="Compact"/>
              <w:jc w:val="left"/>
            </w:pPr>
            <w:r>
              <w:t xml:space="preserve">Ubicación del repositorio</w:t>
            </w:r>
          </w:p>
        </w:tc>
        <w:tc>
          <w:tcPr/>
          <w:p>
            <w:pPr>
              <w:pStyle w:val="Compact"/>
              <w:jc w:val="left"/>
            </w:pPr>
            <w:r>
              <w:t xml:space="preserve">Control de integridad</w:t>
            </w:r>
          </w:p>
        </w:tc>
        <w:tc>
          <w:tcPr/>
          <w:p>
            <w:pPr>
              <w:pStyle w:val="Compact"/>
              <w:jc w:val="left"/>
            </w:pPr>
            <w:r>
              <w:t xml:space="preserve">Confidencialidad</w:t>
            </w:r>
          </w:p>
        </w:tc>
        <w:tc>
          <w:tcPr/>
          <w:p>
            <w:pPr>
              <w:pStyle w:val="Compact"/>
              <w:jc w:val="left"/>
            </w:pPr>
            <w:r>
              <w:t xml:space="preserve">Base de retención/período</w:t>
            </w:r>
          </w:p>
        </w:tc>
        <w:tc>
          <w:tcPr/>
          <w:p>
            <w:pPr>
              <w:pStyle w:val="Compact"/>
              <w:jc w:val="left"/>
            </w:pPr>
            <w:r>
              <w:t xml:space="preserve">Holding jurídico</w:t>
            </w:r>
          </w:p>
        </w:tc>
        <w:tc>
          <w:tcPr/>
          <w:p>
            <w:pPr>
              <w:pStyle w:val="Compact"/>
              <w:jc w:val="left"/>
            </w:pPr>
            <w:r>
              <w:t xml:space="preserve">Último examen</w:t>
            </w:r>
          </w:p>
        </w:tc>
        <w:tc>
          <w:tcPr/>
          <w:p>
            <w:pPr>
              <w:pStyle w:val="Compact"/>
              <w:jc w:val="left"/>
            </w:pPr>
            <w:r>
              <w:t xml:space="preserve">Brecha/medida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47"/>
    <w:bookmarkStart w:id="1748" w:name="criterios-de-calidad-de-las-pruebas-2"/>
    <w:p>
      <w:pPr>
        <w:pStyle w:val="Heading2"/>
      </w:pPr>
      <w:r>
        <w:rPr>
          <w:rStyle w:val="SectionNumber"/>
        </w:rPr>
        <w:t xml:space="preserve">2.326</w:t>
      </w:r>
      <w:r>
        <w:tab/>
      </w:r>
      <w:r>
        <w:t xml:space="preserve">Criterios de calidad de las pruebas</w:t>
      </w:r>
    </w:p>
    <w:p>
      <w:pPr>
        <w:pStyle w:val="FirstParagraph"/>
      </w:pPr>
      <w:r>
        <w:t xml:space="preserve">Las pruebas deben ser:</w:t>
      </w:r>
    </w:p>
    <w:p>
      <w:pPr>
        <w:numPr>
          <w:ilvl w:val="0"/>
          <w:numId w:val="1640"/>
        </w:numPr>
        <w:pStyle w:val="Compact"/>
      </w:pPr>
      <w:r>
        <w:t xml:space="preserve">relevante para la finalidad jurídica, de control, conformidad, auditoría o gestión declarada;</w:t>
      </w:r>
    </w:p>
    <w:p>
      <w:pPr>
        <w:numPr>
          <w:ilvl w:val="0"/>
          <w:numId w:val="1640"/>
        </w:numPr>
        <w:pStyle w:val="Compact"/>
      </w:pPr>
      <w:r>
        <w:t xml:space="preserve">completa para el período, evento, actor, sistema y versión aplicable;</w:t>
      </w:r>
    </w:p>
    <w:p>
      <w:pPr>
        <w:numPr>
          <w:ilvl w:val="0"/>
          <w:numId w:val="1640"/>
        </w:numPr>
        <w:pStyle w:val="Compact"/>
      </w:pPr>
      <w:r>
        <w:t xml:space="preserve">precisa, oportuna y atribuible a una fuente responsable;</w:t>
      </w:r>
    </w:p>
    <w:p>
      <w:pPr>
        <w:numPr>
          <w:ilvl w:val="0"/>
          <w:numId w:val="1640"/>
        </w:numPr>
        <w:pStyle w:val="Compact"/>
      </w:pPr>
      <w:r>
        <w:t xml:space="preserve">auténtico y protegido contra la alteración o supresión no autorizada;</w:t>
      </w:r>
    </w:p>
    <w:p>
      <w:pPr>
        <w:numPr>
          <w:ilvl w:val="0"/>
          <w:numId w:val="1640"/>
        </w:numPr>
        <w:pStyle w:val="Compact"/>
      </w:pPr>
      <w:r>
        <w:t xml:space="preserve">la versión vinculada y reproducible, cuando proceda;</w:t>
      </w:r>
    </w:p>
    <w:p>
      <w:pPr>
        <w:numPr>
          <w:ilvl w:val="0"/>
          <w:numId w:val="1640"/>
        </w:numPr>
        <w:pStyle w:val="Compact"/>
      </w:pPr>
      <w:r>
        <w:t xml:space="preserve">comprensible sin suposiciones infundadas;</w:t>
      </w:r>
    </w:p>
    <w:p>
      <w:pPr>
        <w:numPr>
          <w:ilvl w:val="0"/>
          <w:numId w:val="1640"/>
        </w:numPr>
        <w:pStyle w:val="Compact"/>
      </w:pPr>
      <w:r>
        <w:t xml:space="preserve">la coherencia interna y la conciliación con los registros conexos;</w:t>
      </w:r>
    </w:p>
    <w:p>
      <w:pPr>
        <w:numPr>
          <w:ilvl w:val="0"/>
          <w:numId w:val="1640"/>
        </w:numPr>
        <w:pStyle w:val="Compact"/>
      </w:pPr>
      <w:r>
        <w:t xml:space="preserve">accesible a los revisores autorizados, protegiendo al mismo tiempo la confidencialidad, la privacidad, la propiedad intelectual y los secretos comerciales;</w:t>
      </w:r>
    </w:p>
    <w:p>
      <w:pPr>
        <w:numPr>
          <w:ilvl w:val="0"/>
          <w:numId w:val="1640"/>
        </w:numPr>
        <w:pStyle w:val="Compact"/>
      </w:pPr>
      <w:r>
        <w:t xml:space="preserve">que puedan recuperarse dentro del plazo contractual, reglamentario, de auditoría o de respuesta a incidentes aplicable;</w:t>
      </w:r>
    </w:p>
    <w:p>
      <w:pPr>
        <w:numPr>
          <w:ilvl w:val="0"/>
          <w:numId w:val="1640"/>
        </w:numPr>
        <w:pStyle w:val="Compact"/>
      </w:pPr>
      <w:r>
        <w:t xml:space="preserve">mantenidos y eliminados de acuerdo con una base legal y comercial documentada.</w:t>
      </w:r>
    </w:p>
    <w:p>
      <w:pPr>
        <w:pStyle w:val="FirstParagraph"/>
      </w:pPr>
      <w:r>
        <w:t xml:space="preserve">Un título de política, certificado, captura de pantalla, declaración del proveedor o página web en vivo no es suficiente por sí solo a menos que se establezca el alcance, la versión, el período, la fuente y los detalles de apoyo.</w:t>
      </w:r>
    </w:p>
    <w:bookmarkEnd w:id="1748"/>
    <w:bookmarkStart w:id="1749" w:name="categorías-de-pruebas"/>
    <w:p>
      <w:pPr>
        <w:pStyle w:val="Heading2"/>
      </w:pPr>
      <w:r>
        <w:rPr>
          <w:rStyle w:val="SectionNumber"/>
        </w:rPr>
        <w:t xml:space="preserve">2.327</w:t>
      </w:r>
      <w:r>
        <w:tab/>
      </w:r>
      <w:r>
        <w:t xml:space="preserve">Categorías de pruebas</w:t>
      </w:r>
    </w:p>
    <w:p>
      <w:pPr>
        <w:numPr>
          <w:ilvl w:val="0"/>
          <w:numId w:val="1641"/>
        </w:numPr>
        <w:pStyle w:val="Compact"/>
      </w:pPr>
      <w:r>
        <w:t xml:space="preserve">inventario, propiedad, aplicabilidad, papel de actor y clasificación;</w:t>
      </w:r>
    </w:p>
    <w:p>
      <w:pPr>
        <w:numPr>
          <w:ilvl w:val="0"/>
          <w:numId w:val="1641"/>
        </w:numPr>
        <w:pStyle w:val="Compact"/>
      </w:pPr>
      <w:r>
        <w:t xml:space="preserve">prácticas prohibidas, riesgos, FRIA, DPIA, evaluación de la seguridad y los derechos;</w:t>
      </w:r>
    </w:p>
    <w:p>
      <w:pPr>
        <w:numPr>
          <w:ilvl w:val="0"/>
          <w:numId w:val="1641"/>
        </w:numPr>
        <w:pStyle w:val="Compact"/>
      </w:pPr>
      <w:r>
        <w:t xml:space="preserve">procedencia de datos, gobernanza, calidad, privacidad y linaje;</w:t>
      </w:r>
    </w:p>
    <w:p>
      <w:pPr>
        <w:numPr>
          <w:ilvl w:val="0"/>
          <w:numId w:val="1641"/>
        </w:numPr>
        <w:pStyle w:val="Compact"/>
      </w:pPr>
      <w:r>
        <w:t xml:space="preserve">arquitectura, documentación técnica, configuración e historia de versiones;</w:t>
      </w:r>
    </w:p>
    <w:p>
      <w:pPr>
        <w:numPr>
          <w:ilvl w:val="0"/>
          <w:numId w:val="1641"/>
        </w:numPr>
        <w:pStyle w:val="Compact"/>
      </w:pPr>
      <w:r>
        <w:t xml:space="preserve">validación, pruebas, precisión, robustez, ciberseguridad, accesibilidad y resultados de subgrupos;</w:t>
      </w:r>
    </w:p>
    <w:p>
      <w:pPr>
        <w:numPr>
          <w:ilvl w:val="0"/>
          <w:numId w:val="1641"/>
        </w:numPr>
        <w:pStyle w:val="Compact"/>
      </w:pPr>
      <w:r>
        <w:t xml:space="preserve">la ruta de conformidad, el organismo notificado, la declaración, el registro, el marcado y, en su caso, los registros del derecho del producto;</w:t>
      </w:r>
    </w:p>
    <w:p>
      <w:pPr>
        <w:numPr>
          <w:ilvl w:val="0"/>
          <w:numId w:val="1641"/>
        </w:numPr>
        <w:pStyle w:val="Compact"/>
      </w:pPr>
      <w:r>
        <w:t xml:space="preserve">avisos de transparencia, instrucciones, supervisión humana, formación y competencia;</w:t>
      </w:r>
    </w:p>
    <w:p>
      <w:pPr>
        <w:numPr>
          <w:ilvl w:val="0"/>
          <w:numId w:val="1641"/>
        </w:numPr>
        <w:pStyle w:val="Compact"/>
      </w:pPr>
      <w:r>
        <w:t xml:space="preserve">la tala, el seguimiento, los incidentes, las quejas, los recursos y las medidas correctivas;</w:t>
      </w:r>
    </w:p>
    <w:p>
      <w:pPr>
        <w:numPr>
          <w:ilvl w:val="0"/>
          <w:numId w:val="1641"/>
        </w:numPr>
        <w:pStyle w:val="Compact"/>
      </w:pPr>
      <w:r>
        <w:t xml:space="preserve">proveedores, contratos, dependencia, notificación de cambios y registros de salida;</w:t>
      </w:r>
    </w:p>
    <w:p>
      <w:pPr>
        <w:numPr>
          <w:ilvl w:val="0"/>
          <w:numId w:val="1641"/>
        </w:numPr>
        <w:pStyle w:val="Compact"/>
      </w:pPr>
      <w:r>
        <w:t xml:space="preserve">correspondencia de la autoridad, presentaciones reglamentarias, retención legal, litigio e investigaciones;</w:t>
      </w:r>
    </w:p>
    <w:p>
      <w:pPr>
        <w:numPr>
          <w:ilvl w:val="0"/>
          <w:numId w:val="1641"/>
        </w:numPr>
        <w:pStyle w:val="Compact"/>
      </w:pPr>
      <w:r>
        <w:t xml:space="preserve">pruebas de control interno, auditoría, garantía, conclusiones, excepciones y aprobaciones de gestión.</w:t>
      </w:r>
    </w:p>
    <w:bookmarkEnd w:id="1749"/>
    <w:bookmarkStart w:id="1750" w:name="validación-de-pruebas"/>
    <w:p>
      <w:pPr>
        <w:pStyle w:val="Heading2"/>
      </w:pPr>
      <w:r>
        <w:rPr>
          <w:rStyle w:val="SectionNumber"/>
        </w:rPr>
        <w:t xml:space="preserve">2.328</w:t>
      </w:r>
      <w:r>
        <w:tab/>
      </w:r>
      <w:r>
        <w:t xml:space="preserve">Validación de pruebas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Identificación de la prueba</w:t>
            </w:r>
          </w:p>
        </w:tc>
        <w:tc>
          <w:tcPr/>
          <w:p>
            <w:pPr>
              <w:pStyle w:val="Compact"/>
              <w:jc w:val="left"/>
            </w:pPr>
            <w:r>
              <w:t xml:space="preserve">Amplitud/versión</w:t>
            </w:r>
          </w:p>
        </w:tc>
        <w:tc>
          <w:tcPr/>
          <w:p>
            <w:pPr>
              <w:pStyle w:val="Compact"/>
              <w:jc w:val="left"/>
            </w:pPr>
            <w:r>
              <w:t xml:space="preserve">Autenticación verificada</w:t>
            </w:r>
          </w:p>
        </w:tc>
        <w:tc>
          <w:tcPr/>
          <w:p>
            <w:pPr>
              <w:pStyle w:val="Compact"/>
              <w:jc w:val="left"/>
            </w:pPr>
            <w:r>
              <w:t xml:space="preserve">Resultado de la completitud</w:t>
            </w:r>
          </w:p>
        </w:tc>
        <w:tc>
          <w:tcPr/>
          <w:p>
            <w:pPr>
              <w:pStyle w:val="Compact"/>
              <w:jc w:val="left"/>
            </w:pPr>
            <w:r>
              <w:t xml:space="preserve">Resultado de la coherencia</w:t>
            </w:r>
          </w:p>
        </w:tc>
        <w:tc>
          <w:tcPr/>
          <w:p>
            <w:pPr>
              <w:pStyle w:val="Compact"/>
              <w:jc w:val="left"/>
            </w:pPr>
            <w:r>
              <w:t xml:space="preserve">Prueba de recuperabilidad</w:t>
            </w:r>
          </w:p>
        </w:tc>
        <w:tc>
          <w:tcPr/>
          <w:p>
            <w:pPr>
              <w:pStyle w:val="Compact"/>
              <w:jc w:val="left"/>
            </w:pPr>
            <w:r>
              <w:t xml:space="preserve">Revisor</w:t>
            </w:r>
          </w:p>
        </w:tc>
        <w:tc>
          <w:tcPr/>
          <w:p>
            <w:pPr>
              <w:pStyle w:val="Compact"/>
              <w:jc w:val="left"/>
            </w:pPr>
            <w:r>
              <w:t xml:space="preserve">Fecha de revisión</w:t>
            </w:r>
          </w:p>
        </w:tc>
        <w:tc>
          <w:tcPr/>
          <w:p>
            <w:pPr>
              <w:pStyle w:val="Compact"/>
              <w:jc w:val="left"/>
            </w:pPr>
            <w:r>
              <w:t xml:space="preserve">Limitación/acción</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No trate la evidencia como actual cuando se refiere a un modelo, configuración, jurisdicción, proveedor, período de control o marco legal reemplazado.</w:t>
      </w:r>
    </w:p>
    <w:bookmarkEnd w:id="1750"/>
    <w:bookmarkStart w:id="1751" w:name="retención-y-retención-legal"/>
    <w:p>
      <w:pPr>
        <w:pStyle w:val="Heading2"/>
      </w:pPr>
      <w:r>
        <w:rPr>
          <w:rStyle w:val="SectionNumber"/>
        </w:rPr>
        <w:t xml:space="preserve">2.329</w:t>
      </w:r>
      <w:r>
        <w:tab/>
      </w:r>
      <w:r>
        <w:t xml:space="preserve">Retención y retención legal</w:t>
      </w:r>
    </w:p>
    <w:p>
      <w:pPr>
        <w:pStyle w:val="FirstParagraph"/>
      </w:pPr>
      <w:r>
        <w:t xml:space="preserve">Para cada registro, identifique el control legal, regulatorio, contractual, de conformidad, litigio, investigación, empleo, privacidad, seguridad del producto, u base organizacional. Grabe el evento de inicio de reloj, período de retención, método de eliminación, suspensión de eliminación, y propietario legal.</w:t>
      </w:r>
    </w:p>
    <w:bookmarkEnd w:id="1751"/>
    <w:bookmarkStart w:id="1752" w:name="gestión-de-las-lagunas"/>
    <w:p>
      <w:pPr>
        <w:pStyle w:val="Heading2"/>
      </w:pPr>
      <w:r>
        <w:rPr>
          <w:rStyle w:val="SectionNumber"/>
        </w:rPr>
        <w:t xml:space="preserve">2.330</w:t>
      </w:r>
      <w:r>
        <w:tab/>
      </w:r>
      <w:r>
        <w:t xml:space="preserve">Gestión de las lagunas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ID de brecha</w:t>
            </w:r>
          </w:p>
        </w:tc>
        <w:tc>
          <w:tcPr/>
          <w:p>
            <w:pPr>
              <w:pStyle w:val="Compact"/>
              <w:jc w:val="left"/>
            </w:pPr>
            <w:r>
              <w:t xml:space="preserve">Evidencia faltante o débil</w:t>
            </w:r>
          </w:p>
        </w:tc>
        <w:tc>
          <w:tcPr/>
          <w:p>
            <w:pPr>
              <w:pStyle w:val="Compact"/>
              <w:jc w:val="left"/>
            </w:pPr>
            <w:r>
              <w:t xml:space="preserve">Efectos jurídicos y de control</w:t>
            </w:r>
          </w:p>
        </w:tc>
        <w:tc>
          <w:tcPr/>
          <w:p>
            <w:pPr>
              <w:pStyle w:val="Compact"/>
              <w:jc w:val="left"/>
            </w:pPr>
            <w:r>
              <w:t xml:space="preserve">Control provisional</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Situación</w:t>
            </w:r>
          </w:p>
        </w:tc>
        <w:tc>
          <w:tcPr/>
          <w:p>
            <w:pPr>
              <w:pStyle w:val="Compact"/>
              <w:jc w:val="left"/>
            </w:pPr>
            <w:r>
              <w:t xml:space="preserve">Pruebas de cierre</w:t>
            </w:r>
          </w:p>
        </w:tc>
        <w:tc>
          <w:tcPr/>
          <w:p>
            <w:pPr>
              <w:pStyle w:val="Compact"/>
              <w:jc w:val="left"/>
            </w:pPr>
            <w:r>
              <w:t xml:space="preserve">Validación independiente</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Deben aumentarse las lagunas en materia de pruebas materiales que afecten a un deber jurídico, la ruta de conformidad, la investigación de incidentes, la solicitud de autorización, la decisión de liberación o el riesgo residual aceptado y pueden requerir restricciones o suspensión.</w:t>
      </w:r>
    </w:p>
    <w:bookmarkEnd w:id="1752"/>
    <w:bookmarkStart w:id="1753" w:name="activadores-de-revisión-1"/>
    <w:p>
      <w:pPr>
        <w:pStyle w:val="Heading2"/>
      </w:pPr>
      <w:r>
        <w:rPr>
          <w:rStyle w:val="SectionNumber"/>
        </w:rPr>
        <w:t xml:space="preserve">2.331</w:t>
      </w:r>
      <w:r>
        <w:tab/>
      </w:r>
      <w:r>
        <w:t xml:space="preserve">Activadores de revisión</w:t>
      </w:r>
    </w:p>
    <w:p>
      <w:pPr>
        <w:pStyle w:val="FirstParagraph"/>
      </w:pPr>
      <w:r>
        <w:t xml:space="preserve">Actualización tras cambios en el sistema, el modelo, los datos, el actor-papel, el proveedor, la jurisdicción, la legislación, el control o la retención; incidentes o quejas; auditorías o actividades de conformidad; solicitudes de la autoridad; litigios o investigaciones anticipados; retención legal; y fallos en la calidad de las pruebas.</w:t>
      </w:r>
    </w:p>
    <w:bookmarkEnd w:id="1753"/>
    <w:bookmarkStart w:id="1754" w:name="homologación-18"/>
    <w:p>
      <w:pPr>
        <w:pStyle w:val="Heading2"/>
      </w:pPr>
      <w:r>
        <w:rPr>
          <w:rStyle w:val="SectionNumber"/>
        </w:rPr>
        <w:t xml:space="preserve">2.332</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Propietario del registro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Registros/privacidad/seguridad,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Auditoría/garantía,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Versión aprobada:</w:t>
      </w:r>
      <w:r>
        <w:rPr>
          <w:bCs/>
          <w:b/>
        </w:rPr>
        <w:t xml:space="preserve"> </w:t>
      </w:r>
      <w:r>
        <w:t xml:space="preserve">Repositorio de pruebas:</w:t>
      </w:r>
      <w:r>
        <w:rPr>
          <w:bCs/>
          <w:b/>
        </w:rPr>
        <w:t xml:space="preserve"> </w:t>
      </w:r>
      <w:r>
        <w:t xml:space="preserve"> </w:t>
      </w:r>
      <w:r>
        <w:t xml:space="preserve">Limitaciones del material abierto:</w:t>
      </w:r>
      <w:r>
        <w:rPr>
          <w:bCs/>
          <w:b/>
        </w:rPr>
        <w:t xml:space="preserve"> </w:t>
      </w:r>
      <w:r>
        <w:t xml:space="preserve">Pedido/fecha de la próxima revisión:**</w:t>
      </w:r>
    </w:p>
    <w:bookmarkEnd w:id="1754"/>
    <w:bookmarkStart w:id="1755" w:name="apéndice-w-programa-de-auditoría-interna"/>
    <w:p>
      <w:pPr>
        <w:pStyle w:val="Heading2"/>
      </w:pPr>
      <w:r>
        <w:rPr>
          <w:rStyle w:val="SectionNumber"/>
        </w:rPr>
        <w:t xml:space="preserve">2.333</w:t>
      </w:r>
      <w:r>
        <w:tab/>
      </w:r>
      <w:r>
        <w:t xml:space="preserve">Apéndice W — Programa de auditoría interna</w:t>
      </w:r>
    </w:p>
    <w:p>
      <w:pPr>
        <w:pStyle w:val="BlockText"/>
      </w:pPr>
      <w:r>
        <w:rPr>
          <w:bCs/>
          <w:b/>
        </w:rPr>
        <w:t xml:space="preserve">Situación jurídica:</w:t>
      </w:r>
      <w:r>
        <w:t xml:space="preserve"> </w:t>
      </w:r>
      <w:r>
        <w:t xml:space="preserve">Maestría en inglés corregida. La Ley de IA de la UE no impone una función de auditoría interna independiente universal a cada organización. La auditoría interna es una práctica de garantía voluntaria u requerida por la organización y no reemplaza la responsabilidad de la administración, la evaluación de la conformidad, la participación de los organismos notificados o la supervisión de la autoridad.</w:t>
      </w:r>
    </w:p>
    <w:bookmarkEnd w:id="1755"/>
    <w:bookmarkStart w:id="1756" w:name="finalidad-40"/>
    <w:p>
      <w:pPr>
        <w:pStyle w:val="Heading2"/>
      </w:pPr>
      <w:r>
        <w:rPr>
          <w:rStyle w:val="SectionNumber"/>
        </w:rPr>
        <w:t xml:space="preserve">2.334</w:t>
      </w:r>
      <w:r>
        <w:tab/>
      </w:r>
      <w:r>
        <w:t xml:space="preserve">Finalidad</w:t>
      </w:r>
    </w:p>
    <w:p>
      <w:pPr>
        <w:pStyle w:val="FirstParagraph"/>
      </w:pPr>
      <w:r>
        <w:t xml:space="preserve">Utilice este programa para planificar la cobertura de auditoría interna basada en el riesgo de gobernanza, sistemas, controles, pruebas, preparación jurídica y eficacia del programa.</w:t>
      </w:r>
    </w:p>
    <w:bookmarkEnd w:id="1756"/>
    <w:bookmarkStart w:id="1757" w:name="información-sobre-los-programas"/>
    <w:p>
      <w:pPr>
        <w:pStyle w:val="Heading2"/>
      </w:pPr>
      <w:r>
        <w:rPr>
          <w:rStyle w:val="SectionNumber"/>
        </w:rPr>
        <w:t xml:space="preserve">2.335</w:t>
      </w:r>
      <w:r>
        <w:tab/>
      </w:r>
      <w:r>
        <w:t xml:space="preserve">1. Información sobre los programas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Período de auditoría</w:t>
            </w:r>
          </w:p>
        </w:tc>
        <w:tc>
          <w:tcPr/>
          <w:p>
            <w:pPr>
              <w:pStyle w:val="Compact"/>
              <w:jc w:val="left"/>
            </w:pPr>
            <w:r>
              <w:t xml:space="preserve">- No, no.</w:t>
            </w:r>
          </w:p>
        </w:tc>
      </w:tr>
      <w:tr>
        <w:tc>
          <w:tcPr/>
          <w:p>
            <w:pPr>
              <w:pStyle w:val="Compact"/>
              <w:jc w:val="left"/>
            </w:pPr>
            <w:r>
              <w:t xml:space="preserve">Jefe ejecutivo de auditoría o responsable del programa</w:t>
            </w:r>
          </w:p>
        </w:tc>
        <w:tc>
          <w:tcPr/>
          <w:p>
            <w:pPr>
              <w:pStyle w:val="Compact"/>
              <w:jc w:val="left"/>
            </w:pPr>
            <w:r>
              <w:t xml:space="preserve">- No, no.</w:t>
            </w:r>
          </w:p>
        </w:tc>
      </w:tr>
      <w:tr>
        <w:tc>
          <w:tcPr/>
          <w:p>
            <w:pPr>
              <w:pStyle w:val="Compact"/>
              <w:jc w:val="left"/>
            </w:pPr>
            <w:r>
              <w:t xml:space="preserve">Autoridad de homologación</w:t>
            </w:r>
          </w:p>
        </w:tc>
        <w:tc>
          <w:tcPr/>
          <w:p>
            <w:pPr>
              <w:pStyle w:val="Compact"/>
              <w:jc w:val="left"/>
            </w:pPr>
            <w:r>
              <w:t xml:space="preserve">- No, no.</w:t>
            </w:r>
          </w:p>
        </w:tc>
      </w:tr>
      <w:tr>
        <w:tc>
          <w:tcPr/>
          <w:p>
            <w:pPr>
              <w:pStyle w:val="Compact"/>
              <w:jc w:val="left"/>
            </w:pPr>
            <w:r>
              <w:t xml:space="preserve">Entidades y jurisdicciones de alcance</w:t>
            </w:r>
          </w:p>
        </w:tc>
        <w:tc>
          <w:tcPr/>
          <w:p>
            <w:pPr>
              <w:pStyle w:val="Compact"/>
              <w:jc w:val="left"/>
            </w:pPr>
            <w:r>
              <w:t xml:space="preserve">- No, no.</w:t>
            </w:r>
          </w:p>
        </w:tc>
      </w:tr>
      <w:tr>
        <w:tc>
          <w:tcPr/>
          <w:p>
            <w:pPr>
              <w:pStyle w:val="Compact"/>
              <w:jc w:val="left"/>
            </w:pPr>
            <w:r>
              <w:t xml:space="preserve">Independencia y derechos de acceso</w:t>
            </w:r>
          </w:p>
        </w:tc>
        <w:tc>
          <w:tcPr/>
          <w:p>
            <w:pPr>
              <w:pStyle w:val="Compact"/>
              <w:jc w:val="left"/>
            </w:pPr>
            <w:r>
              <w:t xml:space="preserve">- No, no.</w:t>
            </w:r>
          </w:p>
        </w:tc>
      </w:tr>
      <w:tr>
        <w:tc>
          <w:tcPr/>
          <w:p>
            <w:pPr>
              <w:pStyle w:val="Compact"/>
              <w:jc w:val="left"/>
            </w:pPr>
            <w:r>
              <w:t xml:space="preserve">Base de referencia jurídica y normativa actual</w:t>
            </w:r>
          </w:p>
        </w:tc>
        <w:tc>
          <w:tcPr/>
          <w:p>
            <w:pPr>
              <w:pStyle w:val="Compact"/>
              <w:jc w:val="left"/>
            </w:pPr>
            <w:r>
              <w:t xml:space="preserve">- No, no.</w:t>
            </w:r>
          </w:p>
        </w:tc>
      </w:tr>
      <w:tr>
        <w:tc>
          <w:tcPr/>
          <w:p>
            <w:pPr>
              <w:pStyle w:val="Compact"/>
              <w:jc w:val="left"/>
            </w:pPr>
            <w:r>
              <w:t xml:space="preserve">Especialistas técnicos y jurídicos disponibles</w:t>
            </w:r>
          </w:p>
        </w:tc>
        <w:tc>
          <w:tcPr/>
          <w:p>
            <w:pPr>
              <w:pStyle w:val="Compact"/>
              <w:jc w:val="left"/>
            </w:pPr>
            <w:r>
              <w:t xml:space="preserve">- No, no.</w:t>
            </w:r>
          </w:p>
        </w:tc>
      </w:tr>
    </w:tbl>
    <w:bookmarkEnd w:id="1757"/>
    <w:bookmarkStart w:id="1758" w:name="universo-de-auditoría-de-ia"/>
    <w:p>
      <w:pPr>
        <w:pStyle w:val="Heading2"/>
      </w:pPr>
      <w:r>
        <w:rPr>
          <w:rStyle w:val="SectionNumber"/>
        </w:rPr>
        <w:t xml:space="preserve">2.336</w:t>
      </w:r>
      <w:r>
        <w:tab/>
      </w:r>
      <w:r>
        <w:t xml:space="preserve">2. Universo de auditoría de IA</w:t>
      </w:r>
    </w:p>
    <w:p>
      <w:pPr>
        <w:pStyle w:val="FirstParagraph"/>
      </w:pPr>
      <w:r>
        <w:t xml:space="preserve">Incluir, según proceda:</w:t>
      </w:r>
    </w:p>
    <w:p>
      <w:pPr>
        <w:numPr>
          <w:ilvl w:val="0"/>
          <w:numId w:val="1642"/>
        </w:numPr>
        <w:pStyle w:val="Compact"/>
      </w:pPr>
      <w:r>
        <w:t xml:space="preserve">gobernanza empresarial de la IA, rendición de cuentas y supervisión de las juntas;</w:t>
      </w:r>
    </w:p>
    <w:p>
      <w:pPr>
        <w:numPr>
          <w:ilvl w:val="0"/>
          <w:numId w:val="1642"/>
        </w:numPr>
        <w:pStyle w:val="Compact"/>
      </w:pPr>
      <w:r>
        <w:t xml:space="preserve">inventarios, admisión, propiedad, estado del ciclo de vida y IA en la sombra;</w:t>
      </w:r>
    </w:p>
    <w:p>
      <w:pPr>
        <w:numPr>
          <w:ilvl w:val="0"/>
          <w:numId w:val="1642"/>
        </w:numPr>
        <w:pStyle w:val="Compact"/>
      </w:pPr>
      <w:r>
        <w:t xml:space="preserve">aplicabilidad, función del actor, artículo 5, artículo 6, artículo 50, GPAI y clasificaciones sectoriales;</w:t>
      </w:r>
    </w:p>
    <w:p>
      <w:pPr>
        <w:numPr>
          <w:ilvl w:val="0"/>
          <w:numId w:val="1642"/>
        </w:numPr>
        <w:pStyle w:val="Compact"/>
      </w:pPr>
      <w:r>
        <w:t xml:space="preserve">sistemas, modelos, versiones y despliegues de IA de alto riesgo y otros materiales;</w:t>
      </w:r>
    </w:p>
    <w:p>
      <w:pPr>
        <w:numPr>
          <w:ilvl w:val="0"/>
          <w:numId w:val="1642"/>
        </w:numPr>
        <w:pStyle w:val="Compact"/>
      </w:pPr>
      <w:r>
        <w:t xml:space="preserve">los procesos de riesgo, derechos fundamentales, privacidad, seguridad y gobernanza de los datos;</w:t>
      </w:r>
    </w:p>
    <w:p>
      <w:pPr>
        <w:numPr>
          <w:ilvl w:val="0"/>
          <w:numId w:val="1642"/>
        </w:numPr>
        <w:pStyle w:val="Compact"/>
      </w:pPr>
      <w:r>
        <w:t xml:space="preserve">documentación técnica, conciliación de versiones, validación, robustez, ciberseguridad y resiliencia;</w:t>
      </w:r>
    </w:p>
    <w:p>
      <w:pPr>
        <w:numPr>
          <w:ilvl w:val="0"/>
          <w:numId w:val="1642"/>
        </w:numPr>
        <w:pStyle w:val="Compact"/>
      </w:pPr>
      <w:r>
        <w:t xml:space="preserve">supervisión humana, transparencia, accesibilidad, quejas y apelaciones;</w:t>
      </w:r>
    </w:p>
    <w:p>
      <w:pPr>
        <w:numPr>
          <w:ilvl w:val="0"/>
          <w:numId w:val="1642"/>
        </w:numPr>
        <w:pStyle w:val="Compact"/>
      </w:pPr>
      <w:r>
        <w:t xml:space="preserve">proveedores críticos, proveedores modelo, subprocesadores, contratos y riesgo de concentración;</w:t>
      </w:r>
    </w:p>
    <w:p>
      <w:pPr>
        <w:numPr>
          <w:ilvl w:val="0"/>
          <w:numId w:val="1642"/>
        </w:numPr>
        <w:pStyle w:val="Compact"/>
      </w:pPr>
      <w:r>
        <w:t xml:space="preserve">gestión del cambio, cambios de propósito, modificaciones sustanciales y controles de liberación;</w:t>
      </w:r>
    </w:p>
    <w:p>
      <w:pPr>
        <w:numPr>
          <w:ilvl w:val="0"/>
          <w:numId w:val="1642"/>
        </w:numPr>
        <w:pStyle w:val="Compact"/>
      </w:pPr>
      <w:r>
        <w:t xml:space="preserve">la preparación para la conformidad, el registro, las declaraciones, el marcado y, en su caso, las interfaces entre el derecho de los productos;</w:t>
      </w:r>
    </w:p>
    <w:p>
      <w:pPr>
        <w:numPr>
          <w:ilvl w:val="0"/>
          <w:numId w:val="1642"/>
        </w:numPr>
        <w:pStyle w:val="Compact"/>
      </w:pPr>
      <w:r>
        <w:t xml:space="preserve">el seguimiento, los incidentes, las medidas correctivas, las detenciones legales, la preservación de pruebas y la respuesta de la autoridad;</w:t>
      </w:r>
    </w:p>
    <w:p>
      <w:pPr>
        <w:numPr>
          <w:ilvl w:val="0"/>
          <w:numId w:val="1642"/>
        </w:numPr>
        <w:pStyle w:val="Compact"/>
      </w:pPr>
      <w:r>
        <w:t xml:space="preserve">Alfabetización de la IA, competencia, pruebas de control, excepciones, rehabilitación y mejora continua.</w:t>
      </w:r>
    </w:p>
    <w:bookmarkEnd w:id="1758"/>
    <w:bookmarkStart w:id="1759" w:name="evaluación-de-riesgos-y-plan-anual"/>
    <w:p>
      <w:pPr>
        <w:pStyle w:val="Heading2"/>
      </w:pPr>
      <w:r>
        <w:rPr>
          <w:rStyle w:val="SectionNumber"/>
        </w:rPr>
        <w:t xml:space="preserve">2.337</w:t>
      </w:r>
      <w:r>
        <w:tab/>
      </w:r>
      <w:r>
        <w:t xml:space="preserve">3. Evaluación de riesgos y plan anual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Ámbito auditable</w:t>
            </w:r>
          </w:p>
        </w:tc>
        <w:tc>
          <w:tcPr/>
          <w:p>
            <w:pPr>
              <w:pStyle w:val="Compact"/>
              <w:jc w:val="left"/>
            </w:pPr>
            <w:r>
              <w:t xml:space="preserve">Importancia jurídica/operacional</w:t>
            </w:r>
          </w:p>
        </w:tc>
        <w:tc>
          <w:tcPr/>
          <w:p>
            <w:pPr>
              <w:pStyle w:val="Compact"/>
              <w:jc w:val="left"/>
            </w:pPr>
            <w:r>
              <w:t xml:space="preserve">Riesgo inherente</w:t>
            </w:r>
          </w:p>
        </w:tc>
        <w:tc>
          <w:tcPr/>
          <w:p>
            <w:pPr>
              <w:pStyle w:val="Compact"/>
              <w:jc w:val="left"/>
            </w:pPr>
            <w:r>
              <w:t xml:space="preserve">Vencimiento de control</w:t>
            </w:r>
          </w:p>
        </w:tc>
        <w:tc>
          <w:tcPr/>
          <w:p>
            <w:pPr>
              <w:pStyle w:val="Compact"/>
              <w:jc w:val="left"/>
            </w:pPr>
            <w:r>
              <w:t xml:space="preserve">Conclusiones previas/incidentes</w:t>
            </w:r>
          </w:p>
        </w:tc>
        <w:tc>
          <w:tcPr/>
          <w:p>
            <w:pPr>
              <w:pStyle w:val="Compact"/>
              <w:jc w:val="left"/>
            </w:pPr>
            <w:r>
              <w:t xml:space="preserve">Cambio de nivel</w:t>
            </w:r>
          </w:p>
        </w:tc>
        <w:tc>
          <w:tcPr/>
          <w:p>
            <w:pPr>
              <w:pStyle w:val="Compact"/>
              <w:jc w:val="left"/>
            </w:pPr>
            <w:r>
              <w:t xml:space="preserve">Prioridad prevista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Participación de los auditores</w:t>
            </w:r>
          </w:p>
        </w:tc>
        <w:tc>
          <w:tcPr/>
          <w:p>
            <w:pPr>
              <w:pStyle w:val="Compact"/>
              <w:jc w:val="left"/>
            </w:pPr>
            <w:r>
              <w:t xml:space="preserve">Objetivo</w:t>
            </w:r>
          </w:p>
        </w:tc>
        <w:tc>
          <w:tcPr/>
          <w:p>
            <w:pPr>
              <w:pStyle w:val="Compact"/>
              <w:jc w:val="left"/>
            </w:pPr>
            <w:r>
              <w:t xml:space="preserve">Ámbito de aplicación</w:t>
            </w:r>
          </w:p>
        </w:tc>
        <w:tc>
          <w:tcPr/>
          <w:p>
            <w:pPr>
              <w:pStyle w:val="Compact"/>
              <w:jc w:val="left"/>
            </w:pPr>
            <w:r>
              <w:t xml:space="preserve">Calendario</w:t>
            </w:r>
          </w:p>
        </w:tc>
        <w:tc>
          <w:tcPr/>
          <w:p>
            <w:pPr>
              <w:pStyle w:val="Compact"/>
              <w:jc w:val="left"/>
            </w:pPr>
            <w:r>
              <w:t xml:space="preserve">Plomo</w:t>
            </w:r>
          </w:p>
        </w:tc>
        <w:tc>
          <w:tcPr/>
          <w:p>
            <w:pPr>
              <w:pStyle w:val="Compact"/>
              <w:jc w:val="left"/>
            </w:pPr>
            <w:r>
              <w:t xml:space="preserve">Capacidades requeridas</w:t>
            </w:r>
          </w:p>
        </w:tc>
        <w:tc>
          <w:tcPr/>
          <w:p>
            <w:pPr>
              <w:pStyle w:val="Compact"/>
              <w:jc w:val="left"/>
            </w:pPr>
            <w:r>
              <w:t xml:space="preserve">Esfuerzo estimado</w:t>
            </w:r>
          </w:p>
        </w:tc>
        <w:tc>
          <w:tcPr/>
          <w:p>
            <w:pPr>
              <w:pStyle w:val="Compact"/>
              <w:jc w:val="left"/>
            </w:pPr>
            <w:r>
              <w:t xml:space="preserve">Situación</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La priorización debe considerar los plazos legales, la exposición a prácticas prohibidas, las obligaciones de alto riesgo y GPAI, las poblaciones afectadas, los incidentes, las quejas, los cambios significativos, la dependencia de los proveedores, la debilidad de las pruebas y el retraso en la reparación.</w:t>
      </w:r>
    </w:p>
    <w:bookmarkEnd w:id="1759"/>
    <w:bookmarkStart w:id="1760" w:name="diseño-del-compromiso"/>
    <w:p>
      <w:pPr>
        <w:pStyle w:val="Heading2"/>
      </w:pPr>
      <w:r>
        <w:rPr>
          <w:rStyle w:val="SectionNumber"/>
        </w:rPr>
        <w:t xml:space="preserve">2.338</w:t>
      </w:r>
      <w:r>
        <w:tab/>
      </w:r>
      <w:r>
        <w:t xml:space="preserve">4. Diseño del compromiso</w:t>
      </w:r>
    </w:p>
    <w:p>
      <w:pPr>
        <w:pStyle w:val="FirstParagraph"/>
      </w:pPr>
      <w:r>
        <w:t xml:space="preserve">Cada auditoría debe definir:</w:t>
      </w:r>
    </w:p>
    <w:p>
      <w:pPr>
        <w:numPr>
          <w:ilvl w:val="0"/>
          <w:numId w:val="1643"/>
        </w:numPr>
        <w:pStyle w:val="Compact"/>
      </w:pPr>
      <w:r>
        <w:t xml:space="preserve">objetivos, criterios, alcance, período, entidades, jurisdicciones, sistemas, modelos y versiones;</w:t>
      </w:r>
    </w:p>
    <w:p>
      <w:pPr>
        <w:numPr>
          <w:ilvl w:val="0"/>
          <w:numId w:val="1643"/>
        </w:numPr>
        <w:pStyle w:val="Compact"/>
      </w:pPr>
      <w:r>
        <w:t xml:space="preserve">las funciones pertinentes de los agentes, los fines previstos, las disposiciones jurídicas, los contratos, las políticas y las normas;</w:t>
      </w:r>
    </w:p>
    <w:p>
      <w:pPr>
        <w:numPr>
          <w:ilvl w:val="0"/>
          <w:numId w:val="1643"/>
        </w:numPr>
        <w:pStyle w:val="Compact"/>
      </w:pPr>
      <w:r>
        <w:t xml:space="preserve">exclusiones, suposiciones, limitaciones de pruebas y dependencia de otras garantías;</w:t>
      </w:r>
    </w:p>
    <w:p>
      <w:pPr>
        <w:numPr>
          <w:ilvl w:val="0"/>
          <w:numId w:val="1643"/>
        </w:numPr>
        <w:pStyle w:val="Compact"/>
      </w:pPr>
      <w:r>
        <w:t xml:space="preserve">estrategia de muestreo y exhaustividad de la población;</w:t>
      </w:r>
    </w:p>
    <w:p>
      <w:pPr>
        <w:numPr>
          <w:ilvl w:val="0"/>
          <w:numId w:val="1643"/>
        </w:numPr>
        <w:pStyle w:val="Compact"/>
      </w:pPr>
      <w:r>
        <w:t xml:space="preserve">los conocimientos técnicos, jurídicos, de privacidad, de seguridad, de datos, de accesibilidad y de dominio;</w:t>
      </w:r>
    </w:p>
    <w:p>
      <w:pPr>
        <w:numPr>
          <w:ilvl w:val="0"/>
          <w:numId w:val="1643"/>
        </w:numPr>
        <w:pStyle w:val="Compact"/>
      </w:pPr>
      <w:r>
        <w:t xml:space="preserve">independencia, conflictos, acceso a la gestión, confidencialidad y revisión de la calidad;</w:t>
      </w:r>
    </w:p>
    <w:p>
      <w:pPr>
        <w:numPr>
          <w:ilvl w:val="0"/>
          <w:numId w:val="1643"/>
        </w:numPr>
        <w:pStyle w:val="Compact"/>
      </w:pPr>
      <w:r>
        <w:t xml:space="preserve">información, escalada, medidas correctivas y métodos de validación de cierres.</w:t>
      </w:r>
    </w:p>
    <w:bookmarkEnd w:id="1760"/>
    <w:bookmarkStart w:id="1761" w:name="objetivos-básicos-de-la-auditoría"/>
    <w:p>
      <w:pPr>
        <w:pStyle w:val="Heading2"/>
      </w:pPr>
      <w:r>
        <w:rPr>
          <w:rStyle w:val="SectionNumber"/>
        </w:rPr>
        <w:t xml:space="preserve">2.339</w:t>
      </w:r>
      <w:r>
        <w:tab/>
      </w:r>
      <w:r>
        <w:t xml:space="preserve">5. Objetivos básicos de la auditoría</w:t>
      </w:r>
    </w:p>
    <w:p>
      <w:pPr>
        <w:numPr>
          <w:ilvl w:val="0"/>
          <w:numId w:val="1644"/>
        </w:numPr>
        <w:pStyle w:val="Compact"/>
      </w:pPr>
      <w:r>
        <w:t xml:space="preserve">evaluar la gobernanza, la rendición de cuentas, los derechos de decisión y la presentación de informes por parte de la junta;</w:t>
      </w:r>
    </w:p>
    <w:p>
      <w:pPr>
        <w:numPr>
          <w:ilvl w:val="0"/>
          <w:numId w:val="1644"/>
        </w:numPr>
        <w:pStyle w:val="Compact"/>
      </w:pPr>
      <w:r>
        <w:t xml:space="preserve">comprobar la exhaustividad del inventario, la propiedad, la aplicabilidad, las funciones de actor y la clasificación legal;</w:t>
      </w:r>
    </w:p>
    <w:p>
      <w:pPr>
        <w:numPr>
          <w:ilvl w:val="0"/>
          <w:numId w:val="1644"/>
        </w:numPr>
        <w:pStyle w:val="Compact"/>
      </w:pPr>
      <w:r>
        <w:t xml:space="preserve">evaluar los controles de las prácticas prohibidas y las excepciones legalmente justificadas;</w:t>
      </w:r>
    </w:p>
    <w:p>
      <w:pPr>
        <w:numPr>
          <w:ilvl w:val="0"/>
          <w:numId w:val="1644"/>
        </w:numPr>
        <w:pStyle w:val="Compact"/>
      </w:pPr>
      <w:r>
        <w:t xml:space="preserve">comprobar el riesgo, los derechos, la privacidad, los datos, la seguridad y la gobernanza de la accesibilidad;</w:t>
      </w:r>
    </w:p>
    <w:p>
      <w:pPr>
        <w:numPr>
          <w:ilvl w:val="0"/>
          <w:numId w:val="1644"/>
        </w:numPr>
        <w:pStyle w:val="Compact"/>
      </w:pPr>
      <w:r>
        <w:t xml:space="preserve">conciliar la documentación técnica, las pruebas, las configuraciones y las versiones de producción;</w:t>
      </w:r>
    </w:p>
    <w:p>
      <w:pPr>
        <w:numPr>
          <w:ilvl w:val="0"/>
          <w:numId w:val="1644"/>
        </w:numPr>
        <w:pStyle w:val="Compact"/>
      </w:pPr>
      <w:r>
        <w:t xml:space="preserve">la exactitud de las pruebas, el rendimiento de los subgrupos, la robustez, la ciberseguridad, el registro, la supervisión y los controles de transparencia;</w:t>
      </w:r>
    </w:p>
    <w:p>
      <w:pPr>
        <w:numPr>
          <w:ilvl w:val="0"/>
          <w:numId w:val="1644"/>
        </w:numPr>
        <w:pStyle w:val="Compact"/>
      </w:pPr>
      <w:r>
        <w:t xml:space="preserve">revisar las pruebas de los proveedores, la aplicabilidad de los contratos, la gestión de las dependencias y la preparación para la salida;</w:t>
      </w:r>
    </w:p>
    <w:p>
      <w:pPr>
        <w:numPr>
          <w:ilvl w:val="0"/>
          <w:numId w:val="1644"/>
        </w:numPr>
        <w:pStyle w:val="Compact"/>
      </w:pPr>
      <w:r>
        <w:t xml:space="preserve">control de pruebas, incidentes, quejas, retención legal, respuesta reglamentaria y medidas correctivas;</w:t>
      </w:r>
    </w:p>
    <w:p>
      <w:pPr>
        <w:numPr>
          <w:ilvl w:val="0"/>
          <w:numId w:val="1644"/>
        </w:numPr>
        <w:pStyle w:val="Compact"/>
      </w:pPr>
      <w:r>
        <w:t xml:space="preserve">evaluar la disponibilidad de conformidad sin representar la auditoría interna como evaluación de la conformidad;</w:t>
      </w:r>
    </w:p>
    <w:p>
      <w:pPr>
        <w:numPr>
          <w:ilvl w:val="0"/>
          <w:numId w:val="1644"/>
        </w:numPr>
        <w:pStyle w:val="Compact"/>
      </w:pPr>
      <w:r>
        <w:t xml:space="preserve">determinar si los hallazgos, las excepciones y los riesgos aceptados se intensifican con precisión y se remedian de forma sostenible.</w:t>
      </w:r>
    </w:p>
    <w:bookmarkEnd w:id="1761"/>
    <w:bookmarkStart w:id="1762" w:name="métodos-de-ensayo"/>
    <w:p>
      <w:pPr>
        <w:pStyle w:val="Heading2"/>
      </w:pPr>
      <w:r>
        <w:rPr>
          <w:rStyle w:val="SectionNumber"/>
        </w:rPr>
        <w:t xml:space="preserve">2.340</w:t>
      </w:r>
      <w:r>
        <w:tab/>
      </w:r>
      <w:r>
        <w:t xml:space="preserve">6. Métodos de ensayo</w:t>
      </w:r>
    </w:p>
    <w:p>
      <w:pPr>
        <w:pStyle w:val="FirstParagraph"/>
      </w:pPr>
      <w:r>
        <w:t xml:space="preserve">Utilizar, según proceda:</w:t>
      </w:r>
    </w:p>
    <w:p>
      <w:pPr>
        <w:numPr>
          <w:ilvl w:val="0"/>
          <w:numId w:val="1645"/>
        </w:numPr>
        <w:pStyle w:val="Compact"/>
      </w:pPr>
      <w:r>
        <w:t xml:space="preserve">investigación y observación;</w:t>
      </w:r>
    </w:p>
    <w:p>
      <w:pPr>
        <w:numPr>
          <w:ilvl w:val="0"/>
          <w:numId w:val="1645"/>
        </w:numPr>
        <w:pStyle w:val="Compact"/>
      </w:pPr>
      <w:r>
        <w:t xml:space="preserve">la inspección de documentos y registros;</w:t>
      </w:r>
    </w:p>
    <w:p>
      <w:pPr>
        <w:numPr>
          <w:ilvl w:val="0"/>
          <w:numId w:val="1645"/>
        </w:numPr>
        <w:pStyle w:val="Compact"/>
      </w:pPr>
      <w:r>
        <w:t xml:space="preserve">paso a paso y rendimiento;</w:t>
      </w:r>
    </w:p>
    <w:p>
      <w:pPr>
        <w:numPr>
          <w:ilvl w:val="0"/>
          <w:numId w:val="1645"/>
        </w:numPr>
        <w:pStyle w:val="Compact"/>
      </w:pPr>
      <w:r>
        <w:t xml:space="preserve">análisis de datos y conciliación de la población;</w:t>
      </w:r>
    </w:p>
    <w:p>
      <w:pPr>
        <w:numPr>
          <w:ilvl w:val="0"/>
          <w:numId w:val="1645"/>
        </w:numPr>
        <w:pStyle w:val="Compact"/>
      </w:pPr>
      <w:r>
        <w:t xml:space="preserve">configuración, código, aviso, modelo y revisión de control;</w:t>
      </w:r>
    </w:p>
    <w:p>
      <w:pPr>
        <w:numPr>
          <w:ilvl w:val="0"/>
          <w:numId w:val="1645"/>
        </w:numPr>
        <w:pStyle w:val="Compact"/>
      </w:pPr>
      <w:r>
        <w:t xml:space="preserve">muestreo basado en el riesgo;</w:t>
      </w:r>
    </w:p>
    <w:p>
      <w:pPr>
        <w:numPr>
          <w:ilvl w:val="0"/>
          <w:numId w:val="1645"/>
        </w:numPr>
        <w:pStyle w:val="Compact"/>
      </w:pPr>
      <w:r>
        <w:t xml:space="preserve">validación técnica y pruebas contradictorias por especialistas cualificados;</w:t>
      </w:r>
    </w:p>
    <w:p>
      <w:pPr>
        <w:numPr>
          <w:ilvl w:val="0"/>
          <w:numId w:val="1645"/>
        </w:numPr>
        <w:pStyle w:val="Compact"/>
      </w:pPr>
      <w:r>
        <w:t xml:space="preserve">ejercicios de sobremesa y simulaciones reglamentarias;</w:t>
      </w:r>
    </w:p>
    <w:p>
      <w:pPr>
        <w:numPr>
          <w:ilvl w:val="0"/>
          <w:numId w:val="1645"/>
        </w:numPr>
        <w:pStyle w:val="Compact"/>
      </w:pPr>
      <w:r>
        <w:t xml:space="preserve">pruebas de terceros y revisión de contratos;</w:t>
      </w:r>
    </w:p>
    <w:p>
      <w:pPr>
        <w:numPr>
          <w:ilvl w:val="0"/>
          <w:numId w:val="1645"/>
        </w:numPr>
        <w:pStyle w:val="Compact"/>
      </w:pPr>
      <w:r>
        <w:t xml:space="preserve">producción-versión y conciliación de pruebas-repositorio.</w:t>
      </w:r>
    </w:p>
    <w:p>
      <w:pPr>
        <w:pStyle w:val="FirstParagraph"/>
      </w:pPr>
      <w:r>
        <w:t xml:space="preserve">La investigación por sí sola no es prueba suficiente de la operación de control.</w:t>
      </w:r>
    </w:p>
    <w:bookmarkEnd w:id="1762"/>
    <w:bookmarkStart w:id="1763" w:name="independencia-y-competencia"/>
    <w:p>
      <w:pPr>
        <w:pStyle w:val="Heading2"/>
      </w:pPr>
      <w:r>
        <w:rPr>
          <w:rStyle w:val="SectionNumber"/>
        </w:rPr>
        <w:t xml:space="preserve">2.341</w:t>
      </w:r>
      <w:r>
        <w:tab/>
      </w:r>
      <w:r>
        <w:t xml:space="preserve">7. Independencia y competencia</w:t>
      </w:r>
    </w:p>
    <w:p>
      <w:pPr>
        <w:pStyle w:val="FirstParagraph"/>
      </w:pPr>
      <w:r>
        <w:t xml:space="preserve">Documentar la independencia de los auditores, los conflictos, la competencia técnica, la participación de especialistas, la consulta jurídica, la revisión de la calidad, las limitaciones de acceso y cualquier restricción de gestión. Los auditores no deben validar el trabajo para el que tenían una responsabilidad de diseño o operación incompatible sin las salvaguardias adecuadas.</w:t>
      </w:r>
    </w:p>
    <w:bookmarkEnd w:id="1763"/>
    <w:bookmarkStart w:id="1764" w:name="clasificación-de-las-conclusiones"/>
    <w:p>
      <w:pPr>
        <w:pStyle w:val="Heading2"/>
      </w:pPr>
      <w:r>
        <w:rPr>
          <w:rStyle w:val="SectionNumber"/>
        </w:rPr>
        <w:t xml:space="preserve">2.342</w:t>
      </w:r>
      <w:r>
        <w:tab/>
      </w:r>
      <w:r>
        <w:t xml:space="preserve">8. Clasificación de las conclusiones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Calificación</w:t>
            </w:r>
          </w:p>
        </w:tc>
        <w:tc>
          <w:tcPr/>
          <w:p>
            <w:pPr>
              <w:pStyle w:val="Compact"/>
              <w:jc w:val="left"/>
            </w:pPr>
            <w:r>
              <w:t xml:space="preserve">Criterios</w:t>
            </w:r>
          </w:p>
        </w:tc>
        <w:tc>
          <w:tcPr/>
          <w:p>
            <w:pPr>
              <w:pStyle w:val="Compact"/>
              <w:jc w:val="left"/>
            </w:pPr>
            <w:r>
              <w:t xml:space="preserve">Consecuencias jurídicas/operacionales</w:t>
            </w:r>
          </w:p>
        </w:tc>
        <w:tc>
          <w:tcPr/>
          <w:p>
            <w:pPr>
              <w:pStyle w:val="Compact"/>
              <w:jc w:val="left"/>
            </w:pPr>
            <w:r>
              <w:t xml:space="preserve">Escalado</w:t>
            </w:r>
          </w:p>
        </w:tc>
        <w:tc>
          <w:tcPr/>
          <w:p>
            <w:pPr>
              <w:pStyle w:val="Compact"/>
              <w:jc w:val="left"/>
            </w:pPr>
            <w:r>
              <w:t xml:space="preserve">Remediación de objetivos</w:t>
            </w:r>
          </w:p>
        </w:tc>
      </w:tr>
      <w:tr>
        <w:tc>
          <w:tcPr/>
          <w:p>
            <w:pPr>
              <w:pStyle w:val="Compact"/>
              <w:jc w:val="left"/>
            </w:pPr>
            <w:r>
              <w:t xml:space="preserve">Crítico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Alta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Moderado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Baja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Separar la severidad interna de la informabilidad legal o la falta de conformidad legal. Una calificación interna no determina si se requiere notificación, retirada, retirada, medidas correctivas o cooperación de la autoridad.</w:t>
      </w:r>
    </w:p>
    <w:bookmarkEnd w:id="1764"/>
    <w:bookmarkStart w:id="1765" w:name="seguimiento-y-clausura"/>
    <w:p>
      <w:pPr>
        <w:pStyle w:val="Heading2"/>
      </w:pPr>
      <w:r>
        <w:rPr>
          <w:rStyle w:val="SectionNumber"/>
        </w:rPr>
        <w:t xml:space="preserve">2.343</w:t>
      </w:r>
      <w:r>
        <w:tab/>
      </w:r>
      <w:r>
        <w:t xml:space="preserve">9. Seguimiento y clausura</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Identificación de la búsqueda</w:t>
            </w:r>
          </w:p>
        </w:tc>
        <w:tc>
          <w:tcPr/>
          <w:p>
            <w:pPr>
              <w:pStyle w:val="Compact"/>
              <w:jc w:val="left"/>
            </w:pPr>
            <w:r>
              <w:t xml:space="preserve">Severidad</w:t>
            </w:r>
          </w:p>
        </w:tc>
        <w:tc>
          <w:tcPr/>
          <w:p>
            <w:pPr>
              <w:pStyle w:val="Compact"/>
              <w:jc w:val="left"/>
            </w:pPr>
            <w:r>
              <w:t xml:space="preserve">Pertinencia jurídica</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Control provisional</w:t>
            </w:r>
          </w:p>
        </w:tc>
        <w:tc>
          <w:tcPr/>
          <w:p>
            <w:pPr>
              <w:pStyle w:val="Compact"/>
              <w:jc w:val="left"/>
            </w:pPr>
            <w:r>
              <w:t xml:space="preserve">Método de validación</w:t>
            </w:r>
          </w:p>
        </w:tc>
        <w:tc>
          <w:tcPr/>
          <w:p>
            <w:pPr>
              <w:pStyle w:val="Compact"/>
              <w:jc w:val="left"/>
            </w:pPr>
            <w:r>
              <w:t xml:space="preserve">Fecha de cierre/estatuto</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El cierre requiere pruebas de que la rehabilitación funciona con eficacia. Se deben intensificar las extensiones repetidas, la aceptación de riesgos no justificada y los hallazgos recurrentes.</w:t>
      </w:r>
    </w:p>
    <w:p>
      <w:pPr>
        <w:pStyle w:val="BodyText"/>
      </w:pPr>
      <w:r>
        <w:t xml:space="preserve">El cierre interno no sustituye la corrección, retirada, retirada, notificación, notificación, actividad de conformidad o acción de la autoridad exigida por la ley.</w:t>
      </w:r>
    </w:p>
    <w:bookmarkEnd w:id="1765"/>
    <w:bookmarkStart w:id="1766" w:name="informes"/>
    <w:p>
      <w:pPr>
        <w:pStyle w:val="Heading2"/>
      </w:pPr>
      <w:r>
        <w:rPr>
          <w:rStyle w:val="SectionNumber"/>
        </w:rPr>
        <w:t xml:space="preserve">2.344</w:t>
      </w:r>
      <w:r>
        <w:tab/>
      </w:r>
      <w:r>
        <w:t xml:space="preserve">10. Informes</w:t>
      </w:r>
    </w:p>
    <w:p>
      <w:pPr>
        <w:pStyle w:val="FirstParagraph"/>
      </w:pPr>
      <w:r>
        <w:t xml:space="preserve">Alcance del informe, criterios, sistemas y versiones probados, limitaciones de pruebas, conclusiones, temas sistémicos, acciones pendientes, fallos reiterados, riesgo residual, aceptación por parte de la administración, implicaciones jurídicas y asuntos que requieren atención ejecutiva, de la junta, del comité de auditoría, de la conformidad o de la autoridad.</w:t>
      </w:r>
    </w:p>
    <w:bookmarkEnd w:id="1766"/>
    <w:bookmarkStart w:id="1767" w:name="homologación-19"/>
    <w:p>
      <w:pPr>
        <w:pStyle w:val="Heading2"/>
      </w:pPr>
      <w:r>
        <w:rPr>
          <w:rStyle w:val="SectionNumber"/>
        </w:rPr>
        <w:t xml:space="preserve">2.345</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Jefe de auditoría ejecutivo/propietario del programa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Comité/órgano de auditoría,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Independencia o limitaciones del alcance:</w:t>
      </w:r>
      <w:r>
        <w:rPr>
          <w:bCs/>
          <w:b/>
        </w:rPr>
        <w:t xml:space="preserve"> </w:t>
      </w:r>
      <w:r>
        <w:t xml:space="preserve"> </w:t>
      </w:r>
      <w:r>
        <w:t xml:space="preserve">Cuestiones de alto riesgo no resueltas</w:t>
      </w:r>
      <w:r>
        <w:rPr>
          <w:bCs/>
          <w:b/>
        </w:rPr>
        <w:t xml:space="preserve"> </w:t>
      </w:r>
      <w:r>
        <w:t xml:space="preserve">Próxima revisión del plan:**</w:t>
      </w:r>
    </w:p>
    <w:bookmarkEnd w:id="1767"/>
    <w:bookmarkStart w:id="1768" w:name="apéndice-x-plan-de-acción-correctiva"/>
    <w:p>
      <w:pPr>
        <w:pStyle w:val="Heading2"/>
      </w:pPr>
      <w:r>
        <w:rPr>
          <w:rStyle w:val="SectionNumber"/>
        </w:rPr>
        <w:t xml:space="preserve">2.346</w:t>
      </w:r>
      <w:r>
        <w:tab/>
      </w:r>
      <w:r>
        <w:t xml:space="preserve">Apéndice X — Plan de acción correctiva</w:t>
      </w:r>
    </w:p>
    <w:p>
      <w:pPr>
        <w:pStyle w:val="BlockText"/>
      </w:pPr>
      <w:r>
        <w:rPr>
          <w:bCs/>
          <w:b/>
        </w:rPr>
        <w:t xml:space="preserve">Estado legal:</w:t>
      </w:r>
      <w:r>
        <w:t xml:space="preserve"> </w:t>
      </w:r>
      <w:r>
        <w:t xml:space="preserve">Maestro inglés corregido. Este flujo de trabajo interno de rehabilitación apoya pero no reemplaza las medidas correctivas legalmente requeridas, retiro, retiro, suspensión, notificación de incidentes, cooperación con la autoridad, o remedios para personas afectadas.</w:t>
      </w:r>
    </w:p>
    <w:bookmarkEnd w:id="1768"/>
    <w:bookmarkStart w:id="1769" w:name="finalidad-41"/>
    <w:p>
      <w:pPr>
        <w:pStyle w:val="Heading2"/>
      </w:pPr>
      <w:r>
        <w:rPr>
          <w:rStyle w:val="SectionNumber"/>
        </w:rPr>
        <w:t xml:space="preserve">2.347</w:t>
      </w:r>
      <w:r>
        <w:tab/>
      </w:r>
      <w:r>
        <w:t xml:space="preserve">Finalidad</w:t>
      </w:r>
    </w:p>
    <w:p>
      <w:pPr>
        <w:pStyle w:val="FirstParagraph"/>
      </w:pPr>
      <w:r>
        <w:t xml:space="preserve">Utilice este plan para remediar deficiencias de gobernanza de la IA, jurídicas, técnicas, operacionales, de proveedores o de pruebas, y para validar el cierre sostenible.El cierre requiere pruebas de que la rehabilitación funciona eficazmente, no sólo que la documentación fue actualizada.</w:t>
      </w:r>
    </w:p>
    <w:bookmarkEnd w:id="1769"/>
    <w:bookmarkStart w:id="1770" w:name="cuestión-y-contexto-jurídico"/>
    <w:p>
      <w:pPr>
        <w:pStyle w:val="Heading2"/>
      </w:pPr>
      <w:r>
        <w:rPr>
          <w:rStyle w:val="SectionNumber"/>
        </w:rPr>
        <w:t xml:space="preserve">2.348</w:t>
      </w:r>
      <w:r>
        <w:tab/>
      </w:r>
      <w:r>
        <w:t xml:space="preserve">1. Cuestión y contexto jurídico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Identificación de los resultados/incidentes/de los problemas</w:t>
            </w:r>
          </w:p>
        </w:tc>
        <w:tc>
          <w:tcPr/>
          <w:p>
            <w:pPr>
              <w:pStyle w:val="Compact"/>
              <w:jc w:val="left"/>
            </w:pPr>
            <w:r>
              <w:t xml:space="preserve">- No, no.</w:t>
            </w:r>
          </w:p>
        </w:tc>
      </w:tr>
      <w:tr>
        <w:tc>
          <w:tcPr/>
          <w:p>
            <w:pPr>
              <w:pStyle w:val="Compact"/>
              <w:jc w:val="left"/>
            </w:pPr>
            <w:r>
              <w:t xml:space="preserve">Fuente y fecha</w:t>
            </w:r>
          </w:p>
        </w:tc>
        <w:tc>
          <w:tcPr/>
          <w:p>
            <w:pPr>
              <w:pStyle w:val="Compact"/>
              <w:jc w:val="left"/>
            </w:pPr>
            <w:r>
              <w:t xml:space="preserve">- No, no.</w:t>
            </w:r>
          </w:p>
        </w:tc>
      </w:tr>
      <w:tr>
        <w:tc>
          <w:tcPr/>
          <w:p>
            <w:pPr>
              <w:pStyle w:val="Compact"/>
              <w:jc w:val="left"/>
            </w:pPr>
            <w:r>
              <w:t xml:space="preserve">Sistema/modelo/versión y jurisdicciones</w:t>
            </w:r>
          </w:p>
        </w:tc>
        <w:tc>
          <w:tcPr/>
          <w:p>
            <w:pPr>
              <w:pStyle w:val="Compact"/>
              <w:jc w:val="left"/>
            </w:pPr>
            <w:r>
              <w:t xml:space="preserve">- No, no.</w:t>
            </w:r>
          </w:p>
        </w:tc>
      </w:tr>
      <w:tr>
        <w:tc>
          <w:tcPr/>
          <w:p>
            <w:pPr>
              <w:pStyle w:val="Compact"/>
              <w:jc w:val="left"/>
            </w:pPr>
            <w:r>
              <w:t xml:space="preserve">Entidad jurídica y función de actor</w:t>
            </w:r>
          </w:p>
        </w:tc>
        <w:tc>
          <w:tcPr/>
          <w:p>
            <w:pPr>
              <w:pStyle w:val="Compact"/>
              <w:jc w:val="left"/>
            </w:pPr>
            <w:r>
              <w:t xml:space="preserve">- No, no.</w:t>
            </w:r>
          </w:p>
        </w:tc>
      </w:tr>
      <w:tr>
        <w:tc>
          <w:tcPr/>
          <w:p>
            <w:pPr>
              <w:pStyle w:val="Compact"/>
              <w:jc w:val="left"/>
            </w:pPr>
            <w:r>
              <w:t xml:space="preserve">Requisito/control afectado</w:t>
            </w:r>
          </w:p>
        </w:tc>
        <w:tc>
          <w:tcPr/>
          <w:p>
            <w:pPr>
              <w:pStyle w:val="Compact"/>
              <w:jc w:val="left"/>
            </w:pPr>
            <w:r>
              <w:t xml:space="preserve">- No, no.</w:t>
            </w:r>
          </w:p>
        </w:tc>
      </w:tr>
      <w:tr>
        <w:tc>
          <w:tcPr/>
          <w:p>
            <w:pPr>
              <w:pStyle w:val="Compact"/>
              <w:jc w:val="left"/>
            </w:pPr>
            <w:r>
              <w:t xml:space="preserve">Estado previsto y estado real</w:t>
            </w:r>
          </w:p>
        </w:tc>
        <w:tc>
          <w:tcPr/>
          <w:p>
            <w:pPr>
              <w:pStyle w:val="Compact"/>
              <w:jc w:val="left"/>
            </w:pPr>
            <w:r>
              <w:t xml:space="preserve">- No, no.</w:t>
            </w:r>
          </w:p>
        </w:tc>
      </w:tr>
      <w:tr>
        <w:tc>
          <w:tcPr/>
          <w:p>
            <w:pPr>
              <w:pStyle w:val="Compact"/>
              <w:jc w:val="left"/>
            </w:pPr>
            <w:r>
              <w:t xml:space="preserve">Severidad, riesgo y personas afectadas</w:t>
            </w:r>
          </w:p>
        </w:tc>
        <w:tc>
          <w:tcPr/>
          <w:p>
            <w:pPr>
              <w:pStyle w:val="Compact"/>
              <w:jc w:val="left"/>
            </w:pPr>
            <w:r>
              <w:t xml:space="preserve">- No, no.</w:t>
            </w:r>
          </w:p>
        </w:tc>
      </w:tr>
      <w:tr>
        <w:tc>
          <w:tcPr/>
          <w:p>
            <w:pPr>
              <w:pStyle w:val="Compact"/>
              <w:jc w:val="left"/>
            </w:pPr>
            <w:r>
              <w:t xml:space="preserve">Fecha de identificación</w:t>
            </w:r>
          </w:p>
        </w:tc>
        <w:tc>
          <w:tcPr/>
          <w:p>
            <w:pPr>
              <w:pStyle w:val="Compact"/>
              <w:jc w:val="left"/>
            </w:pPr>
            <w:r>
              <w:t xml:space="preserve">- No, no.</w:t>
            </w:r>
          </w:p>
        </w:tc>
      </w:tr>
      <w:tr>
        <w:tc>
          <w:tcPr/>
          <w:p>
            <w:pPr>
              <w:pStyle w:val="Compact"/>
              <w:jc w:val="left"/>
            </w:pPr>
            <w:r>
              <w:t xml:space="preserve">Propietario del problema y patrocinador ejecutivo</w:t>
            </w:r>
          </w:p>
        </w:tc>
        <w:tc>
          <w:tcPr/>
          <w:p>
            <w:pPr>
              <w:pStyle w:val="Compact"/>
              <w:jc w:val="left"/>
            </w:pPr>
            <w:r>
              <w:t xml:space="preserve">- No, no.</w:t>
            </w:r>
          </w:p>
        </w:tc>
      </w:tr>
      <w:tr>
        <w:tc>
          <w:tcPr/>
          <w:p>
            <w:pPr>
              <w:pStyle w:val="Compact"/>
              <w:jc w:val="left"/>
            </w:pPr>
            <w:r>
              <w:t xml:space="preserve">Depósito de pruebas</w:t>
            </w:r>
          </w:p>
        </w:tc>
        <w:tc>
          <w:tcPr/>
          <w:p>
            <w:pPr>
              <w:pStyle w:val="Compact"/>
              <w:jc w:val="left"/>
            </w:pPr>
            <w:r>
              <w:t xml:space="preserve">- No, no.</w:t>
            </w:r>
          </w:p>
        </w:tc>
      </w:tr>
    </w:tbl>
    <w:bookmarkEnd w:id="1770"/>
    <w:bookmarkStart w:id="1771" w:name="declaración-de-cuestiones"/>
    <w:p>
      <w:pPr>
        <w:pStyle w:val="Heading2"/>
      </w:pPr>
      <w:r>
        <w:rPr>
          <w:rStyle w:val="SectionNumber"/>
        </w:rPr>
        <w:t xml:space="preserve">2.349</w:t>
      </w:r>
      <w:r>
        <w:tab/>
      </w:r>
      <w:r>
        <w:t xml:space="preserve">2. Declaración de cuestiones</w:t>
      </w:r>
    </w:p>
    <w:p>
      <w:pPr>
        <w:pStyle w:val="FirstParagraph"/>
      </w:pPr>
      <w:r>
        <w:t xml:space="preserve">Describir la condición verificada, requisito o control aplicable, estado esperado, estado real, sistemas afectados, modelos, versiones, entidades, jurisdicciones, personas, evidencia, incertidumbre y consecuencias legales u operativas.</w:t>
      </w:r>
    </w:p>
    <w:bookmarkEnd w:id="1771"/>
    <w:bookmarkStart w:id="1772" w:name="contención-o-corrección-inmediata"/>
    <w:p>
      <w:pPr>
        <w:pStyle w:val="Heading2"/>
      </w:pPr>
      <w:r>
        <w:rPr>
          <w:rStyle w:val="SectionNumber"/>
        </w:rPr>
        <w:t xml:space="preserve">2.350</w:t>
      </w:r>
      <w:r>
        <w:tab/>
      </w:r>
      <w:r>
        <w:t xml:space="preserve">3. Contención o corrección inmediata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Plazo</w:t>
            </w:r>
          </w:p>
        </w:tc>
        <w:tc>
          <w:tcPr/>
          <w:p>
            <w:pPr>
              <w:pStyle w:val="Compact"/>
              <w:jc w:val="left"/>
            </w:pPr>
            <w:r>
              <w:t xml:space="preserve">Propósito jurídico/operativo</w:t>
            </w:r>
          </w:p>
        </w:tc>
        <w:tc>
          <w:tcPr/>
          <w:p>
            <w:pPr>
              <w:pStyle w:val="Compact"/>
              <w:jc w:val="left"/>
            </w:pPr>
            <w:r>
              <w:t xml:space="preserve">Situación</w:t>
            </w:r>
          </w:p>
        </w:tc>
        <w:tc>
          <w:tcPr/>
          <w:p>
            <w:pPr>
              <w:pStyle w:val="Compact"/>
              <w:jc w:val="left"/>
            </w:pPr>
            <w:r>
              <w:t xml:space="preserve">Pruebas</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Evaluar y documentar, según proceda:</w:t>
      </w:r>
    </w:p>
    <w:p>
      <w:pPr>
        <w:numPr>
          <w:ilvl w:val="0"/>
          <w:numId w:val="1646"/>
        </w:numPr>
        <w:pStyle w:val="Compact"/>
      </w:pPr>
      <w:r>
        <w:t xml:space="preserve">suspensión, restricción, inhabilitación, retirada o retirada;</w:t>
      </w:r>
    </w:p>
    <w:p>
      <w:pPr>
        <w:numPr>
          <w:ilvl w:val="0"/>
          <w:numId w:val="1646"/>
        </w:numPr>
        <w:pStyle w:val="Compact"/>
      </w:pPr>
      <w:r>
        <w:t xml:space="preserve">protección manual y protección de las personas afectadas;</w:t>
      </w:r>
    </w:p>
    <w:p>
      <w:pPr>
        <w:numPr>
          <w:ilvl w:val="0"/>
          <w:numId w:val="1646"/>
        </w:numPr>
        <w:pStyle w:val="Compact"/>
      </w:pPr>
      <w:r>
        <w:t xml:space="preserve">la preservación de pruebas y la retención legal;</w:t>
      </w:r>
    </w:p>
    <w:p>
      <w:pPr>
        <w:numPr>
          <w:ilvl w:val="0"/>
          <w:numId w:val="1646"/>
        </w:numPr>
        <w:pStyle w:val="Compact"/>
      </w:pPr>
      <w:r>
        <w:t xml:space="preserve">aumento del precio de venta o de la cadena de valor;</w:t>
      </w:r>
    </w:p>
    <w:p>
      <w:pPr>
        <w:numPr>
          <w:ilvl w:val="0"/>
          <w:numId w:val="1646"/>
        </w:numPr>
        <w:pStyle w:val="Compact"/>
      </w:pPr>
      <w:r>
        <w:t xml:space="preserve">notificación reglamentaria, cliente, trabajador, sujeto de datos u otra notificación;</w:t>
      </w:r>
    </w:p>
    <w:p>
      <w:pPr>
        <w:numPr>
          <w:ilvl w:val="0"/>
          <w:numId w:val="1646"/>
        </w:numPr>
        <w:pStyle w:val="Compact"/>
      </w:pPr>
      <w:r>
        <w:t xml:space="preserve">controles temporales de seguimiento, revisión o acceso;</w:t>
      </w:r>
    </w:p>
    <w:p>
      <w:pPr>
        <w:numPr>
          <w:ilvl w:val="0"/>
          <w:numId w:val="1646"/>
        </w:numPr>
        <w:pStyle w:val="Compact"/>
      </w:pPr>
      <w:r>
        <w:t xml:space="preserve">prevención de la recurrencia mientras esté pendiente la rehabilitación permanente.</w:t>
      </w:r>
    </w:p>
    <w:bookmarkEnd w:id="1772"/>
    <w:bookmarkStart w:id="1774" w:name="Xc41c2c9624b5ce4da7dd8037c985d636f0c803f"/>
    <w:p>
      <w:pPr>
        <w:pStyle w:val="Heading2"/>
      </w:pPr>
      <w:r>
        <w:rPr>
          <w:rStyle w:val="SectionNumber"/>
        </w:rPr>
        <w:t xml:space="preserve">2.351</w:t>
      </w:r>
      <w:r>
        <w:tab/>
      </w:r>
      <w:r>
        <w:t xml:space="preserve">4. Análisis de la causa raíz y del alcance afectado</w:t>
      </w:r>
    </w:p>
    <w:p>
      <w:pPr>
        <w:pStyle w:val="FirstParagraph"/>
      </w:pPr>
      <w:r>
        <w:t xml:space="preserve">Evaluar:</w:t>
      </w:r>
    </w:p>
    <w:p>
      <w:pPr>
        <w:numPr>
          <w:ilvl w:val="0"/>
          <w:numId w:val="1647"/>
        </w:numPr>
        <w:pStyle w:val="Compact"/>
      </w:pPr>
      <w:r>
        <w:t xml:space="preserve">gobernanza, rendición de cuentas y autoridad decisoria;</w:t>
      </w:r>
    </w:p>
    <w:p>
      <w:pPr>
        <w:numPr>
          <w:ilvl w:val="0"/>
          <w:numId w:val="1647"/>
        </w:numPr>
        <w:pStyle w:val="Compact"/>
      </w:pPr>
      <w:r>
        <w:t xml:space="preserve">diseño de proceso o de control;</w:t>
      </w:r>
    </w:p>
    <w:p>
      <w:pPr>
        <w:numPr>
          <w:ilvl w:val="0"/>
          <w:numId w:val="1647"/>
        </w:numPr>
        <w:pStyle w:val="Compact"/>
      </w:pPr>
      <w:r>
        <w:t xml:space="preserve">arquitectura técnica, modelo, configuración, avisos, herramientas o interfaces;</w:t>
      </w:r>
    </w:p>
    <w:p>
      <w:pPr>
        <w:numPr>
          <w:ilvl w:val="0"/>
          <w:numId w:val="1647"/>
        </w:numPr>
        <w:pStyle w:val="Compact"/>
      </w:pPr>
      <w:r>
        <w:t xml:space="preserve">calidad de los datos, procedencia, etiquetado, linaje o representatividad;</w:t>
      </w:r>
    </w:p>
    <w:p>
      <w:pPr>
        <w:numPr>
          <w:ilvl w:val="0"/>
          <w:numId w:val="1647"/>
        </w:numPr>
        <w:pStyle w:val="Compact"/>
      </w:pPr>
      <w:r>
        <w:t xml:space="preserve">factores humanos, carga de trabajo, incentivos, formación o competencia;</w:t>
      </w:r>
    </w:p>
    <w:p>
      <w:pPr>
        <w:numPr>
          <w:ilvl w:val="0"/>
          <w:numId w:val="1647"/>
        </w:numPr>
        <w:pStyle w:val="Compact"/>
      </w:pPr>
      <w:r>
        <w:t xml:space="preserve">contribución de vendedor, subprocesador o dependencia;</w:t>
      </w:r>
    </w:p>
    <w:p>
      <w:pPr>
        <w:numPr>
          <w:ilvl w:val="0"/>
          <w:numId w:val="1647"/>
        </w:numPr>
        <w:pStyle w:val="Compact"/>
      </w:pPr>
      <w:r>
        <w:t xml:space="preserve">deficiencias en materia de recursos, programación o segregación de funciones;</w:t>
      </w:r>
    </w:p>
    <w:p>
      <w:pPr>
        <w:numPr>
          <w:ilvl w:val="0"/>
          <w:numId w:val="1647"/>
        </w:numPr>
        <w:pStyle w:val="Compact"/>
      </w:pPr>
      <w:r>
        <w:t xml:space="preserve">seguimiento, detección, escalada o fallo en la respuesta a incidentes;</w:t>
      </w:r>
    </w:p>
    <w:p>
      <w:pPr>
        <w:numPr>
          <w:ilvl w:val="0"/>
          <w:numId w:val="1647"/>
        </w:numPr>
        <w:pStyle w:val="Compact"/>
      </w:pPr>
      <w:r>
        <w:t xml:space="preserve">documentación, control de versiones, retención o debilidad de las pruebas;</w:t>
      </w:r>
    </w:p>
    <w:p>
      <w:pPr>
        <w:numPr>
          <w:ilvl w:val="0"/>
          <w:numId w:val="1647"/>
        </w:numPr>
        <w:pStyle w:val="Compact"/>
      </w:pPr>
      <w:r>
        <w:t xml:space="preserve">si sistemas, modelos, versiones, jurisdicciones, unidades de negocio o controles similares comparten la deficiencia.</w:t>
      </w:r>
    </w:p>
    <w:bookmarkStart w:id="1773" w:name="conclusión-de-la-causa-raíz"/>
    <w:p>
      <w:pPr>
        <w:pStyle w:val="Heading3"/>
      </w:pPr>
      <w:r>
        <w:rPr>
          <w:rStyle w:val="SectionNumber"/>
        </w:rPr>
        <w:t xml:space="preserve">2.351.1</w:t>
      </w:r>
      <w:r>
        <w:tab/>
      </w:r>
      <w:r>
        <w:t xml:space="preserve">Conclusión de la causa raíz</w:t>
      </w:r>
    </w:p>
    <w:p>
      <w:pPr>
        <w:pStyle w:val="FirstParagraph"/>
      </w:pPr>
      <w:r>
        <w:t xml:space="preserve">Documentar por qué se produjo la deficiencia, las pruebas que respaldaban la conclusión, las explicaciones alternativas consideradas, la incertidumbre y el alcance afectado confirmado.</w:t>
      </w:r>
    </w:p>
    <w:bookmarkEnd w:id="1773"/>
    <w:bookmarkEnd w:id="1774"/>
    <w:bookmarkStart w:id="1775" w:name="X184da25612eb865c2c316cbba6403b7fa83b174"/>
    <w:p>
      <w:pPr>
        <w:pStyle w:val="Heading2"/>
      </w:pPr>
      <w:r>
        <w:rPr>
          <w:rStyle w:val="SectionNumber"/>
        </w:rPr>
        <w:t xml:space="preserve">2.352</w:t>
      </w:r>
      <w:r>
        <w:tab/>
      </w:r>
      <w:r>
        <w:t xml:space="preserve">5. Acciones correctivas, preventivas y sistémicas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Medidas adoptadas</w:t>
            </w:r>
          </w:p>
        </w:tc>
        <w:tc>
          <w:tcPr/>
          <w:p>
            <w:pPr>
              <w:pStyle w:val="Compact"/>
              <w:jc w:val="left"/>
            </w:pPr>
            <w:r>
              <w:t xml:space="preserve">Tipo</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Dependencia</w:t>
            </w:r>
          </w:p>
        </w:tc>
        <w:tc>
          <w:tcPr/>
          <w:p>
            <w:pPr>
              <w:pStyle w:val="Compact"/>
              <w:jc w:val="left"/>
            </w:pPr>
            <w:r>
              <w:t xml:space="preserve">Criterios de éxito</w:t>
            </w:r>
          </w:p>
        </w:tc>
        <w:tc>
          <w:tcPr/>
          <w:p>
            <w:pPr>
              <w:pStyle w:val="Compact"/>
              <w:jc w:val="left"/>
            </w:pPr>
            <w:r>
              <w:t xml:space="preserve">Situación</w:t>
            </w:r>
          </w:p>
        </w:tc>
        <w:tc>
          <w:tcPr/>
          <w:p>
            <w:pPr>
              <w:pStyle w:val="Compact"/>
              <w:jc w:val="left"/>
            </w:pPr>
            <w:r>
              <w:t xml:space="preserve">Pruebas de validación</w:t>
            </w:r>
          </w:p>
        </w:tc>
      </w:tr>
      <w:tr>
        <w:tc>
          <w:tcPr/>
          <w:p>
            <w:pPr>
              <w:pStyle w:val="Compact"/>
              <w:jc w:val="left"/>
            </w:pPr>
            <w:r>
              <w:t xml:space="preserve">- No, no.</w:t>
            </w:r>
          </w:p>
        </w:tc>
        <w:tc>
          <w:tcPr/>
          <w:p>
            <w:pPr>
              <w:pStyle w:val="Compact"/>
              <w:jc w:val="left"/>
            </w:pPr>
            <w:r>
              <w:t xml:space="preserve">Corrección / correctiva / preventiva / sistémica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Distinguir:</w:t>
      </w:r>
    </w:p>
    <w:p>
      <w:pPr>
        <w:numPr>
          <w:ilvl w:val="0"/>
          <w:numId w:val="1648"/>
        </w:numPr>
        <w:pStyle w:val="Compact"/>
      </w:pPr>
      <w:r>
        <w:rPr>
          <w:bCs/>
          <w:b/>
        </w:rPr>
        <w:t xml:space="preserve">corrección</w:t>
      </w:r>
      <w:r>
        <w:t xml:space="preserve"> </w:t>
      </w:r>
      <w:r>
        <w:t xml:space="preserve">— acción inmediata en relación con la condición observada;</w:t>
      </w:r>
    </w:p>
    <w:p>
      <w:pPr>
        <w:numPr>
          <w:ilvl w:val="0"/>
          <w:numId w:val="1648"/>
        </w:numPr>
        <w:pStyle w:val="Compact"/>
      </w:pPr>
      <w:r>
        <w:t xml:space="preserve">** acción correctiva** — acción que elimina la causa de una deficiencia real;</w:t>
      </w:r>
    </w:p>
    <w:p>
      <w:pPr>
        <w:numPr>
          <w:ilvl w:val="0"/>
          <w:numId w:val="1648"/>
        </w:numPr>
        <w:pStyle w:val="Compact"/>
      </w:pPr>
      <w:r>
        <w:t xml:space="preserve">** acción preventiva** — acción que reduce la probabilidad de una deficiencia previsible;</w:t>
      </w:r>
    </w:p>
    <w:p>
      <w:pPr>
        <w:numPr>
          <w:ilvl w:val="0"/>
          <w:numId w:val="1648"/>
        </w:numPr>
        <w:pStyle w:val="Compact"/>
      </w:pPr>
      <w:r>
        <w:t xml:space="preserve">** Acción sistémica** — acción que aborda una causa común entre sistemas, proveedores, entidades o dominios de control.</w:t>
      </w:r>
    </w:p>
    <w:bookmarkEnd w:id="1775"/>
    <w:bookmarkStart w:id="1776" w:name="Xf06eafab8117f56a05ec35b2b5ac9700cc4ad47"/>
    <w:p>
      <w:pPr>
        <w:pStyle w:val="Heading2"/>
      </w:pPr>
      <w:r>
        <w:rPr>
          <w:rStyle w:val="SectionNumber"/>
        </w:rPr>
        <w:t xml:space="preserve">2.353</w:t>
      </w:r>
      <w:r>
        <w:tab/>
      </w:r>
      <w:r>
        <w:t xml:space="preserve">6. Cartografía de las consecuencias jurídicas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Deber</w:t>
            </w:r>
          </w:p>
        </w:tc>
        <w:tc>
          <w:tcPr/>
          <w:p>
            <w:pPr>
              <w:pStyle w:val="Compact"/>
              <w:jc w:val="left"/>
            </w:pPr>
            <w:r>
              <w:t xml:space="preserve">Actor</w:t>
            </w:r>
          </w:p>
        </w:tc>
        <w:tc>
          <w:tcPr/>
          <w:p>
            <w:pPr>
              <w:pStyle w:val="Compact"/>
              <w:jc w:val="left"/>
            </w:pPr>
            <w:r>
              <w:t xml:space="preserve">¿Se aplica?</w:t>
            </w:r>
          </w:p>
        </w:tc>
        <w:tc>
          <w:tcPr/>
          <w:p>
            <w:pPr>
              <w:pStyle w:val="Compact"/>
              <w:jc w:val="left"/>
            </w:pPr>
            <w:r>
              <w:t xml:space="preserve">Fecha o fuente</w:t>
            </w:r>
          </w:p>
        </w:tc>
        <w:tc>
          <w:tcPr/>
          <w:p>
            <w:pPr>
              <w:pStyle w:val="Compact"/>
              <w:jc w:val="left"/>
            </w:pPr>
            <w:r>
              <w:t xml:space="preserve">Propietario</w:t>
            </w:r>
          </w:p>
        </w:tc>
        <w:tc>
          <w:tcPr/>
          <w:p>
            <w:pPr>
              <w:pStyle w:val="Compact"/>
              <w:jc w:val="left"/>
            </w:pPr>
            <w:r>
              <w:t xml:space="preserve">Situación y pruebas</w:t>
            </w:r>
          </w:p>
        </w:tc>
      </w:tr>
      <w:tr>
        <w:tc>
          <w:tcPr/>
          <w:p>
            <w:pPr>
              <w:pStyle w:val="Compact"/>
              <w:jc w:val="left"/>
            </w:pPr>
            <w:r>
              <w:t xml:space="preserve">Medida correctora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Notificación de incidentes o normativa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Retirada, retirada, restricción o suspensión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Gestión de riesgos o actualización del SGC</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Documentación técnica o actualización de la 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Registro, declaración, marcado o actualización de la autoridad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Afectado-persona, cliente, trabajador, o el remedio de los datos-sujeto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Acción contractual o de proveedor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76"/>
    <w:bookmarkStart w:id="1777" w:name="riesgo-durante-la-rehabilitación"/>
    <w:p>
      <w:pPr>
        <w:pStyle w:val="Heading2"/>
      </w:pPr>
      <w:r>
        <w:rPr>
          <w:rStyle w:val="SectionNumber"/>
        </w:rPr>
        <w:t xml:space="preserve">2.354</w:t>
      </w:r>
      <w:r>
        <w:tab/>
      </w:r>
      <w:r>
        <w:t xml:space="preserve">7. Riesgo durante la rehabilitación</w:t>
      </w:r>
    </w:p>
    <w:p>
      <w:pPr>
        <w:pStyle w:val="FirstParagraph"/>
      </w:pPr>
      <w:r>
        <w:t xml:space="preserve">Documentar los controles provisionales, el riesgo residual, las condiciones o excepciones aprobadas, la frecuencia de notificación, los umbrales de vigilancia, los desencadenantes de escalada, los criterios de suspensión y la autoridad autorizada para aceptar la exposición temporal.</w:t>
      </w:r>
    </w:p>
    <w:bookmarkEnd w:id="1777"/>
    <w:bookmarkStart w:id="1778" w:name="plan-de-validación"/>
    <w:p>
      <w:pPr>
        <w:pStyle w:val="Heading2"/>
      </w:pPr>
      <w:r>
        <w:rPr>
          <w:rStyle w:val="SectionNumber"/>
        </w:rPr>
        <w:t xml:space="preserve">2.355</w:t>
      </w:r>
      <w:r>
        <w:tab/>
      </w:r>
      <w:r>
        <w:t xml:space="preserve">8. Plan de validación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Fase de validación</w:t>
            </w:r>
          </w:p>
        </w:tc>
        <w:tc>
          <w:tcPr/>
          <w:p>
            <w:pPr>
              <w:pStyle w:val="Compact"/>
              <w:jc w:val="left"/>
            </w:pPr>
            <w:r>
              <w:t xml:space="preserve">Probador independiente</w:t>
            </w:r>
          </w:p>
        </w:tc>
        <w:tc>
          <w:tcPr/>
          <w:p>
            <w:pPr>
              <w:pStyle w:val="Compact"/>
              <w:jc w:val="left"/>
            </w:pPr>
            <w:r>
              <w:t xml:space="preserve">Pruebas necesarias</w:t>
            </w:r>
          </w:p>
        </w:tc>
        <w:tc>
          <w:tcPr/>
          <w:p>
            <w:pPr>
              <w:pStyle w:val="Compact"/>
              <w:jc w:val="left"/>
            </w:pPr>
            <w:r>
              <w:t xml:space="preserve">Fecha prevista</w:t>
            </w:r>
          </w:p>
        </w:tc>
        <w:tc>
          <w:tcPr/>
          <w:p>
            <w:pPr>
              <w:pStyle w:val="Compact"/>
              <w:jc w:val="left"/>
            </w:pPr>
            <w:r>
              <w:t xml:space="preserve">Resultado</w:t>
            </w:r>
          </w:p>
        </w:tc>
        <w:tc>
          <w:tcPr/>
          <w:p>
            <w:pPr>
              <w:pStyle w:val="Compact"/>
              <w:jc w:val="left"/>
            </w:pPr>
            <w:r>
              <w:t xml:space="preserve">Limitación o seguimiento</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La validación debe confirmar la adecuación del diseño, la implementación, la eficacia operativa, la vinculación de versiones, la cobertura del alcance afectado, la ausencia de consecuencias materiales no deseadas y la sostenibilidad durante un período apropiado.</w:t>
      </w:r>
    </w:p>
    <w:bookmarkEnd w:id="1778"/>
    <w:bookmarkStart w:id="1779" w:name="decisión-de-clausura"/>
    <w:p>
      <w:pPr>
        <w:pStyle w:val="Heading2"/>
      </w:pPr>
      <w:r>
        <w:rPr>
          <w:rStyle w:val="SectionNumber"/>
        </w:rPr>
        <w:t xml:space="preserve">2.356</w:t>
      </w:r>
      <w:r>
        <w:tab/>
      </w:r>
      <w:r>
        <w:t xml:space="preserve">9. Decisión de clausura</w:t>
      </w:r>
    </w:p>
    <w:p>
      <w:pPr>
        <w:numPr>
          <w:ilvl w:val="0"/>
          <w:numId w:val="1649"/>
        </w:numPr>
        <w:pStyle w:val="Compact"/>
      </w:pPr>
      <w:r>
        <w:t xml:space="preserve">☐ Cerrado y efectivo</w:t>
      </w:r>
    </w:p>
    <w:p>
      <w:pPr>
        <w:numPr>
          <w:ilvl w:val="0"/>
          <w:numId w:val="1649"/>
        </w:numPr>
        <w:pStyle w:val="Compact"/>
      </w:pPr>
      <w:r>
        <w:t xml:space="preserve">☐ Cerrado con vigilancia continua</w:t>
      </w:r>
    </w:p>
    <w:p>
      <w:pPr>
        <w:numPr>
          <w:ilvl w:val="0"/>
          <w:numId w:val="1649"/>
        </w:numPr>
        <w:pStyle w:val="Compact"/>
      </w:pPr>
      <w:r>
        <w:t xml:space="preserve">☐ Parcialmente completo</w:t>
      </w:r>
    </w:p>
    <w:p>
      <w:pPr>
        <w:numPr>
          <w:ilvl w:val="0"/>
          <w:numId w:val="1649"/>
        </w:numPr>
        <w:pStyle w:val="Compact"/>
      </w:pPr>
      <w:r>
        <w:t xml:space="preserve">☐ Reabierta después de la validación fallida</w:t>
      </w:r>
    </w:p>
    <w:p>
      <w:pPr>
        <w:numPr>
          <w:ilvl w:val="0"/>
          <w:numId w:val="1649"/>
        </w:numPr>
        <w:pStyle w:val="Compact"/>
      </w:pPr>
      <w:r>
        <w:t xml:space="preserve">☐ Permanecer abierto porque los deberes legales u operativos son incompletos</w:t>
      </w:r>
    </w:p>
    <w:p>
      <w:pPr>
        <w:numPr>
          <w:ilvl w:val="0"/>
          <w:numId w:val="1649"/>
        </w:numPr>
        <w:pStyle w:val="Compact"/>
      </w:pPr>
      <w:r>
        <w:t xml:space="preserve">☐ Riesgo aceptado sólo dentro de la autoridad legal</w:t>
      </w:r>
    </w:p>
    <w:bookmarkEnd w:id="1779"/>
    <w:bookmarkStart w:id="1780" w:name="X0ebbbf5093e89159b58f37a4b2a8bb582055d88"/>
    <w:p>
      <w:pPr>
        <w:pStyle w:val="Heading2"/>
      </w:pPr>
      <w:r>
        <w:rPr>
          <w:rStyle w:val="SectionNumber"/>
        </w:rPr>
        <w:t xml:space="preserve">2.357</w:t>
      </w:r>
      <w:r>
        <w:tab/>
      </w:r>
      <w:r>
        <w:t xml:space="preserve">10. Experiencia adquirida y actualización de los programas</w:t>
      </w:r>
    </w:p>
    <w:p>
      <w:pPr>
        <w:pStyle w:val="FirstParagraph"/>
      </w:pPr>
      <w:r>
        <w:t xml:space="preserve">Registro de las actualizaciones necesarias de las políticas, controles, normas técnicas, modelos, datos, capacitación, supervisión, contratos, supervisión de proveedores, evaluaciones, documentación, requisitos de pruebas, escenarios de incidentes y sistemas conexos.</w:t>
      </w:r>
    </w:p>
    <w:bookmarkEnd w:id="1780"/>
    <w:bookmarkStart w:id="1781" w:name="homologación-20"/>
    <w:p>
      <w:pPr>
        <w:pStyle w:val="Heading2"/>
      </w:pPr>
      <w:r>
        <w:rPr>
          <w:rStyle w:val="SectionNumber"/>
        </w:rPr>
        <w:t xml:space="preserve">2.358</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Propietario del problema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validador independiente</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Legal/cumplimiento/riesgo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técnico o del producto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Patrocinador ejecutivo, cuando sea necesario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Riesgo residual y limitaciones</w:t>
      </w:r>
      <w:r>
        <w:rPr>
          <w:bCs/>
          <w:b/>
        </w:rPr>
        <w:t xml:space="preserve"> </w:t>
      </w:r>
      <w:r>
        <w:t xml:space="preserve"> </w:t>
      </w:r>
      <w:r>
        <w:t xml:space="preserve">Cierre externo o de autoridad requerido:</w:t>
      </w:r>
      <w:r>
        <w:rPr>
          <w:bCs/>
          <w:b/>
        </w:rPr>
        <w:t xml:space="preserve"> </w:t>
      </w:r>
      <w:r>
        <w:t xml:space="preserve">Próxima fecha de seguimiento o revisión:**</w:t>
      </w:r>
    </w:p>
    <w:bookmarkEnd w:id="1781"/>
    <w:bookmarkStart w:id="1782" w:name="apéndice-y-tablero-de-tablero"/>
    <w:p>
      <w:pPr>
        <w:pStyle w:val="Heading2"/>
      </w:pPr>
      <w:r>
        <w:rPr>
          <w:rStyle w:val="SectionNumber"/>
        </w:rPr>
        <w:t xml:space="preserve">2.359</w:t>
      </w:r>
      <w:r>
        <w:tab/>
      </w:r>
      <w:r>
        <w:t xml:space="preserve">Apéndice Y — Tablero de tablero</w:t>
      </w:r>
    </w:p>
    <w:p>
      <w:pPr>
        <w:pStyle w:val="BlockText"/>
      </w:pPr>
      <w:r>
        <w:rPr>
          <w:bCs/>
          <w:b/>
        </w:rPr>
        <w:t xml:space="preserve">Estatus legal:</w:t>
      </w:r>
      <w:r>
        <w:t xml:space="preserve"> </w:t>
      </w:r>
      <w:r>
        <w:t xml:space="preserve">Maestro inglés corregido. La presentación de informes por el consejo de administración es una práctica de gobernanza a menos que una ley específica, un deber de gobierno corporativo, una regla sectorial o un mandato organizacional lo exijan.</w:t>
      </w:r>
    </w:p>
    <w:bookmarkEnd w:id="1782"/>
    <w:bookmarkStart w:id="1783" w:name="finalidad-42"/>
    <w:p>
      <w:pPr>
        <w:pStyle w:val="Heading2"/>
      </w:pPr>
      <w:r>
        <w:rPr>
          <w:rStyle w:val="SectionNumber"/>
        </w:rPr>
        <w:t xml:space="preserve">2.360</w:t>
      </w:r>
      <w:r>
        <w:tab/>
      </w:r>
      <w:r>
        <w:t xml:space="preserve">Finalidad</w:t>
      </w:r>
    </w:p>
    <w:p>
      <w:pPr>
        <w:pStyle w:val="FirstParagraph"/>
      </w:pPr>
      <w:r>
        <w:t xml:space="preserve">Utilice este panel para proporcionar a la junta o al órgano rector una supervisión concisa y basada en pruebas del riesgo de IA, el cumplimiento, los incidentes, la preparación, la rehabilitación, las dependencias y las decisiones estratégicas.</w:t>
      </w:r>
    </w:p>
    <w:bookmarkEnd w:id="1783"/>
    <w:bookmarkStart w:id="1784" w:name="X1212afbb6cdb08ca4ef08799130e7fc6f3c2687"/>
    <w:p>
      <w:pPr>
        <w:pStyle w:val="Heading2"/>
      </w:pPr>
      <w:r>
        <w:rPr>
          <w:rStyle w:val="SectionNumber"/>
        </w:rPr>
        <w:t xml:space="preserve">2.361</w:t>
      </w:r>
      <w:r>
        <w:tab/>
      </w:r>
      <w:r>
        <w:t xml:space="preserve">1. Alcance y fiabilidad de la presentación de informes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Entidad informadora y período</w:t>
            </w:r>
          </w:p>
        </w:tc>
        <w:tc>
          <w:tcPr/>
          <w:p>
            <w:pPr>
              <w:pStyle w:val="Compact"/>
              <w:jc w:val="left"/>
            </w:pPr>
            <w:r>
              <w:t xml:space="preserve">- No, no.</w:t>
            </w:r>
          </w:p>
        </w:tc>
      </w:tr>
      <w:tr>
        <w:tc>
          <w:tcPr/>
          <w:p>
            <w:pPr>
              <w:pStyle w:val="Compact"/>
              <w:jc w:val="left"/>
            </w:pPr>
            <w:r>
              <w:t xml:space="preserve">Sistemas, modelos, versiones, jurisdicciones y unidades de negocio cubiertas</w:t>
            </w:r>
          </w:p>
        </w:tc>
        <w:tc>
          <w:tcPr/>
          <w:p>
            <w:pPr>
              <w:pStyle w:val="Compact"/>
              <w:jc w:val="left"/>
            </w:pPr>
            <w:r>
              <w:t xml:space="preserve">- No, no.</w:t>
            </w:r>
          </w:p>
        </w:tc>
      </w:tr>
      <w:tr>
        <w:tc>
          <w:tcPr/>
          <w:p>
            <w:pPr>
              <w:pStyle w:val="Compact"/>
              <w:jc w:val="left"/>
            </w:pPr>
            <w:r>
              <w:t xml:space="preserve">Titular de los datos y estado de validación</w:t>
            </w:r>
          </w:p>
        </w:tc>
        <w:tc>
          <w:tcPr/>
          <w:p>
            <w:pPr>
              <w:pStyle w:val="Compact"/>
              <w:jc w:val="left"/>
            </w:pPr>
            <w:r>
              <w:t xml:space="preserve">- No, no.</w:t>
            </w:r>
          </w:p>
        </w:tc>
      </w:tr>
      <w:tr>
        <w:tc>
          <w:tcPr/>
          <w:p>
            <w:pPr>
              <w:pStyle w:val="Compact"/>
              <w:jc w:val="left"/>
            </w:pPr>
            <w:r>
              <w:t xml:space="preserve">Sistemas de fuentes y fecha de corte</w:t>
            </w:r>
          </w:p>
        </w:tc>
        <w:tc>
          <w:tcPr/>
          <w:p>
            <w:pPr>
              <w:pStyle w:val="Compact"/>
              <w:jc w:val="left"/>
            </w:pPr>
            <w:r>
              <w:t xml:space="preserve">- No, no.</w:t>
            </w:r>
          </w:p>
        </w:tc>
      </w:tr>
      <w:tr>
        <w:tc>
          <w:tcPr/>
          <w:p>
            <w:pPr>
              <w:pStyle w:val="Compact"/>
              <w:jc w:val="left"/>
            </w:pPr>
            <w:r>
              <w:t xml:space="preserve">Exclusiones, limitaciones e incertidumbre conocidas</w:t>
            </w:r>
          </w:p>
        </w:tc>
        <w:tc>
          <w:tcPr/>
          <w:p>
            <w:pPr>
              <w:pStyle w:val="Compact"/>
              <w:jc w:val="left"/>
            </w:pPr>
            <w:r>
              <w:t xml:space="preserve">- No, no.</w:t>
            </w:r>
          </w:p>
        </w:tc>
      </w:tr>
      <w:tr>
        <w:tc>
          <w:tcPr/>
          <w:p>
            <w:pPr>
              <w:pStyle w:val="Compact"/>
              <w:jc w:val="left"/>
            </w:pPr>
            <w:r>
              <w:t xml:space="preserve">Base jurídica actual y fechas de aplicación</w:t>
            </w:r>
          </w:p>
        </w:tc>
        <w:tc>
          <w:tcPr/>
          <w:p>
            <w:pPr>
              <w:pStyle w:val="Compact"/>
              <w:jc w:val="left"/>
            </w:pPr>
            <w:r>
              <w:t xml:space="preserve">- No, no.</w:t>
            </w:r>
          </w:p>
        </w:tc>
      </w:tr>
      <w:tr>
        <w:tc>
          <w:tcPr/>
          <w:p>
            <w:pPr>
              <w:pStyle w:val="Compact"/>
              <w:jc w:val="left"/>
            </w:pPr>
            <w:r>
              <w:t xml:space="preserve">Validación o garantía independientes realizadas</w:t>
            </w:r>
          </w:p>
        </w:tc>
        <w:tc>
          <w:tcPr/>
          <w:p>
            <w:pPr>
              <w:pStyle w:val="Compact"/>
              <w:jc w:val="left"/>
            </w:pPr>
            <w:r>
              <w:t xml:space="preserve">- No, no.</w:t>
            </w:r>
          </w:p>
        </w:tc>
      </w:tr>
    </w:tbl>
    <w:bookmarkEnd w:id="1784"/>
    <w:bookmarkStart w:id="1785" w:name="situación-ejecutiva"/>
    <w:p>
      <w:pPr>
        <w:pStyle w:val="Heading2"/>
      </w:pPr>
      <w:r>
        <w:rPr>
          <w:rStyle w:val="SectionNumber"/>
        </w:rPr>
        <w:t xml:space="preserve">2.362</w:t>
      </w:r>
      <w:r>
        <w:tab/>
      </w:r>
      <w:r>
        <w:t xml:space="preserve">2. Situación ejecutiva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Zona</w:t>
            </w:r>
          </w:p>
        </w:tc>
        <w:tc>
          <w:tcPr/>
          <w:p>
            <w:pPr>
              <w:pStyle w:val="Compact"/>
              <w:jc w:val="left"/>
            </w:pPr>
            <w:r>
              <w:t xml:space="preserve">Situación</w:t>
            </w:r>
          </w:p>
        </w:tc>
        <w:tc>
          <w:tcPr/>
          <w:p>
            <w:pPr>
              <w:pStyle w:val="Compact"/>
              <w:jc w:val="left"/>
            </w:pPr>
            <w:r>
              <w:t xml:space="preserve">Tendencia</w:t>
            </w:r>
          </w:p>
        </w:tc>
        <w:tc>
          <w:tcPr/>
          <w:p>
            <w:pPr>
              <w:pStyle w:val="Compact"/>
              <w:jc w:val="left"/>
            </w:pPr>
            <w:r>
              <w:t xml:space="preserve">Pruebas/fuente</w:t>
            </w:r>
          </w:p>
        </w:tc>
        <w:tc>
          <w:tcPr/>
          <w:p>
            <w:pPr>
              <w:pStyle w:val="Compact"/>
              <w:jc w:val="left"/>
            </w:pPr>
            <w:r>
              <w:t xml:space="preserve">Mensaje clave</w:t>
            </w:r>
          </w:p>
        </w:tc>
        <w:tc>
          <w:tcPr/>
          <w:p>
            <w:pPr>
              <w:pStyle w:val="Compact"/>
              <w:jc w:val="left"/>
            </w:pPr>
            <w:r>
              <w:t xml:space="preserve">Decisión requerida</w:t>
            </w:r>
          </w:p>
        </w:tc>
      </w:tr>
      <w:tr>
        <w:tc>
          <w:tcPr/>
          <w:p>
            <w:pPr>
              <w:pStyle w:val="Compact"/>
              <w:jc w:val="left"/>
            </w:pPr>
            <w:r>
              <w:t xml:space="preserve">Gobernanza y propiedad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Fechas de aplicación legal y preparación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Exposición a prácticas prohibidas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Sistemas de alto riesgo y 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GPAI y derechos de transparencia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Derechos fundamentales, seguridad, privacidad y accesibilidad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Seguridad, resiliencia y proveedores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Incidentes, quejas y cuestiones reglamentarias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Garantía, hallazgos y rehabilitación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Alfabetización y competencia de la 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Oportunidades y limitaciones estratégicas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85"/>
    <w:bookmarkStart w:id="1786" w:name="perfil-de-la-cartera"/>
    <w:p>
      <w:pPr>
        <w:pStyle w:val="Heading2"/>
      </w:pPr>
      <w:r>
        <w:rPr>
          <w:rStyle w:val="SectionNumber"/>
        </w:rPr>
        <w:t xml:space="preserve">2.363</w:t>
      </w:r>
      <w:r>
        <w:tab/>
      </w:r>
      <w:r>
        <w:t xml:space="preserve">3. Perfil de la cartera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Métrico</w:t>
            </w:r>
          </w:p>
        </w:tc>
        <w:tc>
          <w:tcPr/>
          <w:p>
            <w:pPr>
              <w:pStyle w:val="Compact"/>
              <w:jc w:val="left"/>
            </w:pPr>
            <w:r>
              <w:t xml:space="preserve">Corriente</w:t>
            </w:r>
          </w:p>
        </w:tc>
        <w:tc>
          <w:tcPr/>
          <w:p>
            <w:pPr>
              <w:pStyle w:val="Compact"/>
              <w:jc w:val="left"/>
            </w:pPr>
            <w:r>
              <w:t xml:space="preserve">Período anterior</w:t>
            </w:r>
          </w:p>
        </w:tc>
        <w:tc>
          <w:tcPr/>
          <w:p>
            <w:pPr>
              <w:pStyle w:val="Compact"/>
              <w:jc w:val="left"/>
            </w:pPr>
            <w:r>
              <w:t xml:space="preserve">Objetivo o umbral</w:t>
            </w:r>
          </w:p>
        </w:tc>
        <w:tc>
          <w:tcPr/>
          <w:p>
            <w:pPr>
              <w:pStyle w:val="Compact"/>
              <w:jc w:val="left"/>
            </w:pPr>
            <w:r>
              <w:t xml:space="preserve">Calidad/estatuto de los datos</w:t>
            </w:r>
          </w:p>
        </w:tc>
      </w:tr>
      <w:tr>
        <w:tc>
          <w:tcPr/>
          <w:p>
            <w:pPr>
              <w:pStyle w:val="Compact"/>
              <w:jc w:val="left"/>
            </w:pPr>
            <w:r>
              <w:t xml:space="preserve">Total de sistemas de IA inventariados e integraciones de GPAI</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Estimación de la cobertura del inventario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Sistemas confirmados o potencialmente de alto riesgo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Sistemas a la espera de una decisión sobre el papel o la clasificación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Sistemas con evaluaciones o controles atrasados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Sistemas suspendidos, restringidos, rechazados o retirados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Sistemas en preparación de conformidad o registro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Proveedores críticos y dependencias de concentración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Modelo de material o cambios de proveedor pendientes de revisión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86"/>
    <w:bookmarkStart w:id="1787" w:name="exposición-jurídica-y-de-cumplimiento"/>
    <w:p>
      <w:pPr>
        <w:pStyle w:val="Heading2"/>
      </w:pPr>
      <w:r>
        <w:rPr>
          <w:rStyle w:val="SectionNumber"/>
        </w:rPr>
        <w:t xml:space="preserve">2.364</w:t>
      </w:r>
      <w:r>
        <w:tab/>
      </w:r>
      <w:r>
        <w:t xml:space="preserve">4. Exposición jurídica y de cumplimiento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Indicador</w:t>
            </w:r>
          </w:p>
        </w:tc>
        <w:tc>
          <w:tcPr/>
          <w:p>
            <w:pPr>
              <w:pStyle w:val="Compact"/>
              <w:jc w:val="left"/>
            </w:pPr>
            <w:r>
              <w:t xml:space="preserve">Situación</w:t>
            </w:r>
          </w:p>
        </w:tc>
        <w:tc>
          <w:tcPr/>
          <w:p>
            <w:pPr>
              <w:pStyle w:val="Compact"/>
              <w:jc w:val="left"/>
            </w:pPr>
            <w:r>
              <w:t xml:space="preserve">Fuente/fecha aplicable</w:t>
            </w:r>
          </w:p>
        </w:tc>
        <w:tc>
          <w:tcPr/>
          <w:p>
            <w:pPr>
              <w:pStyle w:val="Compact"/>
              <w:jc w:val="left"/>
            </w:pPr>
            <w:r>
              <w:t xml:space="preserve">Umbral</w:t>
            </w:r>
          </w:p>
        </w:tc>
        <w:tc>
          <w:tcPr/>
          <w:p>
            <w:pPr>
              <w:pStyle w:val="Compact"/>
              <w:jc w:val="left"/>
            </w:pPr>
            <w:r>
              <w:t xml:space="preserve">Medidas de gestión</w:t>
            </w:r>
          </w:p>
        </w:tc>
      </w:tr>
      <w:tr>
        <w:tc>
          <w:tcPr/>
          <w:p>
            <w:pPr>
              <w:pStyle w:val="Compact"/>
              <w:jc w:val="left"/>
            </w:pPr>
            <w:r>
              <w:t xml:space="preserve">Presuntas prácticas prohibidas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Cuestiones de clasificación de alto riesgo no resueltas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Obligaciones vinculantes pendientes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Deficiencias de conformidad, registro, declaración o marcado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Altos riesgos residuales o bloqueadores ilegales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Deficiencias en las pruebas materiales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Compromisos reglamentarios o solicitudes de autoridad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Excepciones aceptadas o controles compensatorios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No describa la disponibilidad interna, la madurez, la aceptación del riesgo o la aprobación de la junta directiva como conformidad o autorización legal.</w:t>
      </w:r>
    </w:p>
    <w:bookmarkEnd w:id="1787"/>
    <w:bookmarkStart w:id="1788" w:name="rendimiento-e-impacto-humano"/>
    <w:p>
      <w:pPr>
        <w:pStyle w:val="Heading2"/>
      </w:pPr>
      <w:r>
        <w:rPr>
          <w:rStyle w:val="SectionNumber"/>
        </w:rPr>
        <w:t xml:space="preserve">2.365</w:t>
      </w:r>
      <w:r>
        <w:tab/>
      </w:r>
      <w:r>
        <w:t xml:space="preserve">5. Rendimiento e impacto humano</w:t>
      </w:r>
    </w:p>
    <w:p>
      <w:pPr>
        <w:pStyle w:val="FirstParagraph"/>
      </w:pPr>
      <w:r>
        <w:t xml:space="preserve">Informe, con sistemas, versiones, poblaciones, jurisdicciones y tendencias afectadas:</w:t>
      </w:r>
    </w:p>
    <w:p>
      <w:pPr>
        <w:numPr>
          <w:ilvl w:val="0"/>
          <w:numId w:val="1650"/>
        </w:numPr>
        <w:pStyle w:val="Compact"/>
      </w:pPr>
      <w:r>
        <w:t xml:space="preserve">precisión, fiabilidad, robustez o deterioro de la seguridad del material;</w:t>
      </w:r>
    </w:p>
    <w:p>
      <w:pPr>
        <w:numPr>
          <w:ilvl w:val="0"/>
          <w:numId w:val="1650"/>
        </w:numPr>
        <w:pStyle w:val="Compact"/>
      </w:pPr>
      <w:r>
        <w:t xml:space="preserve">las disparidades entre subgrupos, los indicadores de discriminación y los efectos interseccionales;</w:t>
      </w:r>
    </w:p>
    <w:p>
      <w:pPr>
        <w:numPr>
          <w:ilvl w:val="0"/>
          <w:numId w:val="1650"/>
        </w:numPr>
        <w:pStyle w:val="Compact"/>
      </w:pPr>
      <w:r>
        <w:t xml:space="preserve">revisión humana, anulación, desacuerdo y tendencias de apelación;</w:t>
      </w:r>
    </w:p>
    <w:p>
      <w:pPr>
        <w:numPr>
          <w:ilvl w:val="0"/>
          <w:numId w:val="1650"/>
        </w:numPr>
        <w:pStyle w:val="Compact"/>
      </w:pPr>
      <w:r>
        <w:t xml:space="preserve">deficiencias de accesibilidad, idioma y alojamiento;</w:t>
      </w:r>
    </w:p>
    <w:p>
      <w:pPr>
        <w:numPr>
          <w:ilvl w:val="0"/>
          <w:numId w:val="1650"/>
        </w:numPr>
        <w:pStyle w:val="Compact"/>
      </w:pPr>
      <w:r>
        <w:t xml:space="preserve">preocupaciones en materia de seguridad y derechos fundamentales;</w:t>
      </w:r>
    </w:p>
    <w:p>
      <w:pPr>
        <w:numPr>
          <w:ilvl w:val="0"/>
          <w:numId w:val="1650"/>
        </w:numPr>
        <w:pStyle w:val="Compact"/>
      </w:pPr>
      <w:r>
        <w:t xml:space="preserve">quejas, resultados adversos e impactos de grupos vulnerables;</w:t>
      </w:r>
    </w:p>
    <w:p>
      <w:pPr>
        <w:numPr>
          <w:ilvl w:val="0"/>
          <w:numId w:val="1650"/>
        </w:numPr>
        <w:pStyle w:val="Compact"/>
      </w:pPr>
      <w:r>
        <w:t xml:space="preserve">la automatización-sesgos, la carga de trabajo o los indicadores de supervisión ineficaces;</w:t>
      </w:r>
    </w:p>
    <w:p>
      <w:pPr>
        <w:numPr>
          <w:ilvl w:val="0"/>
          <w:numId w:val="1650"/>
        </w:numPr>
        <w:pStyle w:val="Compact"/>
      </w:pPr>
      <w:r>
        <w:t xml:space="preserve">pruebas de una mejora o de una incertidumbre continuada.</w:t>
      </w:r>
    </w:p>
    <w:bookmarkEnd w:id="1788"/>
    <w:bookmarkStart w:id="1789" w:name="incidentes-y-resiliencia"/>
    <w:p>
      <w:pPr>
        <w:pStyle w:val="Heading2"/>
      </w:pPr>
      <w:r>
        <w:rPr>
          <w:rStyle w:val="SectionNumber"/>
        </w:rPr>
        <w:t xml:space="preserve">2.366</w:t>
      </w:r>
      <w:r>
        <w:tab/>
      </w:r>
      <w:r>
        <w:t xml:space="preserve">6. Incidentes y resiliencia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Métrica o evento</w:t>
            </w:r>
          </w:p>
        </w:tc>
        <w:tc>
          <w:tcPr/>
          <w:p>
            <w:pPr>
              <w:pStyle w:val="Compact"/>
              <w:jc w:val="left"/>
            </w:pPr>
            <w:r>
              <w:t xml:space="preserve">Corriente</w:t>
            </w:r>
          </w:p>
        </w:tc>
        <w:tc>
          <w:tcPr/>
          <w:p>
            <w:pPr>
              <w:pStyle w:val="Compact"/>
              <w:jc w:val="left"/>
            </w:pPr>
            <w:r>
              <w:t xml:space="preserve">Severidad</w:t>
            </w:r>
          </w:p>
        </w:tc>
        <w:tc>
          <w:tcPr/>
          <w:p>
            <w:pPr>
              <w:pStyle w:val="Compact"/>
              <w:jc w:val="left"/>
            </w:pPr>
            <w:r>
              <w:t xml:space="preserve">Tendencia</w:t>
            </w:r>
          </w:p>
        </w:tc>
        <w:tc>
          <w:tcPr/>
          <w:p>
            <w:pPr>
              <w:pStyle w:val="Compact"/>
              <w:jc w:val="left"/>
            </w:pPr>
            <w:r>
              <w:t xml:space="preserve">Medidas necesarias</w:t>
            </w:r>
          </w:p>
        </w:tc>
        <w:tc>
          <w:tcPr/>
          <w:p>
            <w:pPr>
              <w:pStyle w:val="Compact"/>
              <w:jc w:val="left"/>
            </w:pPr>
            <w:r>
              <w:t xml:space="preserve">Propietario/fecha</w:t>
            </w:r>
          </w:p>
        </w:tc>
      </w:tr>
      <w:tr>
        <w:tc>
          <w:tcPr/>
          <w:p>
            <w:pPr>
              <w:pStyle w:val="Compact"/>
              <w:jc w:val="left"/>
            </w:pPr>
            <w:r>
              <w:t xml:space="preserve">Incidentes graves o evaluaciones de la informabilidad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Eventos de seguridad o privacidad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Interrupciones del servicio o retrocesos fallidos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Fallos del proveedor o del proveedor de modelos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Continuidad fallida, incidencia o ejercicios regulatorios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Abrir retiros, retiros, suspensiones o restricciones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89"/>
    <w:bookmarkStart w:id="1790" w:name="garantía-y-rehabilitación"/>
    <w:p>
      <w:pPr>
        <w:pStyle w:val="Heading2"/>
      </w:pPr>
      <w:r>
        <w:rPr>
          <w:rStyle w:val="SectionNumber"/>
        </w:rPr>
        <w:t xml:space="preserve">2.367</w:t>
      </w:r>
      <w:r>
        <w:tab/>
      </w:r>
      <w:r>
        <w:t xml:space="preserve">7. Garantía y rehabilitación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Métrico</w:t>
            </w:r>
          </w:p>
        </w:tc>
        <w:tc>
          <w:tcPr/>
          <w:p>
            <w:pPr>
              <w:pStyle w:val="Compact"/>
              <w:jc w:val="left"/>
            </w:pPr>
            <w:r>
              <w:t xml:space="preserve">Corriente</w:t>
            </w:r>
          </w:p>
        </w:tc>
        <w:tc>
          <w:tcPr/>
          <w:p>
            <w:pPr>
              <w:pStyle w:val="Compact"/>
              <w:jc w:val="left"/>
            </w:pPr>
            <w:r>
              <w:t xml:space="preserve">Objetivo</w:t>
            </w:r>
          </w:p>
        </w:tc>
        <w:tc>
          <w:tcPr/>
          <w:p>
            <w:pPr>
              <w:pStyle w:val="Compact"/>
              <w:jc w:val="left"/>
            </w:pPr>
            <w:r>
              <w:t xml:space="preserve">Tendencia</w:t>
            </w:r>
          </w:p>
        </w:tc>
        <w:tc>
          <w:tcPr/>
          <w:p>
            <w:pPr>
              <w:pStyle w:val="Compact"/>
              <w:jc w:val="left"/>
            </w:pPr>
            <w:r>
              <w:t xml:space="preserve">Pruebas/limitación</w:t>
            </w:r>
          </w:p>
        </w:tc>
      </w:tr>
      <w:tr>
        <w:tc>
          <w:tcPr/>
          <w:p>
            <w:pPr>
              <w:pStyle w:val="Compact"/>
              <w:jc w:val="left"/>
            </w:pPr>
            <w:r>
              <w:t xml:space="preserve">Conclusiones críticas abiertas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Principales resultados abiertos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Medidas correctoras pendientes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Repetir hallazgos o incidentes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Tasa de cierre validada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Auditoría o finalización del plan de garantía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Controles probados para la eficacia operativa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Conclusiones con aceptación del riesgo de gestión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El cierre interno no sustituye la corrección, retirada, retirada, notificación, notificación o acción de la autoridad requerida.</w:t>
      </w:r>
    </w:p>
    <w:bookmarkEnd w:id="1790"/>
    <w:bookmarkStart w:id="1791" w:name="alfabetización-y-competencia-de-la-ia"/>
    <w:p>
      <w:pPr>
        <w:pStyle w:val="Heading2"/>
      </w:pPr>
      <w:r>
        <w:rPr>
          <w:rStyle w:val="SectionNumber"/>
        </w:rPr>
        <w:t xml:space="preserve">2.368</w:t>
      </w:r>
      <w:r>
        <w:tab/>
      </w:r>
      <w:r>
        <w:t xml:space="preserve">8. Alfabetización y competencia de la IA</w:t>
      </w:r>
    </w:p>
    <w:p>
      <w:pPr>
        <w:pStyle w:val="FirstParagraph"/>
      </w:pPr>
      <w:r>
        <w:t xml:space="preserve">La finalización de los informes, los resultados de las competencias, las funciones de alto riesgo atrasadas, las restricciones temporales, los ejercicios hipotéticos fallidos, las pautas recurrentes de uso inseguro y si la dotación de personal, el volumen de trabajo, la autoridad o los incentivos socavan la supervisión eficaz.</w:t>
      </w:r>
    </w:p>
    <w:bookmarkEnd w:id="1791"/>
    <w:bookmarkStart w:id="1792" w:name="decisiones-que-debe-adoptar-la-junta"/>
    <w:p>
      <w:pPr>
        <w:pStyle w:val="Heading2"/>
      </w:pPr>
      <w:r>
        <w:rPr>
          <w:rStyle w:val="SectionNumber"/>
        </w:rPr>
        <w:t xml:space="preserve">2.369</w:t>
      </w:r>
      <w:r>
        <w:tab/>
      </w:r>
      <w:r>
        <w:t xml:space="preserve">9. Decisiones que debe adoptar la junta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Decisión</w:t>
            </w:r>
          </w:p>
        </w:tc>
        <w:tc>
          <w:tcPr/>
          <w:p>
            <w:pPr>
              <w:pStyle w:val="Compact"/>
              <w:jc w:val="left"/>
            </w:pPr>
            <w:r>
              <w:t xml:space="preserve">Recomendación sobre la gestión</w:t>
            </w:r>
          </w:p>
        </w:tc>
        <w:tc>
          <w:tcPr/>
          <w:p>
            <w:pPr>
              <w:pStyle w:val="Compact"/>
              <w:jc w:val="left"/>
            </w:pPr>
            <w:r>
              <w:t xml:space="preserve">Consecuencias jurídicas y de riesgo de la demora</w:t>
            </w:r>
          </w:p>
        </w:tc>
        <w:tc>
          <w:tcPr/>
          <w:p>
            <w:pPr>
              <w:pStyle w:val="Compact"/>
              <w:jc w:val="left"/>
            </w:pPr>
            <w:r>
              <w:t xml:space="preserve">Alternativas</w:t>
            </w:r>
          </w:p>
        </w:tc>
        <w:tc>
          <w:tcPr/>
          <w:p>
            <w:pPr>
              <w:pStyle w:val="Compact"/>
              <w:jc w:val="left"/>
            </w:pPr>
            <w:r>
              <w:t xml:space="preserve">Fecha requerida</w:t>
            </w:r>
          </w:p>
        </w:tc>
        <w:tc>
          <w:tcPr/>
          <w:p>
            <w:pPr>
              <w:pStyle w:val="Compact"/>
              <w:jc w:val="left"/>
            </w:pPr>
            <w:r>
              <w:t xml:space="preserve">Decisión de la Junta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Entre las posibles decisiones figuran la financiación, el apetito por los riesgos, la suspensión o restricción, la prioridad de rehabilitación, la salida de los proveedores, la revisión independiente, la respuesta normativa, la dotación de personal y la aprobación de la próxima hoja de ruta del programa.</w:t>
      </w:r>
    </w:p>
    <w:bookmarkEnd w:id="1792"/>
    <w:bookmarkStart w:id="1793" w:name="certificación-de-la-administración"/>
    <w:p>
      <w:pPr>
        <w:pStyle w:val="Heading2"/>
      </w:pPr>
      <w:r>
        <w:rPr>
          <w:rStyle w:val="SectionNumber"/>
        </w:rPr>
        <w:t xml:space="preserve">2.370</w:t>
      </w:r>
      <w:r>
        <w:tab/>
      </w:r>
      <w:r>
        <w:t xml:space="preserve">10. Certificación de la administración</w:t>
      </w:r>
    </w:p>
    <w:p>
      <w:pPr>
        <w:pStyle w:val="FirstParagraph"/>
      </w:pPr>
      <w:r>
        <w:t xml:space="preserve">La dirección debe revelar:</w:t>
      </w:r>
    </w:p>
    <w:p>
      <w:pPr>
        <w:numPr>
          <w:ilvl w:val="0"/>
          <w:numId w:val="1651"/>
        </w:numPr>
        <w:pStyle w:val="Compact"/>
      </w:pPr>
      <w:r>
        <w:t xml:space="preserve">el alcance, la metodología, los sistemas de fuentes y la limitación de la presentación de informes;</w:t>
      </w:r>
    </w:p>
    <w:p>
      <w:pPr>
        <w:numPr>
          <w:ilvl w:val="0"/>
          <w:numId w:val="1651"/>
        </w:numPr>
        <w:pStyle w:val="Compact"/>
      </w:pPr>
      <w:r>
        <w:t xml:space="preserve">métricas no validadas y problemas de calidad de los datos conocidos;</w:t>
      </w:r>
    </w:p>
    <w:p>
      <w:pPr>
        <w:numPr>
          <w:ilvl w:val="0"/>
          <w:numId w:val="1651"/>
        </w:numPr>
        <w:pStyle w:val="Compact"/>
      </w:pPr>
      <w:r>
        <w:t xml:space="preserve">incertidumbre jurídica, técnica o operativa no resuelta;</w:t>
      </w:r>
    </w:p>
    <w:p>
      <w:pPr>
        <w:numPr>
          <w:ilvl w:val="0"/>
          <w:numId w:val="1651"/>
        </w:numPr>
        <w:pStyle w:val="Compact"/>
      </w:pPr>
      <w:r>
        <w:t xml:space="preserve">Exclusiones materiales o puntos ciegos;</w:t>
      </w:r>
    </w:p>
    <w:p>
      <w:pPr>
        <w:numPr>
          <w:ilvl w:val="0"/>
          <w:numId w:val="1651"/>
        </w:numPr>
        <w:pStyle w:val="Compact"/>
      </w:pPr>
      <w:r>
        <w:t xml:space="preserve">métricas basadas en afirmaciones de los proveedores en lugar de pruebas verificadas;</w:t>
      </w:r>
    </w:p>
    <w:p>
      <w:pPr>
        <w:numPr>
          <w:ilvl w:val="0"/>
          <w:numId w:val="1651"/>
        </w:numPr>
        <w:pStyle w:val="Compact"/>
      </w:pPr>
      <w:r>
        <w:t xml:space="preserve">los asuntos omitidos por razones legítimas de privilegio, confidencialidad, seguridad o secreto comercial;</w:t>
      </w:r>
    </w:p>
    <w:p>
      <w:pPr>
        <w:numPr>
          <w:ilvl w:val="0"/>
          <w:numId w:val="1651"/>
        </w:numPr>
        <w:pStyle w:val="Compact"/>
      </w:pPr>
      <w:r>
        <w:t xml:space="preserve">si las tendencias comunicadas son significativas desde el punto de vista estadístico y operacional.</w:t>
      </w:r>
    </w:p>
    <w:bookmarkEnd w:id="1793"/>
    <w:bookmarkStart w:id="1794" w:name="homologación-21"/>
    <w:p>
      <w:pPr>
        <w:pStyle w:val="Heading2"/>
      </w:pPr>
      <w:r>
        <w:rPr>
          <w:rStyle w:val="SectionNumber"/>
        </w:rPr>
        <w:t xml:space="preserve">2.371</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 o certificado</w:t>
            </w:r>
          </w:p>
        </w:tc>
        <w:tc>
          <w:tcPr/>
          <w:p>
            <w:pPr>
              <w:pStyle w:val="Compact"/>
              <w:jc w:val="left"/>
            </w:pPr>
            <w:r>
              <w:t xml:space="preserve">Fecha</w:t>
            </w:r>
          </w:p>
        </w:tc>
      </w:tr>
      <w:tr>
        <w:tc>
          <w:tcPr/>
          <w:p>
            <w:pPr>
              <w:pStyle w:val="Compact"/>
              <w:jc w:val="left"/>
            </w:pPr>
            <w:r>
              <w:t xml:space="preserve">Patrocinador ejecutivo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Riesgo/propietario del 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Titular legal o regulador,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Presidente de la Junta o del Comité</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 </w:t>
      </w:r>
      <w:r>
        <w:t xml:space="preserve">Limitaciones e incertidumbre conocidas:</w:t>
      </w:r>
      <w:r>
        <w:rPr>
          <w:bCs/>
          <w:b/>
        </w:rPr>
        <w:t xml:space="preserve"> </w:t>
      </w:r>
      <w:r>
        <w:t xml:space="preserve"> </w:t>
      </w:r>
      <w:r>
        <w:t xml:space="preserve">Actos o decisiones prorrogados:</w:t>
      </w:r>
      <w:r>
        <w:rPr>
          <w:bCs/>
          <w:b/>
        </w:rPr>
        <w:t xml:space="preserve"> </w:t>
      </w:r>
      <w:r>
        <w:t xml:space="preserve"> </w:t>
      </w:r>
      <w:r>
        <w:t xml:space="preserve">Fecha de presentación de informes siguiente:**</w:t>
      </w:r>
    </w:p>
    <w:bookmarkEnd w:id="1794"/>
    <w:bookmarkStart w:id="1795" w:name="X8f4ad60d0432eb7b2f092a50ab1d583d3b9b810"/>
    <w:p>
      <w:pPr>
        <w:pStyle w:val="Heading2"/>
      </w:pPr>
      <w:r>
        <w:rPr>
          <w:rStyle w:val="SectionNumber"/>
        </w:rPr>
        <w:t xml:space="preserve">2.372</w:t>
      </w:r>
      <w:r>
        <w:tab/>
      </w:r>
      <w:r>
        <w:t xml:space="preserve">Apéndice Z — Hoja de ruta para la aplicación de la gobernanza de la IA</w:t>
      </w:r>
    </w:p>
    <w:p>
      <w:pPr>
        <w:pStyle w:val="BlockText"/>
      </w:pPr>
      <w:r>
        <w:rPr>
          <w:bCs/>
          <w:b/>
        </w:rPr>
        <w:t xml:space="preserve">Situación jurídica:</w:t>
      </w:r>
      <w:r>
        <w:t xml:space="preserve"> </w:t>
      </w:r>
      <w:r>
        <w:t xml:space="preserve">Maestro inglés corregido. Las siguientes fases de 30 días, 90 días y meses son los hitos internos del programa recomendados, no los plazos legales del Acta de IA de la UE. Las fechas de aplicación vinculantes y las reglas transitorias deben mantenerse en un registro legal vigente separado.</w:t>
      </w:r>
    </w:p>
    <w:bookmarkEnd w:id="1795"/>
    <w:bookmarkStart w:id="1796" w:name="finalidad-43"/>
    <w:p>
      <w:pPr>
        <w:pStyle w:val="Heading2"/>
      </w:pPr>
      <w:r>
        <w:rPr>
          <w:rStyle w:val="SectionNumber"/>
        </w:rPr>
        <w:t xml:space="preserve">2.373</w:t>
      </w:r>
      <w:r>
        <w:tab/>
      </w:r>
      <w:r>
        <w:t xml:space="preserve">Finalidad</w:t>
      </w:r>
    </w:p>
    <w:p>
      <w:pPr>
        <w:pStyle w:val="FirstParagraph"/>
      </w:pPr>
      <w:r>
        <w:t xml:space="preserve">Utilice esta hoja de ruta para planificar, secuenciar, asignar, financiar, supervisar e informar de la aplicación de un programa de gobernanza de la IA y de preparación para la Ley de IA de la UE.</w:t>
      </w:r>
    </w:p>
    <w:bookmarkEnd w:id="1796"/>
    <w:bookmarkStart w:id="1797" w:name="programa-y-base-jurídica-de-referencia"/>
    <w:p>
      <w:pPr>
        <w:pStyle w:val="Heading2"/>
      </w:pPr>
      <w:r>
        <w:rPr>
          <w:rStyle w:val="SectionNumber"/>
        </w:rPr>
        <w:t xml:space="preserve">2.374</w:t>
      </w:r>
      <w:r>
        <w:tab/>
      </w:r>
      <w:r>
        <w:t xml:space="preserve">1. Programa y base jurídica de referencia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Respuesta</w:t>
            </w:r>
          </w:p>
        </w:tc>
      </w:tr>
      <w:tr>
        <w:tc>
          <w:tcPr/>
          <w:p>
            <w:pPr>
              <w:pStyle w:val="Compact"/>
              <w:jc w:val="left"/>
            </w:pPr>
            <w:r>
              <w:t xml:space="preserve">Patrocinador ejecutivo</w:t>
            </w:r>
          </w:p>
        </w:tc>
        <w:tc>
          <w:tcPr/>
          <w:p>
            <w:pPr>
              <w:pStyle w:val="Compact"/>
              <w:jc w:val="left"/>
            </w:pPr>
            <w:r>
              <w:t xml:space="preserve">- No, no.</w:t>
            </w:r>
          </w:p>
        </w:tc>
      </w:tr>
      <w:tr>
        <w:tc>
          <w:tcPr/>
          <w:p>
            <w:pPr>
              <w:pStyle w:val="Compact"/>
              <w:jc w:val="left"/>
            </w:pPr>
            <w:r>
              <w:t xml:space="preserve">Propietario del programa</w:t>
            </w:r>
          </w:p>
        </w:tc>
        <w:tc>
          <w:tcPr/>
          <w:p>
            <w:pPr>
              <w:pStyle w:val="Compact"/>
              <w:jc w:val="left"/>
            </w:pPr>
            <w:r>
              <w:t xml:space="preserve">- No, no.</w:t>
            </w:r>
          </w:p>
        </w:tc>
      </w:tr>
      <w:tr>
        <w:tc>
          <w:tcPr/>
          <w:p>
            <w:pPr>
              <w:pStyle w:val="Compact"/>
              <w:jc w:val="left"/>
            </w:pPr>
            <w:r>
              <w:t xml:space="preserve">Entidades de alcance, sistemas, modelos y jurisdicciones</w:t>
            </w:r>
          </w:p>
        </w:tc>
        <w:tc>
          <w:tcPr/>
          <w:p>
            <w:pPr>
              <w:pStyle w:val="Compact"/>
              <w:jc w:val="left"/>
            </w:pPr>
            <w:r>
              <w:t xml:space="preserve">- No, no.</w:t>
            </w:r>
          </w:p>
        </w:tc>
      </w:tr>
      <w:tr>
        <w:tc>
          <w:tcPr/>
          <w:p>
            <w:pPr>
              <w:pStyle w:val="Compact"/>
              <w:jc w:val="left"/>
            </w:pPr>
            <w:r>
              <w:t xml:space="preserve">Fecha de inicio y fechas de destino internas</w:t>
            </w:r>
          </w:p>
        </w:tc>
        <w:tc>
          <w:tcPr/>
          <w:p>
            <w:pPr>
              <w:pStyle w:val="Compact"/>
              <w:jc w:val="left"/>
            </w:pPr>
            <w:r>
              <w:t xml:space="preserve">- No, no.</w:t>
            </w:r>
          </w:p>
        </w:tc>
      </w:tr>
      <w:tr>
        <w:tc>
          <w:tcPr/>
          <w:p>
            <w:pPr>
              <w:pStyle w:val="Compact"/>
              <w:jc w:val="left"/>
            </w:pPr>
            <w:r>
              <w:t xml:space="preserve">Fuente jurídica consolidada actual</w:t>
            </w:r>
          </w:p>
        </w:tc>
        <w:tc>
          <w:tcPr/>
          <w:p>
            <w:pPr>
              <w:pStyle w:val="Compact"/>
              <w:jc w:val="left"/>
            </w:pPr>
            <w:r>
              <w:t xml:space="preserve">- No, no.</w:t>
            </w:r>
          </w:p>
        </w:tc>
      </w:tr>
      <w:tr>
        <w:tc>
          <w:tcPr/>
          <w:p>
            <w:pPr>
              <w:pStyle w:val="Compact"/>
              <w:jc w:val="left"/>
            </w:pPr>
            <w:r>
              <w:t xml:space="preserve">Disposición vinculante y ubicación del registro de fecha de aplicación</w:t>
            </w:r>
          </w:p>
        </w:tc>
        <w:tc>
          <w:tcPr/>
          <w:p>
            <w:pPr>
              <w:pStyle w:val="Compact"/>
              <w:jc w:val="left"/>
            </w:pPr>
            <w:r>
              <w:t xml:space="preserve">- No, no.</w:t>
            </w:r>
          </w:p>
        </w:tc>
      </w:tr>
      <w:tr>
        <w:tc>
          <w:tcPr/>
          <w:p>
            <w:pPr>
              <w:pStyle w:val="Compact"/>
              <w:jc w:val="left"/>
            </w:pPr>
            <w:r>
              <w:t xml:space="preserve">Presupuesto, dotación de personal y propietario de recursos</w:t>
            </w:r>
          </w:p>
        </w:tc>
        <w:tc>
          <w:tcPr/>
          <w:p>
            <w:pPr>
              <w:pStyle w:val="Compact"/>
              <w:jc w:val="left"/>
            </w:pPr>
            <w:r>
              <w:t xml:space="preserve">- No, no.</w:t>
            </w:r>
          </w:p>
        </w:tc>
      </w:tr>
      <w:tr>
        <w:tc>
          <w:tcPr/>
          <w:p>
            <w:pPr>
              <w:pStyle w:val="Compact"/>
              <w:jc w:val="left"/>
            </w:pPr>
            <w:r>
              <w:t xml:space="preserve">Asesores jurídicos, de conformidad y de garantía</w:t>
            </w:r>
          </w:p>
        </w:tc>
        <w:tc>
          <w:tcPr/>
          <w:p>
            <w:pPr>
              <w:pStyle w:val="Compact"/>
              <w:jc w:val="left"/>
            </w:pPr>
            <w:r>
              <w:t xml:space="preserve">- No, no.</w:t>
            </w:r>
          </w:p>
        </w:tc>
      </w:tr>
      <w:tr>
        <w:tc>
          <w:tcPr/>
          <w:p>
            <w:pPr>
              <w:pStyle w:val="Compact"/>
              <w:jc w:val="left"/>
            </w:pPr>
            <w:r>
              <w:t xml:space="preserve">Depósito de pruebas</w:t>
            </w:r>
          </w:p>
        </w:tc>
        <w:tc>
          <w:tcPr/>
          <w:p>
            <w:pPr>
              <w:pStyle w:val="Compact"/>
              <w:jc w:val="left"/>
            </w:pPr>
            <w:r>
              <w:t xml:space="preserve">- No, no.</w:t>
            </w:r>
          </w:p>
        </w:tc>
      </w:tr>
    </w:tbl>
    <w:bookmarkEnd w:id="1797"/>
    <w:bookmarkStart w:id="1798" w:name="control-inmediato-de-la-fecha-jurídica"/>
    <w:p>
      <w:pPr>
        <w:pStyle w:val="Heading2"/>
      </w:pPr>
      <w:r>
        <w:rPr>
          <w:rStyle w:val="SectionNumber"/>
        </w:rPr>
        <w:t xml:space="preserve">2.375</w:t>
      </w:r>
      <w:r>
        <w:tab/>
      </w:r>
      <w:r>
        <w:t xml:space="preserve">2. Control inmediato de la fecha jurídica</w:t>
      </w:r>
    </w:p>
    <w:p>
      <w:pPr>
        <w:pStyle w:val="FirstParagraph"/>
      </w:pPr>
      <w:r>
        <w:t xml:space="preserve">Antes de utilizar la hoja de ruta, identifique cada disposición aplicable, actor, sistema o modelo, fecha de aplicación, regla de transición, dependencia de la conformidad, interacción con la autoridad y propietario responsable.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Provisión u obligación</w:t>
            </w:r>
          </w:p>
        </w:tc>
        <w:tc>
          <w:tcPr/>
          <w:p>
            <w:pPr>
              <w:pStyle w:val="Compact"/>
              <w:jc w:val="left"/>
            </w:pPr>
            <w:r>
              <w:t xml:space="preserve">Actor</w:t>
            </w:r>
          </w:p>
        </w:tc>
        <w:tc>
          <w:tcPr/>
          <w:p>
            <w:pPr>
              <w:pStyle w:val="Compact"/>
              <w:jc w:val="left"/>
            </w:pPr>
            <w:r>
              <w:t xml:space="preserve">Sistema/modelo</w:t>
            </w:r>
          </w:p>
        </w:tc>
        <w:tc>
          <w:tcPr/>
          <w:p>
            <w:pPr>
              <w:pStyle w:val="Compact"/>
              <w:jc w:val="left"/>
            </w:pPr>
            <w:r>
              <w:t xml:space="preserve">Fecha de aplicación</w:t>
            </w:r>
          </w:p>
        </w:tc>
        <w:tc>
          <w:tcPr/>
          <w:p>
            <w:pPr>
              <w:pStyle w:val="Compact"/>
              <w:jc w:val="left"/>
            </w:pPr>
            <w:r>
              <w:t xml:space="preserve">Transición/dependencia</w:t>
            </w:r>
          </w:p>
        </w:tc>
        <w:tc>
          <w:tcPr/>
          <w:p>
            <w:pPr>
              <w:pStyle w:val="Compact"/>
              <w:jc w:val="left"/>
            </w:pPr>
            <w:r>
              <w:t xml:space="preserve">Propietario</w:t>
            </w:r>
          </w:p>
        </w:tc>
        <w:tc>
          <w:tcPr/>
          <w:p>
            <w:pPr>
              <w:pStyle w:val="Compact"/>
              <w:jc w:val="left"/>
            </w:pPr>
            <w:r>
              <w:t xml:space="preserve">Situación/evidencia</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98"/>
    <w:bookmarkStart w:id="1799" w:name="X1fc2a4d43209ed3dd31258831b1df277036783e"/>
    <w:p>
      <w:pPr>
        <w:pStyle w:val="Heading2"/>
      </w:pPr>
      <w:r>
        <w:rPr>
          <w:rStyle w:val="SectionNumber"/>
        </w:rPr>
        <w:t xml:space="preserve">2.376</w:t>
      </w:r>
      <w:r>
        <w:tab/>
      </w:r>
      <w:r>
        <w:t xml:space="preserve">3. Fase 1 - Primeros 30 días: establecer el control</w:t>
      </w:r>
    </w:p>
    <w:p>
      <w:pPr>
        <w:pStyle w:val="FirstParagraph"/>
      </w:pPr>
      <w:r>
        <w:t xml:space="preserve">Medidas recomendadas: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Fecha de vencimiento interna</w:t>
            </w:r>
          </w:p>
        </w:tc>
        <w:tc>
          <w:tcPr/>
          <w:p>
            <w:pPr>
              <w:pStyle w:val="Compact"/>
              <w:jc w:val="left"/>
            </w:pPr>
            <w:r>
              <w:t xml:space="preserve">Dependencia jurídica</w:t>
            </w:r>
          </w:p>
        </w:tc>
        <w:tc>
          <w:tcPr/>
          <w:p>
            <w:pPr>
              <w:pStyle w:val="Compact"/>
              <w:jc w:val="left"/>
            </w:pPr>
            <w:r>
              <w:t xml:space="preserve">Situación</w:t>
            </w:r>
          </w:p>
        </w:tc>
        <w:tc>
          <w:tcPr/>
          <w:p>
            <w:pPr>
              <w:pStyle w:val="Compact"/>
              <w:jc w:val="left"/>
            </w:pPr>
            <w:r>
              <w:t xml:space="preserve">Pruebas</w:t>
            </w:r>
          </w:p>
        </w:tc>
      </w:tr>
      <w:tr>
        <w:tc>
          <w:tcPr/>
          <w:p>
            <w:pPr>
              <w:pStyle w:val="Compact"/>
              <w:jc w:val="left"/>
            </w:pPr>
            <w:r>
              <w:t xml:space="preserve">Establecer gobernanza, derechos de decisión y escalada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Verificar la base jurídica actual y las fechas de entrada en vigor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Identificar, bloquear, restringir o intensificar los usos prohibidos y no resueltos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Crear el sistema de IA inicial y el inventario GPAI</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Asignar legal-entidad, actor-papel, sistema, técnicos, datos y propietarios de riesgos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Triage alto riesgo, transparencia, GPAI, privacidad, seguridad, accesibilidad, empleo, consumidor, producto y exposición del sector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Establecer procesos inmediatos de incidentes, quejas, preservación de pruebas, retención legal y revisión calificada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Iniciar medidas proporcionadas de alfabetización en materia de 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Definir bloques de liberación urgente y controles provisionales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799"/>
    <w:bookmarkStart w:id="1800" w:name="fase-2---días-31-a-90-operacionalizar"/>
    <w:p>
      <w:pPr>
        <w:pStyle w:val="Heading2"/>
      </w:pPr>
      <w:r>
        <w:rPr>
          <w:rStyle w:val="SectionNumber"/>
        </w:rPr>
        <w:t xml:space="preserve">2.377</w:t>
      </w:r>
      <w:r>
        <w:tab/>
      </w:r>
      <w:r>
        <w:t xml:space="preserve">4. Fase 2 - Días 31 a 90: operacionalizar</w:t>
      </w:r>
    </w:p>
    <w:p>
      <w:pPr>
        <w:pStyle w:val="FirstParagraph"/>
      </w:pPr>
      <w:r>
        <w:t xml:space="preserve">Medidas recomendadas: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Fecha de vencimiento interna</w:t>
            </w:r>
          </w:p>
        </w:tc>
        <w:tc>
          <w:tcPr/>
          <w:p>
            <w:pPr>
              <w:pStyle w:val="Compact"/>
              <w:jc w:val="left"/>
            </w:pPr>
            <w:r>
              <w:t xml:space="preserve">Dependencia</w:t>
            </w:r>
          </w:p>
        </w:tc>
        <w:tc>
          <w:tcPr/>
          <w:p>
            <w:pPr>
              <w:pStyle w:val="Compact"/>
              <w:jc w:val="left"/>
            </w:pPr>
            <w:r>
              <w:t xml:space="preserve">Situación</w:t>
            </w:r>
          </w:p>
        </w:tc>
        <w:tc>
          <w:tcPr/>
          <w:p>
            <w:pPr>
              <w:pStyle w:val="Compact"/>
              <w:jc w:val="left"/>
            </w:pPr>
            <w:r>
              <w:t xml:space="preserve">Pruebas</w:t>
            </w:r>
          </w:p>
        </w:tc>
      </w:tr>
      <w:tr>
        <w:tc>
          <w:tcPr/>
          <w:p>
            <w:pPr>
              <w:pStyle w:val="Compact"/>
              <w:jc w:val="left"/>
            </w:pPr>
            <w:r>
              <w:t xml:space="preserve">Reconcile inventario, roles de actor, propósitos previstos y clasificaciones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Aplicabilidad de prioridad completa, prácticas prohibidas, alto riesgo, FRIA/DPIA, riesgo y evaluaciones de proveedores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Establecer registros de control, evidencia, fecha legal, emisión y excepción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Examinar proveedores críticos, contratos, proveedores de modelos, subprocesadores y dependencias de salida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Aprobar la ingesta del ciclo de vida, la liberación, el cambio y las puertas de modificación sustancial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Aprobar procesos de supervisión humana, transparencia, accesibilidad, supervisión, denuncia, incidente y medidas correctivas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Remediar la documentación urgente, la seguridad, los datos, el registro, la accesibilidad, el idioma y las lagunas contractuales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Establecer la gestión y la presentación de informes de las juntas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800"/>
    <w:bookmarkStart w:id="1801" w:name="fase-3---meses-4-6-estabilizar-y-validar"/>
    <w:p>
      <w:pPr>
        <w:pStyle w:val="Heading2"/>
      </w:pPr>
      <w:r>
        <w:rPr>
          <w:rStyle w:val="SectionNumber"/>
        </w:rPr>
        <w:t xml:space="preserve">2.378</w:t>
      </w:r>
      <w:r>
        <w:tab/>
      </w:r>
      <w:r>
        <w:t xml:space="preserve">5. Fase 3 - Meses 4-6: estabilizar y validar</w:t>
      </w:r>
    </w:p>
    <w:p>
      <w:pPr>
        <w:pStyle w:val="FirstParagraph"/>
      </w:pPr>
      <w:r>
        <w:t xml:space="preserve">Medidas recomendadas: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Fecha de vencimiento interna</w:t>
            </w:r>
          </w:p>
        </w:tc>
        <w:tc>
          <w:tcPr/>
          <w:p>
            <w:pPr>
              <w:pStyle w:val="Compact"/>
              <w:jc w:val="left"/>
            </w:pPr>
            <w:r>
              <w:t xml:space="preserve">Dependencia</w:t>
            </w:r>
          </w:p>
        </w:tc>
        <w:tc>
          <w:tcPr/>
          <w:p>
            <w:pPr>
              <w:pStyle w:val="Compact"/>
              <w:jc w:val="left"/>
            </w:pPr>
            <w:r>
              <w:t xml:space="preserve">Situación</w:t>
            </w:r>
          </w:p>
        </w:tc>
        <w:tc>
          <w:tcPr/>
          <w:p>
            <w:pPr>
              <w:pStyle w:val="Compact"/>
              <w:jc w:val="left"/>
            </w:pPr>
            <w:r>
              <w:t xml:space="preserve">Pruebas</w:t>
            </w:r>
          </w:p>
        </w:tc>
      </w:tr>
      <w:tr>
        <w:tc>
          <w:tcPr/>
          <w:p>
            <w:pPr>
              <w:pStyle w:val="Compact"/>
              <w:jc w:val="left"/>
            </w:pPr>
            <w:r>
              <w:t xml:space="preserve">Aplicar las bases de referencia aplicables de alto riesgo y control de la GPAI</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Documentación técnica de prioridad completa y conciliación de versiones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Realizar pruebas de rendimiento, subgrupo, robustez, ciberseguridad, supervisión y uso indebido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Operativice el cambio, la liberación, el proveedor y la gestión de la modificación sustancial</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Continuidad de las pruebas, incidentes graves, retención legal y flujos de trabajo de respuesta regulatoria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Iniciar el diseño independiente y la garantía de eficacia operativa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Conclusiones críticas y validación independiente de la rehabilitación</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Revisar la conformidad, el registro, la declaración, el marcado y la disponibilidad de acceso de la autoridad, cuando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801"/>
    <w:bookmarkStart w:id="1802" w:name="fase-4-meses-7-12-escala-y-madurez"/>
    <w:p>
      <w:pPr>
        <w:pStyle w:val="Heading2"/>
      </w:pPr>
      <w:r>
        <w:rPr>
          <w:rStyle w:val="SectionNumber"/>
        </w:rPr>
        <w:t xml:space="preserve">2.379</w:t>
      </w:r>
      <w:r>
        <w:tab/>
      </w:r>
      <w:r>
        <w:t xml:space="preserve">6. Fase 4 — Meses 7-12: escala y madurez</w:t>
      </w:r>
    </w:p>
    <w:p>
      <w:pPr>
        <w:pStyle w:val="FirstParagraph"/>
      </w:pPr>
      <w:r>
        <w:t xml:space="preserve">Medidas recomendadas: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Medidas adoptadas</w:t>
            </w:r>
          </w:p>
        </w:tc>
        <w:tc>
          <w:tcPr/>
          <w:p>
            <w:pPr>
              <w:pStyle w:val="Compact"/>
              <w:jc w:val="left"/>
            </w:pPr>
            <w:r>
              <w:t xml:space="preserve">Propietario</w:t>
            </w:r>
          </w:p>
        </w:tc>
        <w:tc>
          <w:tcPr/>
          <w:p>
            <w:pPr>
              <w:pStyle w:val="Compact"/>
              <w:jc w:val="left"/>
            </w:pPr>
            <w:r>
              <w:t xml:space="preserve">Fecha de vencimiento interna</w:t>
            </w:r>
          </w:p>
        </w:tc>
        <w:tc>
          <w:tcPr/>
          <w:p>
            <w:pPr>
              <w:pStyle w:val="Compact"/>
              <w:jc w:val="left"/>
            </w:pPr>
            <w:r>
              <w:t xml:space="preserve">Dependencia</w:t>
            </w:r>
          </w:p>
        </w:tc>
        <w:tc>
          <w:tcPr/>
          <w:p>
            <w:pPr>
              <w:pStyle w:val="Compact"/>
              <w:jc w:val="left"/>
            </w:pPr>
            <w:r>
              <w:t xml:space="preserve">Situación</w:t>
            </w:r>
          </w:p>
        </w:tc>
        <w:tc>
          <w:tcPr/>
          <w:p>
            <w:pPr>
              <w:pStyle w:val="Compact"/>
              <w:jc w:val="left"/>
            </w:pPr>
            <w:r>
              <w:t xml:space="preserve">Pruebas</w:t>
            </w:r>
          </w:p>
        </w:tc>
      </w:tr>
      <w:tr>
        <w:tc>
          <w:tcPr/>
          <w:p>
            <w:pPr>
              <w:pStyle w:val="Compact"/>
              <w:jc w:val="left"/>
            </w:pPr>
            <w:r>
              <w:t xml:space="preserve">Escalar la gobernanza entre entidades, unidades empresariales, idiomas y jurisdicciones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Mejorar la supervisión fiable, la recopilación de pruebas y la vinculación de versiones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Completar los procedimientos reglamentarios y de conformidad aplicables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Ampliar la auditoría interna, la revisión temática y las pruebas de eficacia operativa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Realizar simulaciones de respuesta regulatoria, incidente, continuidad y salida del proveedor</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Realizar una evaluación del vencimiento y del riesgo residual sin tratar el vencimiento como 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Aprobar la próxima hoja de ruta, presupuesto, personal, tecnología y plan de mejora continua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Informar sobre la exposición jurídica no resuelta, el retraso en la rehabilitación y el riesgo aceptado para los órganos de gobernanza apropiados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802"/>
    <w:bookmarkStart w:id="1803" w:name="seguimiento-de-la-corriente-de-trabajo"/>
    <w:p>
      <w:pPr>
        <w:pStyle w:val="Heading2"/>
      </w:pPr>
      <w:r>
        <w:rPr>
          <w:rStyle w:val="SectionNumber"/>
        </w:rPr>
        <w:t xml:space="preserve">2.380</w:t>
      </w:r>
      <w:r>
        <w:tab/>
      </w:r>
      <w:r>
        <w:t xml:space="preserve">7. Seguimiento de la corriente de trabajo</w:t>
      </w:r>
    </w:p>
    <w:p>
      <w:pPr>
        <w:pStyle w:val="FirstParagraph"/>
      </w:pPr>
      <w:r>
        <w:t xml:space="preserve">Vía mínima:</w:t>
      </w:r>
    </w:p>
    <w:p>
      <w:pPr>
        <w:numPr>
          <w:ilvl w:val="0"/>
          <w:numId w:val="1652"/>
        </w:numPr>
        <w:pStyle w:val="Compact"/>
      </w:pPr>
      <w:r>
        <w:t xml:space="preserve">gobernanza y rendición de cuentas;</w:t>
      </w:r>
    </w:p>
    <w:p>
      <w:pPr>
        <w:numPr>
          <w:ilvl w:val="0"/>
          <w:numId w:val="1652"/>
        </w:numPr>
        <w:pStyle w:val="Compact"/>
      </w:pPr>
      <w:r>
        <w:t xml:space="preserve">aplicabilidad jurídica, ámbito territorial, funciones de actor y fechas de aplicación;</w:t>
      </w:r>
    </w:p>
    <w:p>
      <w:pPr>
        <w:numPr>
          <w:ilvl w:val="0"/>
          <w:numId w:val="1652"/>
        </w:numPr>
        <w:pStyle w:val="Compact"/>
      </w:pPr>
      <w:r>
        <w:t xml:space="preserve">inventario, finalidad prevista y clasificación;</w:t>
      </w:r>
    </w:p>
    <w:p>
      <w:pPr>
        <w:numPr>
          <w:ilvl w:val="0"/>
          <w:numId w:val="1652"/>
        </w:numPr>
        <w:pStyle w:val="Compact"/>
      </w:pPr>
      <w:r>
        <w:t xml:space="preserve">controles de prácticas prohibidas;</w:t>
      </w:r>
    </w:p>
    <w:p>
      <w:pPr>
        <w:numPr>
          <w:ilvl w:val="0"/>
          <w:numId w:val="1652"/>
        </w:numPr>
        <w:pStyle w:val="Compact"/>
      </w:pPr>
      <w:r>
        <w:t xml:space="preserve">alto riesgo y preparación para el GPAI;</w:t>
      </w:r>
    </w:p>
    <w:p>
      <w:pPr>
        <w:numPr>
          <w:ilvl w:val="0"/>
          <w:numId w:val="1652"/>
        </w:numPr>
        <w:pStyle w:val="Compact"/>
      </w:pPr>
      <w:r>
        <w:t xml:space="preserve">evaluación del riesgo, los derechos fundamentales, la privacidad, la seguridad y la accesibilidad;</w:t>
      </w:r>
    </w:p>
    <w:p>
      <w:pPr>
        <w:numPr>
          <w:ilvl w:val="0"/>
          <w:numId w:val="1652"/>
        </w:numPr>
        <w:pStyle w:val="Compact"/>
      </w:pPr>
      <w:r>
        <w:t xml:space="preserve">gobernanza y linaje de los datos;</w:t>
      </w:r>
    </w:p>
    <w:p>
      <w:pPr>
        <w:numPr>
          <w:ilvl w:val="0"/>
          <w:numId w:val="1652"/>
        </w:numPr>
        <w:pStyle w:val="Compact"/>
      </w:pPr>
      <w:r>
        <w:t xml:space="preserve">documentación técnica, validación, registro, robustez y seguridad cibernética;</w:t>
      </w:r>
    </w:p>
    <w:p>
      <w:pPr>
        <w:numPr>
          <w:ilvl w:val="0"/>
          <w:numId w:val="1652"/>
        </w:numPr>
        <w:pStyle w:val="Compact"/>
      </w:pPr>
      <w:r>
        <w:t xml:space="preserve">la supervisión humana, la transparencia, las quejas y los recursos;</w:t>
      </w:r>
    </w:p>
    <w:p>
      <w:pPr>
        <w:numPr>
          <w:ilvl w:val="0"/>
          <w:numId w:val="1652"/>
        </w:numPr>
        <w:pStyle w:val="Compact"/>
      </w:pPr>
      <w:r>
        <w:t xml:space="preserve">el proveedor, el contrato, la concentración, la continuidad y la gestión de salidas;</w:t>
      </w:r>
    </w:p>
    <w:p>
      <w:pPr>
        <w:numPr>
          <w:ilvl w:val="0"/>
          <w:numId w:val="1652"/>
        </w:numPr>
        <w:pStyle w:val="Compact"/>
      </w:pPr>
      <w:r>
        <w:t xml:space="preserve">el cambio, la liberación, la finalidad prevista y los controles de modificación sustancial;</w:t>
      </w:r>
    </w:p>
    <w:p>
      <w:pPr>
        <w:numPr>
          <w:ilvl w:val="0"/>
          <w:numId w:val="1652"/>
        </w:numPr>
        <w:pStyle w:val="Compact"/>
      </w:pPr>
      <w:r>
        <w:t xml:space="preserve">seguimiento posterior a la comercialización, incidentes, medidas correctoras y respuesta de las autoridades;</w:t>
      </w:r>
    </w:p>
    <w:p>
      <w:pPr>
        <w:numPr>
          <w:ilvl w:val="0"/>
          <w:numId w:val="1652"/>
        </w:numPr>
        <w:pStyle w:val="Compact"/>
      </w:pPr>
      <w:r>
        <w:t xml:space="preserve">conformidad, registro, declaración, marcado y preparación normativa;</w:t>
      </w:r>
    </w:p>
    <w:p>
      <w:pPr>
        <w:numPr>
          <w:ilvl w:val="0"/>
          <w:numId w:val="1652"/>
        </w:numPr>
        <w:pStyle w:val="Compact"/>
      </w:pPr>
    </w:p>
    <w:p>
      <w:pPr>
        <w:numPr>
          <w:ilvl w:val="1"/>
          <w:numId w:val="1653"/>
        </w:numPr>
        <w:pStyle w:val="Compact"/>
      </w:pPr>
      <w:r>
        <w:t xml:space="preserve">Alfabetización y competencia de la IA;</w:t>
      </w:r>
    </w:p>
    <w:p>
      <w:pPr>
        <w:numPr>
          <w:ilvl w:val="0"/>
          <w:numId w:val="1652"/>
        </w:numPr>
        <w:pStyle w:val="Compact"/>
      </w:pPr>
      <w:r>
        <w:t xml:space="preserve">pruebas, retención, retención legal, auditoría, rehabilitación y mejora continua.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Flujo de trabajo</w:t>
            </w:r>
          </w:p>
        </w:tc>
        <w:tc>
          <w:tcPr/>
          <w:p>
            <w:pPr>
              <w:pStyle w:val="Compact"/>
              <w:jc w:val="left"/>
            </w:pPr>
            <w:r>
              <w:t xml:space="preserve">Obligación vinculante/fecha</w:t>
            </w:r>
          </w:p>
        </w:tc>
        <w:tc>
          <w:tcPr/>
          <w:p>
            <w:pPr>
              <w:pStyle w:val="Compact"/>
              <w:jc w:val="left"/>
            </w:pPr>
            <w:r>
              <w:t xml:space="preserve">Hito interno</w:t>
            </w:r>
          </w:p>
        </w:tc>
        <w:tc>
          <w:tcPr/>
          <w:p>
            <w:pPr>
              <w:pStyle w:val="Compact"/>
              <w:jc w:val="left"/>
            </w:pPr>
            <w:r>
              <w:t xml:space="preserve">Propietario</w:t>
            </w:r>
          </w:p>
        </w:tc>
        <w:tc>
          <w:tcPr/>
          <w:p>
            <w:pPr>
              <w:pStyle w:val="Compact"/>
              <w:jc w:val="left"/>
            </w:pPr>
            <w:r>
              <w:t xml:space="preserve">Dependencia</w:t>
            </w:r>
          </w:p>
        </w:tc>
        <w:tc>
          <w:tcPr/>
          <w:p>
            <w:pPr>
              <w:pStyle w:val="Compact"/>
              <w:jc w:val="left"/>
            </w:pPr>
            <w:r>
              <w:t xml:space="preserve">Situación</w:t>
            </w:r>
          </w:p>
        </w:tc>
        <w:tc>
          <w:tcPr/>
          <w:p>
            <w:pPr>
              <w:pStyle w:val="Compact"/>
              <w:jc w:val="left"/>
            </w:pPr>
            <w:r>
              <w:t xml:space="preserve">Pruebas</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803"/>
    <w:bookmarkStart w:id="1804" w:name="hitos-y-dependencias"/>
    <w:p>
      <w:pPr>
        <w:pStyle w:val="Heading2"/>
      </w:pPr>
      <w:r>
        <w:rPr>
          <w:rStyle w:val="SectionNumber"/>
        </w:rPr>
        <w:t xml:space="preserve">2.381</w:t>
      </w:r>
      <w:r>
        <w:tab/>
      </w:r>
      <w:r>
        <w:t xml:space="preserve">8. Hitos y dependencias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Milestone</w:t>
            </w:r>
          </w:p>
        </w:tc>
        <w:tc>
          <w:tcPr/>
          <w:p>
            <w:pPr>
              <w:pStyle w:val="Compact"/>
              <w:jc w:val="left"/>
            </w:pPr>
            <w:r>
              <w:t xml:space="preserve">Dependencia</w:t>
            </w:r>
          </w:p>
        </w:tc>
        <w:tc>
          <w:tcPr/>
          <w:p>
            <w:pPr>
              <w:pStyle w:val="Compact"/>
              <w:jc w:val="left"/>
            </w:pPr>
            <w:r>
              <w:t xml:space="preserve">Plazo</w:t>
            </w:r>
          </w:p>
        </w:tc>
        <w:tc>
          <w:tcPr/>
          <w:p>
            <w:pPr>
              <w:pStyle w:val="Compact"/>
              <w:jc w:val="left"/>
            </w:pPr>
            <w:r>
              <w:t xml:space="preserve">Propietario</w:t>
            </w:r>
          </w:p>
        </w:tc>
        <w:tc>
          <w:tcPr/>
          <w:p>
            <w:pPr>
              <w:pStyle w:val="Compact"/>
              <w:jc w:val="left"/>
            </w:pPr>
            <w:r>
              <w:t xml:space="preserve">Situación</w:t>
            </w:r>
          </w:p>
        </w:tc>
        <w:tc>
          <w:tcPr/>
          <w:p>
            <w:pPr>
              <w:pStyle w:val="Compact"/>
              <w:jc w:val="left"/>
            </w:pPr>
            <w:r>
              <w:t xml:space="preserve">Pruebas</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Las dependencias pueden incluir interpretación jurídica, pruebas de proveedores, conformidad con la legislación sobre productos, capacidad de los organismos notificados, rehabilitación de datos, validación técnica, consulta local, accesibilidad, dotación de personal, adquisiciones, presupuesto y procesos de autoridad.</w:t>
      </w:r>
    </w:p>
    <w:bookmarkEnd w:id="1804"/>
    <w:bookmarkStart w:id="1805" w:name="registro-de-riesgos-y-cuestiones"/>
    <w:p>
      <w:pPr>
        <w:pStyle w:val="Heading2"/>
      </w:pPr>
      <w:r>
        <w:rPr>
          <w:rStyle w:val="SectionNumber"/>
        </w:rPr>
        <w:t xml:space="preserve">2.382</w:t>
      </w:r>
      <w:r>
        <w:tab/>
      </w:r>
      <w:r>
        <w:t xml:space="preserve">9. Registro de riesgos y cuestiones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Riesgo o problema</w:t>
            </w:r>
          </w:p>
        </w:tc>
        <w:tc>
          <w:tcPr/>
          <w:p>
            <w:pPr>
              <w:pStyle w:val="Compact"/>
              <w:jc w:val="left"/>
            </w:pPr>
            <w:r>
              <w:t xml:space="preserve">Impacto jurídico/operativo</w:t>
            </w:r>
          </w:p>
        </w:tc>
        <w:tc>
          <w:tcPr/>
          <w:p>
            <w:pPr>
              <w:pStyle w:val="Compact"/>
              <w:jc w:val="left"/>
            </w:pPr>
            <w:r>
              <w:t xml:space="preserve">Probabilidad</w:t>
            </w:r>
          </w:p>
        </w:tc>
        <w:tc>
          <w:tcPr/>
          <w:p>
            <w:pPr>
              <w:pStyle w:val="Compact"/>
              <w:jc w:val="left"/>
            </w:pPr>
            <w:r>
              <w:t xml:space="preserve">Mitigación o control provisional</w:t>
            </w:r>
          </w:p>
        </w:tc>
        <w:tc>
          <w:tcPr/>
          <w:p>
            <w:pPr>
              <w:pStyle w:val="Compact"/>
              <w:jc w:val="left"/>
            </w:pPr>
            <w:r>
              <w:t xml:space="preserve">Propietario</w:t>
            </w:r>
          </w:p>
        </w:tc>
        <w:tc>
          <w:tcPr/>
          <w:p>
            <w:pPr>
              <w:pStyle w:val="Compact"/>
              <w:jc w:val="left"/>
            </w:pPr>
            <w:r>
              <w:t xml:space="preserve">Fecha de vencimiento</w:t>
            </w:r>
          </w:p>
        </w:tc>
        <w:tc>
          <w:tcPr/>
          <w:p>
            <w:pPr>
              <w:pStyle w:val="Compact"/>
              <w:jc w:val="left"/>
            </w:pPr>
            <w:r>
              <w:t xml:space="preserve">Escalado</w:t>
            </w:r>
          </w:p>
        </w:tc>
        <w:tc>
          <w:tcPr/>
          <w:p>
            <w:pPr>
              <w:pStyle w:val="Compact"/>
              <w:jc w:val="left"/>
            </w:pPr>
            <w:r>
              <w:t xml:space="preserve">Situación</w:t>
            </w:r>
          </w:p>
        </w:tc>
      </w:tr>
      <w:tr>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805"/>
    <w:bookmarkStart w:id="1806" w:name="métricas-del-programa"/>
    <w:p>
      <w:pPr>
        <w:pStyle w:val="Heading2"/>
      </w:pPr>
      <w:r>
        <w:rPr>
          <w:rStyle w:val="SectionNumber"/>
        </w:rPr>
        <w:t xml:space="preserve">2.383</w:t>
      </w:r>
      <w:r>
        <w:tab/>
      </w:r>
      <w:r>
        <w:t xml:space="preserve">10. métricas del programa</w:t>
      </w:r>
    </w:p>
    <w:p>
      <w:pPr>
        <w:pStyle w:val="FirstParagraph"/>
      </w:pPr>
      <w:r>
        <w:t xml:space="preserve">Seguimiento de métricas con fuentes definidas, propietarios, umbrales, fechas de corte y limitaciones, incluyendo:</w:t>
      </w:r>
    </w:p>
    <w:p>
      <w:pPr>
        <w:numPr>
          <w:ilvl w:val="0"/>
          <w:numId w:val="1654"/>
        </w:numPr>
        <w:pStyle w:val="Compact"/>
      </w:pPr>
      <w:r>
        <w:t xml:space="preserve">inventario y cobertura de la propiedad;</w:t>
      </w:r>
    </w:p>
    <w:p>
      <w:pPr>
        <w:numPr>
          <w:ilvl w:val="0"/>
          <w:numId w:val="1654"/>
        </w:numPr>
        <w:pStyle w:val="Compact"/>
      </w:pPr>
      <w:r>
        <w:t xml:space="preserve">terminación de la función del actor y la clasificación;</w:t>
      </w:r>
    </w:p>
    <w:p>
      <w:pPr>
        <w:numPr>
          <w:ilvl w:val="0"/>
          <w:numId w:val="1654"/>
        </w:numPr>
        <w:pStyle w:val="Compact"/>
      </w:pPr>
      <w:r>
        <w:t xml:space="preserve">revisiones de usos prohibidos y usos bloqueados;</w:t>
      </w:r>
    </w:p>
    <w:p>
      <w:pPr>
        <w:numPr>
          <w:ilvl w:val="0"/>
          <w:numId w:val="1654"/>
        </w:numPr>
        <w:pStyle w:val="Compact"/>
      </w:pPr>
      <w:r>
        <w:t xml:space="preserve">sistemas de alto riesgo y GPAI con pruebas actuales;</w:t>
      </w:r>
    </w:p>
    <w:p>
      <w:pPr>
        <w:numPr>
          <w:ilvl w:val="0"/>
          <w:numId w:val="1654"/>
        </w:numPr>
        <w:pStyle w:val="Compact"/>
      </w:pPr>
      <w:r>
        <w:t xml:space="preserve">obligaciones aplicables cumplidas antes de las fechas vinculantes;</w:t>
      </w:r>
    </w:p>
    <w:p>
      <w:pPr>
        <w:numPr>
          <w:ilvl w:val="0"/>
          <w:numId w:val="1654"/>
        </w:numPr>
        <w:pStyle w:val="Compact"/>
      </w:pPr>
      <w:r>
        <w:t xml:space="preserve">el estado de conformidad y registro;</w:t>
      </w:r>
    </w:p>
    <w:p>
      <w:pPr>
        <w:numPr>
          <w:ilvl w:val="0"/>
          <w:numId w:val="1654"/>
        </w:numPr>
        <w:pStyle w:val="Compact"/>
      </w:pPr>
      <w:r>
        <w:t xml:space="preserve">controles atrasados, excepciones y medidas correctivas;</w:t>
      </w:r>
    </w:p>
    <w:p>
      <w:pPr>
        <w:numPr>
          <w:ilvl w:val="0"/>
          <w:numId w:val="1654"/>
        </w:numPr>
        <w:pStyle w:val="Compact"/>
      </w:pPr>
      <w:r>
        <w:t xml:space="preserve">pruebas críticas, incidentes y exposición a la concentración;</w:t>
      </w:r>
    </w:p>
    <w:p>
      <w:pPr>
        <w:numPr>
          <w:ilvl w:val="0"/>
          <w:numId w:val="1654"/>
        </w:numPr>
        <w:pStyle w:val="Compact"/>
      </w:pPr>
    </w:p>
    <w:p>
      <w:pPr>
        <w:numPr>
          <w:ilvl w:val="1"/>
          <w:numId w:val="1655"/>
        </w:numPr>
        <w:pStyle w:val="Compact"/>
      </w:pPr>
      <w:r>
        <w:t xml:space="preserve">Los resultados de la finalización de la alfabetización y la competencia en materia de IA;</w:t>
      </w:r>
    </w:p>
    <w:p>
      <w:pPr>
        <w:numPr>
          <w:ilvl w:val="0"/>
          <w:numId w:val="1654"/>
        </w:numPr>
        <w:pStyle w:val="Compact"/>
      </w:pPr>
      <w:r>
        <w:t xml:space="preserve">quejas, apelaciones, incidentes y resultados de las personas afectadas;</w:t>
      </w:r>
    </w:p>
    <w:p>
      <w:pPr>
        <w:numPr>
          <w:ilvl w:val="0"/>
          <w:numId w:val="1654"/>
        </w:numPr>
        <w:pStyle w:val="Compact"/>
      </w:pPr>
      <w:r>
        <w:t xml:space="preserve">las conclusiones de auditoría, los fallos repetidos y el cierre validado de forma independiente;</w:t>
      </w:r>
    </w:p>
    <w:p>
      <w:pPr>
        <w:numPr>
          <w:ilvl w:val="0"/>
          <w:numId w:val="1654"/>
        </w:numPr>
        <w:pStyle w:val="Compact"/>
      </w:pPr>
      <w:r>
        <w:t xml:space="preserve">indicadores de preparación y madurez claramente etiquetados como medidas internas.</w:t>
      </w:r>
    </w:p>
    <w:bookmarkEnd w:id="1806"/>
    <w:bookmarkStart w:id="1807" w:name="cadencia-de-la-gobernanza"/>
    <w:p>
      <w:pPr>
        <w:pStyle w:val="Heading2"/>
      </w:pPr>
      <w:r>
        <w:rPr>
          <w:rStyle w:val="SectionNumber"/>
        </w:rPr>
        <w:t xml:space="preserve">2.384</w:t>
      </w:r>
      <w:r>
        <w:tab/>
      </w:r>
      <w:r>
        <w:t xml:space="preserve">11. Cadencia de la gobernanza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Foro</w:t>
            </w:r>
          </w:p>
        </w:tc>
        <w:tc>
          <w:tcPr/>
          <w:p>
            <w:pPr>
              <w:pStyle w:val="Compact"/>
              <w:jc w:val="left"/>
            </w:pPr>
            <w:r>
              <w:t xml:space="preserve">Frecuencia</w:t>
            </w:r>
          </w:p>
        </w:tc>
        <w:tc>
          <w:tcPr/>
          <w:p>
            <w:pPr>
              <w:pStyle w:val="Compact"/>
              <w:jc w:val="left"/>
            </w:pPr>
            <w:r>
              <w:t xml:space="preserve">Finalidad</w:t>
            </w:r>
          </w:p>
        </w:tc>
        <w:tc>
          <w:tcPr/>
          <w:p>
            <w:pPr>
              <w:pStyle w:val="Compact"/>
              <w:jc w:val="left"/>
            </w:pPr>
            <w:r>
              <w:t xml:space="preserve">Presentación de informes requerida</w:t>
            </w:r>
          </w:p>
        </w:tc>
        <w:tc>
          <w:tcPr/>
          <w:p>
            <w:pPr>
              <w:pStyle w:val="Compact"/>
              <w:jc w:val="left"/>
            </w:pPr>
            <w:r>
              <w:t xml:space="preserve">Autoridad decisoria</w:t>
            </w:r>
          </w:p>
        </w:tc>
      </w:tr>
      <w:tr>
        <w:tc>
          <w:tcPr/>
          <w:p>
            <w:pPr>
              <w:pStyle w:val="Compact"/>
              <w:jc w:val="left"/>
            </w:pPr>
            <w:r>
              <w:t xml:space="preserve">Grupo de trabajo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Gobernanza de la IA o comité de riesgos</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Comité ejecutivo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Junta o comité de la junta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Foro de riesgo, auditoría, legal o de conformidad</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bookmarkEnd w:id="1807"/>
    <w:bookmarkStart w:id="1808" w:name="regla-de-conclusión"/>
    <w:p>
      <w:pPr>
        <w:pStyle w:val="Heading2"/>
      </w:pPr>
      <w:r>
        <w:rPr>
          <w:rStyle w:val="SectionNumber"/>
        </w:rPr>
        <w:t xml:space="preserve">2.385</w:t>
      </w:r>
      <w:r>
        <w:tab/>
      </w:r>
      <w:r>
        <w:t xml:space="preserve">12. Regla de conclusión</w:t>
      </w:r>
    </w:p>
    <w:p>
      <w:pPr>
        <w:pStyle w:val="FirstParagraph"/>
      </w:pPr>
      <w:r>
        <w:t xml:space="preserve">La finalización del programa requiere:</w:t>
      </w:r>
    </w:p>
    <w:p>
      <w:pPr>
        <w:numPr>
          <w:ilvl w:val="0"/>
          <w:numId w:val="1656"/>
        </w:numPr>
        <w:pStyle w:val="Compact"/>
      </w:pPr>
      <w:r>
        <w:t xml:space="preserve">el mapeo jurídico y de la fecha de aplicación;</w:t>
      </w:r>
    </w:p>
    <w:p>
      <w:pPr>
        <w:numPr>
          <w:ilvl w:val="0"/>
          <w:numId w:val="1656"/>
        </w:numPr>
        <w:pStyle w:val="Compact"/>
      </w:pPr>
      <w:r>
        <w:t xml:space="preserve">las decisiones defendibles sobre el papel de los actores y la clasificación;</w:t>
      </w:r>
    </w:p>
    <w:p>
      <w:pPr>
        <w:numPr>
          <w:ilvl w:val="0"/>
          <w:numId w:val="1656"/>
        </w:numPr>
        <w:pStyle w:val="Compact"/>
      </w:pPr>
      <w:r>
        <w:t xml:space="preserve">la responsabilidad de la propiedad y los recursos financiados;</w:t>
      </w:r>
    </w:p>
    <w:p>
      <w:pPr>
        <w:numPr>
          <w:ilvl w:val="0"/>
          <w:numId w:val="1656"/>
        </w:numPr>
        <w:pStyle w:val="Compact"/>
      </w:pPr>
      <w:r>
        <w:t xml:space="preserve">controles aplicados y operativos;</w:t>
      </w:r>
    </w:p>
    <w:p>
      <w:pPr>
        <w:numPr>
          <w:ilvl w:val="0"/>
          <w:numId w:val="1656"/>
        </w:numPr>
        <w:pStyle w:val="Compact"/>
      </w:pPr>
      <w:r>
        <w:t xml:space="preserve">pruebas actuales, vinculadas a versiones y recuperables;</w:t>
      </w:r>
    </w:p>
    <w:p>
      <w:pPr>
        <w:numPr>
          <w:ilvl w:val="0"/>
          <w:numId w:val="1656"/>
        </w:numPr>
        <w:pStyle w:val="Compact"/>
      </w:pPr>
      <w:r>
        <w:t xml:space="preserve">los procesos probados de supervisión humana, escalada, retroceso, incidentes y respuesta normativa;</w:t>
      </w:r>
    </w:p>
    <w:p>
      <w:pPr>
        <w:numPr>
          <w:ilvl w:val="0"/>
          <w:numId w:val="1656"/>
        </w:numPr>
        <w:pStyle w:val="Compact"/>
      </w:pPr>
      <w:r>
        <w:t xml:space="preserve">los procesos reglamentarios de conformidad y autoridad completados, cuando proceda;</w:t>
      </w:r>
    </w:p>
    <w:p>
      <w:pPr>
        <w:numPr>
          <w:ilvl w:val="0"/>
          <w:numId w:val="1656"/>
        </w:numPr>
        <w:pStyle w:val="Compact"/>
      </w:pPr>
      <w:r>
        <w:t xml:space="preserve">la rehabilitación validada y el seguimiento sostenible;</w:t>
      </w:r>
    </w:p>
    <w:p>
      <w:pPr>
        <w:numPr>
          <w:ilvl w:val="0"/>
          <w:numId w:val="1656"/>
        </w:numPr>
        <w:pStyle w:val="Compact"/>
      </w:pPr>
      <w:r>
        <w:t xml:space="preserve">un plan de mejora continua financiado.</w:t>
      </w:r>
    </w:p>
    <w:p>
      <w:pPr>
        <w:pStyle w:val="FirstParagraph"/>
      </w:pPr>
      <w:r>
        <w:t xml:space="preserve">Los documentos, las listas de verificación, las aprobaciones internas, las revisiones de preparación o los puntajes de madurez por sí solos no establecen el cumplimiento legal.</w:t>
      </w:r>
    </w:p>
    <w:bookmarkEnd w:id="1808"/>
    <w:bookmarkStart w:id="1809" w:name="homologación-22"/>
    <w:p>
      <w:pPr>
        <w:pStyle w:val="Heading2"/>
      </w:pPr>
      <w:r>
        <w:rPr>
          <w:rStyle w:val="SectionNumber"/>
        </w:rPr>
        <w:t xml:space="preserve">2.386</w:t>
      </w:r>
      <w:r>
        <w:tab/>
      </w:r>
      <w:r>
        <w:t xml:space="preserve">Homologación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Nombre</w:t>
            </w:r>
          </w:p>
        </w:tc>
        <w:tc>
          <w:tcPr/>
          <w:p>
            <w:pPr>
              <w:pStyle w:val="Compact"/>
              <w:jc w:val="left"/>
            </w:pPr>
            <w:r>
              <w:t xml:space="preserve">Decisión</w:t>
            </w:r>
          </w:p>
        </w:tc>
        <w:tc>
          <w:tcPr/>
          <w:p>
            <w:pPr>
              <w:pStyle w:val="Compact"/>
              <w:jc w:val="left"/>
            </w:pPr>
            <w:r>
              <w:t xml:space="preserve">Fecha</w:t>
            </w:r>
          </w:p>
        </w:tc>
      </w:tr>
      <w:tr>
        <w:tc>
          <w:tcPr/>
          <w:p>
            <w:pPr>
              <w:pStyle w:val="Compact"/>
              <w:jc w:val="left"/>
            </w:pPr>
            <w:r>
              <w:t xml:space="preserve">Patrocinador ejecutivo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Propietario del programa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Legal/cumplimiento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Liderazgo técnico/productivo</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r>
        <w:tc>
          <w:tcPr/>
          <w:p>
            <w:pPr>
              <w:pStyle w:val="Compact"/>
              <w:jc w:val="left"/>
            </w:pPr>
            <w:r>
              <w:t xml:space="preserve">Riesgo/auditoría/conformidad, según proceda</w:t>
            </w:r>
          </w:p>
        </w:tc>
        <w:tc>
          <w:tcPr/>
          <w:p>
            <w:pPr>
              <w:pStyle w:val="Compact"/>
              <w:jc w:val="left"/>
            </w:pPr>
            <w:r>
              <w:t xml:space="preserve">- No, no.</w:t>
            </w:r>
          </w:p>
        </w:tc>
        <w:tc>
          <w:tcPr/>
          <w:p>
            <w:pPr>
              <w:pStyle w:val="Compact"/>
              <w:jc w:val="left"/>
            </w:pPr>
            <w:r>
              <w:t xml:space="preserve">- No, no.</w:t>
            </w:r>
          </w:p>
        </w:tc>
        <w:tc>
          <w:tcPr/>
          <w:p>
            <w:pPr>
              <w:pStyle w:val="Compact"/>
              <w:jc w:val="left"/>
            </w:pPr>
            <w:r>
              <w:t xml:space="preserve">- No, no.</w:t>
            </w:r>
          </w:p>
        </w:tc>
      </w:tr>
    </w:tbl>
    <w:p>
      <w:pPr>
        <w:pStyle w:val="BodyText"/>
      </w:pPr>
      <w:r>
        <w:t xml:space="preserve">** Referencias de pruebas:</w:t>
      </w:r>
      <w:r>
        <w:rPr>
          <w:bCs/>
          <w:b/>
        </w:rPr>
        <w:t xml:space="preserve"> </w:t>
      </w:r>
      <w:r>
        <w:t xml:space="preserve"> </w:t>
      </w:r>
      <w:r>
        <w:t xml:space="preserve">Dependencias jurídicas, técnicas, de proveedores o de conformidad no resueltas:</w:t>
      </w:r>
      <w:r>
        <w:rPr>
          <w:bCs/>
          <w:b/>
        </w:rPr>
        <w:t xml:space="preserve"> </w:t>
      </w:r>
      <w:r>
        <w:t xml:space="preserve"> </w:t>
      </w:r>
      <w:r>
        <w:t xml:space="preserve">Desviaciones aprobadas y controles provisionales:</w:t>
      </w:r>
      <w:r>
        <w:rPr>
          <w:bCs/>
          <w:b/>
        </w:rPr>
        <w:t xml:space="preserve"> </w:t>
      </w:r>
      <w:r>
        <w:t xml:space="preserve">Próxima fecha o fecha de la revisión:**</w:t>
      </w:r>
    </w:p>
    <w:bookmarkEnd w:id="1809"/>
    <w:bookmarkEnd w:id="18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21">
    <w:nsid w:val="A9952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1"/>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1"/>
  </w:num>
  <w:num w:numId="1442">
    <w:abstractNumId w:val="991"/>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1"/>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1"/>
  </w:num>
  <w:num w:numId="1655">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Cumplimiento GRC de la Ley de Inteligencia Artificial de la UE</dc:title>
  <dc:creator>Al Leiva, con apoyo de redacción y revisión asistida por IA</dc:creator>
  <dc:language>es-419</dc:language>
  <cp:keywords/>
  <dcterms:created xsi:type="dcterms:W3CDTF">2026-07-30T21:53:34Z</dcterms:created>
  <dcterms:modified xsi:type="dcterms:W3CDTF">2026-07-30T21:53:34Z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de julio de 2026</vt:lpwstr>
  </property>
  <property fmtid="{D5CDD505-2E9C-101B-9397-08002B2CF9AE}" pid="3" name="numbersections">
    <vt:lpwstr>True</vt:lpwstr>
  </property>
  <property fmtid="{D5CDD505-2E9C-101B-9397-08002B2CF9AE}" pid="4" name="subtitle">
    <vt:lpwstr>Guía práctica de gobernanza, riesgos, cumplimiento, controles, evidencia, auditoría e implementación</vt:lpwstr>
  </property>
  <property fmtid="{D5CDD505-2E9C-101B-9397-08002B2CF9AE}" pid="5" name="toc">
    <vt:lpwstr>True</vt:lpwstr>
  </property>
  <property fmtid="{D5CDD505-2E9C-101B-9397-08002B2CF9AE}" pid="6" name="toc-depth">
    <vt:lpwstr>3</vt:lpwstr>
  </property>
  <property fmtid="{D5CDD505-2E9C-101B-9397-08002B2CF9AE}" pid="7" name="toc-title">
    <vt:lpwstr>Tabla de contenido</vt:lpwstr>
  </property>
</Properties>
</file>