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43.png" ContentType="image/png"/>
  <Override PartName="/word/media/rId34.png" ContentType="image/png"/>
  <Override PartName="/word/media/rId41.png" ContentType="image/png"/>
  <Override PartName="/word/media/rId45.png" ContentType="image/png"/>
  <Override PartName="/word/media/rId64.png" ContentType="image/png"/>
  <Override PartName="/word/media/rId70.png" ContentType="image/png"/>
  <Override PartName="/word/media/rId77.png" ContentType="image/png"/>
  <Override PartName="/word/media/rId81.png" ContentType="image/png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Cs/>
          <w:b/>
        </w:rPr>
        <w:t xml:space="preserve">Status da revisão:</w:t>
      </w:r>
      <w:r>
        <w:t xml:space="preserve"> </w:t>
      </w:r>
      <w:r>
        <w:t xml:space="preserve">Rascunho de tradução assistida por máquina. Requer revisão humana de terminologia, significado, links, formatação e atualidade técnica antes de ser marcado como edição final.</w:t>
      </w:r>
    </w:p>
    <w:p>
      <w:pPr>
        <w:pStyle w:val="FirstParagraph"/>
      </w:pPr>
      <w:r>
        <w:t xml:space="preserve">**GESTÃO DE RISCOS DE TERCEIROS</w:t>
      </w:r>
    </w:p>
    <w:p>
      <w:pPr>
        <w:pStyle w:val="BodyText"/>
      </w:pPr>
      <w:r>
        <w:t xml:space="preserve">** E SEGURANÇA DA CHAIN DA CYBER</w:t>
      </w:r>
    </w:p>
    <w:p>
      <w:pPr>
        <w:pStyle w:val="BodyText"/>
      </w:pPr>
      <w:r>
        <w:t xml:space="preserve">Prático Gerente e Manual de Analista Júnior</w:t>
      </w:r>
    </w:p>
    <w:bookmarkStart w:id="20" w:name="X137593aa26f3e73a43fc54221802674f9277cf0"/>
    <w:p>
      <w:pPr>
        <w:pStyle w:val="Heading2"/>
      </w:pPr>
      <w:r>
        <w:t xml:space="preserve">O que este manual faz: Explica como identificar, avaliar, contratar, monitorar, responder e sair com segurança dos fornecedores. Ele combina governança, testes práticos, orientação NIST atual, ferramentas de código aberto, modelos reutilizáveis e preparação de carreira. □</w:t>
      </w:r>
    </w:p>
    <w:p>
      <w:pPr>
        <w:pStyle w:val="FirstParagraph"/>
      </w:pPr>
      <w:r>
        <w:t xml:space="preserve">** Alberto (Al) Leiva**</w:t>
      </w:r>
    </w:p>
    <w:p>
      <w:pPr>
        <w:pStyle w:val="BodyText"/>
      </w:pPr>
      <w:r>
        <w:t xml:space="preserve">Primeira edição • Julho de 2026</w:t>
      </w:r>
    </w:p>
    <w:p>
      <w:pPr>
        <w:pStyle w:val="BodyText"/>
      </w:pPr>
      <w:r>
        <w:t xml:space="preserve">Prefácio</w:t>
      </w:r>
    </w:p>
    <w:p>
      <w:pPr>
        <w:pStyle w:val="BodyText"/>
      </w:pPr>
      <w:r>
        <w:t xml:space="preserve">As organizações dependem de plataformas de nuvem, software, processadores de pagamento, consultores, provedores de dados, serviços gerenciados, inteligência artificial e muitos outros forasteiros. A organização pode terceirizar o trabalho, mas não terceirizar o impacto do negócio. Uma falha do fornecedor pode expor dados, interromper operações, enfraquecer produtos ou criar obrigações legais e de clientes.</w:t>
      </w:r>
    </w:p>
    <w:p>
      <w:pPr>
        <w:pStyle w:val="BodyText"/>
      </w:pPr>
      <w:r>
        <w:t xml:space="preserve">Este manual ensina um método de ciclo de vida repetitivo. Não é uma opinião legal, uma garantia, ou um programa de certificação universal. Os requisitos variam de acordo com contrato, lei, regulador, setor, cliente, sistema e país. Use profissionais qualificados de direito, privacidade, compras, segurança e auditoria quando as decisões as exigem.</w:t>
      </w:r>
    </w:p>
    <w:bookmarkEnd w:id="20"/>
    <w:bookmarkStart w:id="21" w:name="X1e0ec8bad2eb1fecef3825a80ed0a65aaa334ae"/>
    <w:p>
      <w:pPr>
        <w:pStyle w:val="Heading2"/>
      </w:pPr>
      <w:r>
        <w:t xml:space="preserve">Nota de informação actual:** O manual reflete o material oficial verificado em 14 de julho de 2026, incluindo NIST SP 1326 (final de julho 8, 2026), NIST SP 800-18 Rev. 2 (final de junho 30, 2026), NIST SP 800-161 Rev. 1 Atualização 1, NIST SP 1305 e NIST CSF 2.0.</w:t>
      </w:r>
    </w:p>
    <w:bookmarkEnd w:id="21"/>
    <w:bookmarkStart w:id="22" w:name="como-usar-este-manual"/>
    <w:p>
      <w:pPr>
        <w:pStyle w:val="Heading2"/>
      </w:pPr>
      <w:r>
        <w:t xml:space="preserve">Como usar este manual</w:t>
      </w:r>
    </w:p>
    <w:p>
      <w:pPr>
        <w:numPr>
          <w:ilvl w:val="0"/>
          <w:numId w:val="1001"/>
        </w:numPr>
      </w:pPr>
      <w:r>
        <w:t xml:space="preserve">Gerentes: comece com Capítulos 2–4, 8–13, 19 e 25.</w:t>
      </w:r>
    </w:p>
    <w:p>
      <w:pPr>
        <w:numPr>
          <w:ilvl w:val="0"/>
          <w:numId w:val="1001"/>
        </w:numPr>
      </w:pPr>
      <w:r>
        <w:t xml:space="preserve">Analistas júnior: estudem em ordem, depois completem os capítulos 26–29 e o laboratório fictício.</w:t>
      </w:r>
    </w:p>
    <w:p>
      <w:pPr>
        <w:numPr>
          <w:ilvl w:val="0"/>
          <w:numId w:val="1001"/>
        </w:numPr>
      </w:pPr>
      <w:r>
        <w:t xml:space="preserve">Equipes legais e de aquisição: foco na ingestão, diligência devida, contratos, onboarding, monitoramento, incidentes e saída.</w:t>
      </w:r>
    </w:p>
    <w:p>
      <w:pPr>
        <w:numPr>
          <w:ilvl w:val="0"/>
          <w:numId w:val="1001"/>
        </w:numPr>
      </w:pPr>
      <w:r>
        <w:t xml:space="preserve">Equipes técnicas: foco na nuvem, cadeia de suprimentos de software, IA, ferramentas de código aberto, testes de evidências e coordenação de incidentes.</w:t>
      </w:r>
    </w:p>
    <w:p>
      <w:pPr>
        <w:numPr>
          <w:ilvl w:val="0"/>
          <w:numId w:val="1001"/>
        </w:numPr>
      </w:pPr>
      <w:r>
        <w:t xml:space="preserve">Use os modelos como pontos de partida; critérios e aprovações personalizados para sua organização.</w:t>
      </w:r>
    </w:p>
    <w:p>
      <w:pPr>
        <w:pStyle w:val="FirstParagraph"/>
      </w:pPr>
      <w:r>
        <w:t xml:space="preserve">Sumário</w:t>
      </w:r>
    </w:p>
    <w:p>
      <w:pPr>
        <w:pStyle w:val="BodyText"/>
      </w:pPr>
      <w:r>
        <w:t xml:space="preserve">Este é um índice nativo do Word. No Microsoft Word, clique dentro dele, escolha Atualizar Tabela e selecione Atualizar tabela inteira. Word irá reconstruir as entradas e números de página após a edição.</w:t>
      </w:r>
    </w:p>
    <w:p>
      <w:pPr>
        <w:pStyle w:val="BodyText"/>
      </w:pPr>
      <w:hyperlink w:anchor="preface">
        <w:r>
          <w:rPr>
            <w:rStyle w:val="Hyperlink"/>
          </w:rPr>
          <w:t xml:space="preserve">Prefácio [2](#preface)</w:t>
        </w:r>
      </w:hyperlink>
    </w:p>
    <w:p>
      <w:pPr>
        <w:pStyle w:val="BodyText"/>
      </w:pPr>
      <w:hyperlink w:anchor="how-to-use-this-manual">
        <w:r>
          <w:rPr>
            <w:rStyle w:val="Hyperlink"/>
          </w:rPr>
          <w:t xml:space="preserve">Como usar este manual [2](#how-to-use-this-manual)</w:t>
        </w:r>
      </w:hyperlink>
    </w:p>
    <w:p>
      <w:pPr>
        <w:pStyle w:val="BodyText"/>
      </w:pPr>
      <w:hyperlink w:anchor="table-of-contents">
        <w:r>
          <w:rPr>
            <w:rStyle w:val="Hyperlink"/>
          </w:rPr>
          <w:t xml:space="preserve">Quadro de conteúdos [3](#table-of-contents)</w:t>
        </w:r>
      </w:hyperlink>
    </w:p>
    <w:p>
      <w:pPr>
        <w:pStyle w:val="BodyText"/>
      </w:pPr>
      <w:hyperlink w:anchor="chapter-guide">
        <w:r>
          <w:rPr>
            <w:rStyle w:val="Hyperlink"/>
          </w:rPr>
          <w:t xml:space="preserve">Guia do Capítulo [6](#chapter-guide)</w:t>
        </w:r>
      </w:hyperlink>
    </w:p>
    <w:p>
      <w:pPr>
        <w:pStyle w:val="BodyText"/>
      </w:pPr>
      <w:hyperlink w:anchor="tprm-and-cyber-supply-chain-foundations">
        <w:r>
          <w:rPr>
            <w:rStyle w:val="Hyperlink"/>
          </w:rPr>
          <w:t xml:space="preserve">1 (#tprm-and-cyber-supply-chain-foundations)</w:t>
        </w:r>
      </w:hyperlink>
    </w:p>
    <w:p>
      <w:pPr>
        <w:pStyle w:val="BodyText"/>
      </w:pPr>
      <w:hyperlink w:anchor="what-good-tprm-produces">
        <w:r>
          <w:rPr>
            <w:rStyle w:val="Hyperlink"/>
          </w:rPr>
          <w:t xml:space="preserve">1.1 Que bom TPRM produz [7](#what-good-tprm-produces)</w:t>
        </w:r>
      </w:hyperlink>
    </w:p>
    <w:p>
      <w:pPr>
        <w:pStyle w:val="BodyText"/>
      </w:pPr>
      <w:hyperlink w:anchor="important-limits">
        <w:r>
          <w:rPr>
            <w:rStyle w:val="Hyperlink"/>
          </w:rPr>
          <w:t xml:space="preserve">1.2 Limites importantes [7](#important-limits)</w:t>
        </w:r>
      </w:hyperlink>
    </w:p>
    <w:p>
      <w:pPr>
        <w:pStyle w:val="BodyText"/>
      </w:pPr>
      <w:hyperlink w:anchor="the-third-party-life-cycle">
        <w:r>
          <w:rPr>
            <w:rStyle w:val="Hyperlink"/>
          </w:rPr>
          <w:t xml:space="preserve">2. O ciclo de vida de terceiros [8](#the-third-party-life-cycle)</w:t>
        </w:r>
      </w:hyperlink>
    </w:p>
    <w:p>
      <w:pPr>
        <w:pStyle w:val="BodyText"/>
      </w:pPr>
      <w:hyperlink w:anchor="governance-strategy-and-risk-appetite">
        <w:r>
          <w:rPr>
            <w:rStyle w:val="Hyperlink"/>
          </w:rPr>
          <w:t xml:space="preserve">3. Governança, Estratégia e Apetito de Risco [9](#governance-strategy-and-risk-appetite)</w:t>
        </w:r>
      </w:hyperlink>
    </w:p>
    <w:p>
      <w:pPr>
        <w:pStyle w:val="BodyText"/>
      </w:pPr>
      <w:hyperlink w:anchor="program-documents">
        <w:r>
          <w:rPr>
            <w:rStyle w:val="Hyperlink"/>
          </w:rPr>
          <w:t xml:space="preserve">3.1 Documentos do programa [9](#program-documents)</w:t>
        </w:r>
      </w:hyperlink>
    </w:p>
    <w:p>
      <w:pPr>
        <w:pStyle w:val="BodyText"/>
      </w:pPr>
      <w:hyperlink w:anchor="inventory-classification-and-tiering">
        <w:r>
          <w:rPr>
            <w:rStyle w:val="Hyperlink"/>
          </w:rPr>
          <w:t xml:space="preserve">4. Inventário, classificação e nivelamento [10](#inventory-classification-and-tiering)</w:t>
        </w:r>
      </w:hyperlink>
    </w:p>
    <w:p>
      <w:pPr>
        <w:pStyle w:val="BodyText"/>
      </w:pPr>
      <w:hyperlink w:anchor="inventory-fields">
        <w:r>
          <w:rPr>
            <w:rStyle w:val="Hyperlink"/>
          </w:rPr>
          <w:t xml:space="preserve">4.1 Campos de inventário [10](#inventory-fields)</w:t>
        </w:r>
      </w:hyperlink>
    </w:p>
    <w:p>
      <w:pPr>
        <w:pStyle w:val="BodyText"/>
      </w:pPr>
      <w:hyperlink w:anchor="tiering-factors">
        <w:r>
          <w:rPr>
            <w:rStyle w:val="Hyperlink"/>
          </w:rPr>
          <w:t xml:space="preserve">4.2 Factores de nivelamento [10](#tiering-factors)</w:t>
        </w:r>
      </w:hyperlink>
    </w:p>
    <w:p>
      <w:pPr>
        <w:pStyle w:val="BodyText"/>
      </w:pPr>
      <w:hyperlink w:anchor="intake-and-inherent-risk">
        <w:r>
          <w:rPr>
            <w:rStyle w:val="Hyperlink"/>
          </w:rPr>
          <w:t xml:space="preserve">5. Risco de admissão e de inércia [11](#intake-and-inherent-risk)</w:t>
        </w:r>
      </w:hyperlink>
    </w:p>
    <w:p>
      <w:pPr>
        <w:pStyle w:val="BodyText"/>
      </w:pPr>
      <w:hyperlink w:anchor="due-diligence-and-research">
        <w:r>
          <w:rPr>
            <w:rStyle w:val="Hyperlink"/>
          </w:rPr>
          <w:t xml:space="preserve">6. Due Diligence and Research [12](#due-diligence-and-research)</w:t>
        </w:r>
      </w:hyperlink>
    </w:p>
    <w:p>
      <w:pPr>
        <w:pStyle w:val="BodyText"/>
      </w:pPr>
      <w:hyperlink w:anchor="nist-sp-1326-assessment-components">
        <w:r>
          <w:rPr>
            <w:rStyle w:val="Hyperlink"/>
          </w:rPr>
          <w:t xml:space="preserve">6,1 NIST SP 1326 componentes de avaliação [12](#nist-sp-1326-assessment-components)</w:t>
        </w:r>
      </w:hyperlink>
    </w:p>
    <w:p>
      <w:pPr>
        <w:pStyle w:val="BodyText"/>
      </w:pPr>
      <w:hyperlink w:anchor="research-sources">
        <w:r>
          <w:rPr>
            <w:rStyle w:val="Hyperlink"/>
          </w:rPr>
          <w:t xml:space="preserve">6.2 Fontes de investigação [12](#research-sources)</w:t>
        </w:r>
      </w:hyperlink>
    </w:p>
    <w:p>
      <w:pPr>
        <w:pStyle w:val="BodyText"/>
      </w:pPr>
      <w:hyperlink w:anchor="evidence-review-and-trust">
        <w:r>
          <w:rPr>
            <w:rStyle w:val="Hyperlink"/>
          </w:rPr>
          <w:t xml:space="preserve">7. Revisão de provas e confiança [14](#evidence-review-and-trust)</w:t>
        </w:r>
      </w:hyperlink>
    </w:p>
    <w:p>
      <w:pPr>
        <w:pStyle w:val="BodyText"/>
      </w:pPr>
      <w:hyperlink w:anchor="risk-scoring-and-treatment">
        <w:r>
          <w:rPr>
            <w:rStyle w:val="Hyperlink"/>
          </w:rPr>
          <w:t xml:space="preserve">8. Pontuação de risco e tratamento [15](#risk-scoring-and-treatment)</w:t>
        </w:r>
      </w:hyperlink>
    </w:p>
    <w:p>
      <w:pPr>
        <w:pStyle w:val="BodyText"/>
      </w:pPr>
      <w:hyperlink w:anchor="a-defensible-method">
        <w:r>
          <w:rPr>
            <w:rStyle w:val="Hyperlink"/>
          </w:rPr>
          <w:t xml:space="preserve">8,1 Um método defensável [15](#a-defensible-method)</w:t>
        </w:r>
      </w:hyperlink>
    </w:p>
    <w:p>
      <w:pPr>
        <w:pStyle w:val="BodyText"/>
      </w:pPr>
      <w:hyperlink w:anchor="contract-requirements">
        <w:r>
          <w:rPr>
            <w:rStyle w:val="Hyperlink"/>
          </w:rPr>
          <w:t xml:space="preserve">9. Requisitos contratuais [16](#contract-requirements)</w:t>
        </w:r>
      </w:hyperlink>
    </w:p>
    <w:p>
      <w:pPr>
        <w:pStyle w:val="BodyText"/>
      </w:pPr>
      <w:r>
        <w:t xml:space="preserve">[10]</w:t>
      </w:r>
      <w:r>
        <w:t xml:space="preserve"> </w:t>
      </w:r>
      <w:hyperlink w:anchor="secure-onboarding">
        <w:r>
          <w:rPr>
            <w:rStyle w:val="Hyperlink"/>
          </w:rPr>
          <w:t xml:space="preserve">17</w:t>
        </w:r>
      </w:hyperlink>
      <w:r>
        <w:t xml:space="preserve">](#secure-onboarding)</w:t>
      </w:r>
    </w:p>
    <w:p>
      <w:pPr>
        <w:pStyle w:val="BodyText"/>
      </w:pPr>
      <w:hyperlink w:anchor="acceptance-evidence">
        <w:r>
          <w:rPr>
            <w:rStyle w:val="Hyperlink"/>
          </w:rPr>
          <w:t xml:space="preserve">10.1 Provas de aceitação [17](#acceptance-evidence)</w:t>
        </w:r>
      </w:hyperlink>
    </w:p>
    <w:p>
      <w:pPr>
        <w:pStyle w:val="BodyText"/>
      </w:pPr>
      <w:hyperlink w:anchor="continuous-monitoring">
        <w:r>
          <w:rPr>
            <w:rStyle w:val="Hyperlink"/>
          </w:rPr>
          <w:t xml:space="preserve">11. Monitorização contínua [18](#continuous-monitoring)</w:t>
        </w:r>
      </w:hyperlink>
    </w:p>
    <w:p>
      <w:pPr>
        <w:pStyle w:val="BodyText"/>
      </w:pPr>
      <w:hyperlink w:anchor="frequency">
        <w:r>
          <w:rPr>
            <w:rStyle w:val="Hyperlink"/>
          </w:rPr>
          <w:t xml:space="preserve">11.1 Frequência [18](#frequency)</w:t>
        </w:r>
      </w:hyperlink>
    </w:p>
    <w:p>
      <w:pPr>
        <w:pStyle w:val="BodyText"/>
      </w:pPr>
      <w:hyperlink w:anchor="findings-remediation-and-exceptions">
        <w:r>
          <w:rPr>
            <w:rStyle w:val="Hyperlink"/>
          </w:rPr>
          <w:t xml:space="preserve">12. Resultados, reparação e exceções [19](#findings-remediation-and-exceptions)</w:t>
        </w:r>
      </w:hyperlink>
    </w:p>
    <w:p>
      <w:pPr>
        <w:pStyle w:val="BodyText"/>
      </w:pPr>
      <w:hyperlink w:anchor="exception-discipline">
        <w:r>
          <w:rPr>
            <w:rStyle w:val="Hyperlink"/>
          </w:rPr>
          <w:t xml:space="preserve">12.1 Disciplina de exceção [19](#exception-discipline)</w:t>
        </w:r>
      </w:hyperlink>
    </w:p>
    <w:p>
      <w:pPr>
        <w:pStyle w:val="BodyText"/>
      </w:pPr>
      <w:hyperlink w:anchor="supplier-incidents-and-notification">
        <w:r>
          <w:rPr>
            <w:rStyle w:val="Hyperlink"/>
          </w:rPr>
          <w:t xml:space="preserve">13. Incidentes do fornecedor e notificação [20](#supplier-incidents-and-notification)</w:t>
        </w:r>
      </w:hyperlink>
    </w:p>
    <w:p>
      <w:pPr>
        <w:pStyle w:val="BodyText"/>
      </w:pPr>
      <w:hyperlink w:anchor="prepare-before-an-incident">
        <w:r>
          <w:rPr>
            <w:rStyle w:val="Hyperlink"/>
          </w:rPr>
          <w:t xml:space="preserve">13.1 Preparar antes de um incidente [20](#prepare-before-an-incident)</w:t>
        </w:r>
      </w:hyperlink>
    </w:p>
    <w:p>
      <w:pPr>
        <w:pStyle w:val="BodyText"/>
      </w:pPr>
      <w:hyperlink w:anchor="Xaec7dbde7cdf8e48206fdcb4509fc88450a1615">
        <w:r>
          <w:rPr>
            <w:rStyle w:val="Hyperlink"/>
          </w:rPr>
          <w:t xml:space="preserve">14. Quartas Partes, Concentração e Risco Sistémico [21](#fourth-parties-concentration-and-systemic-risk)</w:t>
        </w:r>
      </w:hyperlink>
    </w:p>
    <w:p>
      <w:pPr>
        <w:pStyle w:val="BodyText"/>
      </w:pPr>
      <w:hyperlink w:anchor="what-to-map">
        <w:r>
          <w:rPr>
            <w:rStyle w:val="Hyperlink"/>
          </w:rPr>
          <w:t xml:space="preserve">14.1 O que mapear [21](#what-to-map)</w:t>
        </w:r>
      </w:hyperlink>
    </w:p>
    <w:p>
      <w:pPr>
        <w:pStyle w:val="BodyText"/>
      </w:pPr>
      <w:hyperlink w:anchor="treat-concentration">
        <w:r>
          <w:rPr>
            <w:rStyle w:val="Hyperlink"/>
          </w:rPr>
          <w:t xml:space="preserve">14,2 Concentração de tratamento [21](#treat-concentration)</w:t>
        </w:r>
      </w:hyperlink>
    </w:p>
    <w:p>
      <w:pPr>
        <w:pStyle w:val="BodyText"/>
      </w:pPr>
      <w:hyperlink w:anchor="cloud-and-saas-vendors">
        <w:r>
          <w:rPr>
            <w:rStyle w:val="Hyperlink"/>
          </w:rPr>
          <w:t xml:space="preserve">15. Fornecedores de nuvem e SaaS [23](#cloud-and-saas-vendors)</w:t>
        </w:r>
      </w:hyperlink>
    </w:p>
    <w:p>
      <w:pPr>
        <w:pStyle w:val="BodyText"/>
      </w:pPr>
      <w:hyperlink w:anchor="software-and-open-source-supply-chains">
        <w:r>
          <w:rPr>
            <w:rStyle w:val="Hyperlink"/>
          </w:rPr>
          <w:t xml:space="preserve">16. Redes de fornecimento de software e de código aberto [24](#software-and-open-source-supply-chains)</w:t>
        </w:r>
      </w:hyperlink>
    </w:p>
    <w:p>
      <w:pPr>
        <w:pStyle w:val="BodyText"/>
      </w:pPr>
      <w:hyperlink w:anchor="supplier-and-product-checks">
        <w:r>
          <w:rPr>
            <w:rStyle w:val="Hyperlink"/>
          </w:rPr>
          <w:t xml:space="preserve">16.1 Verificação do fornecedor e do produto [24](#supplier-and-product-checks)</w:t>
        </w:r>
      </w:hyperlink>
    </w:p>
    <w:p>
      <w:pPr>
        <w:pStyle w:val="BodyText"/>
      </w:pPr>
      <w:hyperlink w:anchor="sbom-limits">
        <w:r>
          <w:rPr>
            <w:rStyle w:val="Hyperlink"/>
          </w:rPr>
          <w:t xml:space="preserve">16.2 Limites SBOM [24](#sbom-limits)</w:t>
        </w:r>
      </w:hyperlink>
    </w:p>
    <w:p>
      <w:pPr>
        <w:pStyle w:val="BodyText"/>
      </w:pPr>
      <w:hyperlink w:anchor="artificial-intelligence-vendors">
        <w:r>
          <w:rPr>
            <w:rStyle w:val="Hyperlink"/>
          </w:rPr>
          <w:t xml:space="preserve">17. Vendedores de Inteligência Artificial [25](#artificial-intelligence-vendors)</w:t>
        </w:r>
      </w:hyperlink>
    </w:p>
    <w:p>
      <w:pPr>
        <w:pStyle w:val="BodyText"/>
      </w:pPr>
      <w:hyperlink w:anchor="privacy-and-data-protection">
        <w:r>
          <w:rPr>
            <w:rStyle w:val="Hyperlink"/>
          </w:rPr>
          <w:t xml:space="preserve">18. Proteção de privacidade e dados [26](#privacy-and-data-protection)</w:t>
        </w:r>
      </w:hyperlink>
    </w:p>
    <w:p>
      <w:pPr>
        <w:pStyle w:val="BodyText"/>
      </w:pPr>
      <w:hyperlink w:anchor="resilience-continuity-and-exit">
        <w:r>
          <w:rPr>
            <w:rStyle w:val="Hyperlink"/>
          </w:rPr>
          <w:t xml:space="preserve">19. Resiliência, continuidade e saída [27](#resilience-continuity-and-exit)</w:t>
        </w:r>
      </w:hyperlink>
    </w:p>
    <w:p>
      <w:pPr>
        <w:pStyle w:val="BodyText"/>
      </w:pPr>
      <w:hyperlink w:anchor="exit-test">
        <w:r>
          <w:rPr>
            <w:rStyle w:val="Hyperlink"/>
          </w:rPr>
          <w:t xml:space="preserve">19.1 Ensaio de saída [27](#exit-test)</w:t>
        </w:r>
      </w:hyperlink>
    </w:p>
    <w:p>
      <w:pPr>
        <w:pStyle w:val="BodyText"/>
      </w:pPr>
      <w:hyperlink w:anchor="nist-csf-2.0-supplier-outcomes">
        <w:r>
          <w:rPr>
            <w:rStyle w:val="Hyperlink"/>
          </w:rPr>
          <w:t xml:space="preserve">20. NIST CSF 2.0 Resultados do Fornecedor [28](#nist-csf-2.0-supplier-outcomes)</w:t>
        </w:r>
      </w:hyperlink>
    </w:p>
    <w:p>
      <w:pPr>
        <w:pStyle w:val="BodyText"/>
      </w:pPr>
      <w:hyperlink w:anchor="nist-c-scrm-guidance-in-practice">
        <w:r>
          <w:rPr>
            <w:rStyle w:val="Hyperlink"/>
          </w:rPr>
          <w:t xml:space="preserve">21. NIST C-SCRM Orientação na Prática [29](#nist-c-scrm-guidance-in-practice)</w:t>
        </w:r>
      </w:hyperlink>
    </w:p>
    <w:p>
      <w:pPr>
        <w:pStyle w:val="BodyText"/>
      </w:pPr>
      <w:hyperlink w:anchor="three-level-thinking">
        <w:r>
          <w:rPr>
            <w:rStyle w:val="Hyperlink"/>
          </w:rPr>
          <w:t xml:space="preserve">21.1 Pensamento de três níveis [29](#three-level-thinking)</w:t>
        </w:r>
      </w:hyperlink>
    </w:p>
    <w:p>
      <w:pPr>
        <w:pStyle w:val="BodyText"/>
      </w:pPr>
      <w:hyperlink w:anchor="compliance-and-framework-mappings">
        <w:r>
          <w:rPr>
            <w:rStyle w:val="Hyperlink"/>
          </w:rPr>
          <w:t xml:space="preserve">22. Mapeamentos de conformidade e de enquadramento [30](#compliance-and-framework-mappings)</w:t>
        </w:r>
      </w:hyperlink>
    </w:p>
    <w:p>
      <w:pPr>
        <w:pStyle w:val="BodyText"/>
      </w:pPr>
      <w:hyperlink w:anchor="evidence-testing-and-metrics">
        <w:r>
          <w:rPr>
            <w:rStyle w:val="Hyperlink"/>
          </w:rPr>
          <w:t xml:space="preserve">23. Ensaios de provas e métricas [31](#evidence-testing-and-metrics)</w:t>
        </w:r>
      </w:hyperlink>
    </w:p>
    <w:p>
      <w:pPr>
        <w:pStyle w:val="BodyText"/>
      </w:pPr>
      <w:hyperlink w:anchor="test-method">
        <w:r>
          <w:rPr>
            <w:rStyle w:val="Hyperlink"/>
          </w:rPr>
          <w:t xml:space="preserve">23.1 Método de ensaio [31](#test-method)</w:t>
        </w:r>
      </w:hyperlink>
    </w:p>
    <w:p>
      <w:pPr>
        <w:pStyle w:val="BodyText"/>
      </w:pPr>
      <w:hyperlink w:anchor="open-source-tools">
        <w:r>
          <w:rPr>
            <w:rStyle w:val="Hyperlink"/>
          </w:rPr>
          <w:t xml:space="preserve">24. Ferramentas de Código Aberto [33](#open-source-tools)</w:t>
        </w:r>
      </w:hyperlink>
    </w:p>
    <w:p>
      <w:pPr>
        <w:pStyle w:val="BodyText"/>
      </w:pPr>
      <w:hyperlink w:anchor="ciso-assistant">
        <w:r>
          <w:rPr>
            <w:rStyle w:val="Hyperlink"/>
          </w:rPr>
          <w:t xml:space="preserve">24,1 Assistente CISO [33](#ciso-assistant)</w:t>
        </w:r>
      </w:hyperlink>
    </w:p>
    <w:p>
      <w:pPr>
        <w:pStyle w:val="BodyText"/>
      </w:pPr>
      <w:hyperlink w:anchor="dependency-track">
        <w:r>
          <w:rPr>
            <w:rStyle w:val="Hyperlink"/>
          </w:rPr>
          <w:t xml:space="preserve">24,2 Faixa de Dependência [33](#dependency-track)</w:t>
        </w:r>
      </w:hyperlink>
    </w:p>
    <w:p>
      <w:pPr>
        <w:pStyle w:val="BodyText"/>
      </w:pPr>
      <w:hyperlink w:anchor="cyclonedx">
        <w:r>
          <w:rPr>
            <w:rStyle w:val="Hyperlink"/>
          </w:rPr>
          <w:t xml:space="preserve">24.3 CycloneDX [34](#cyclonedx)</w:t>
        </w:r>
      </w:hyperlink>
    </w:p>
    <w:p>
      <w:pPr>
        <w:pStyle w:val="BodyText"/>
      </w:pPr>
      <w:hyperlink w:anchor="syft">
        <w:r>
          <w:rPr>
            <w:rStyle w:val="Hyperlink"/>
          </w:rPr>
          <w:t xml:space="preserve">24.4 Syft [34](#syft)</w:t>
        </w:r>
      </w:hyperlink>
    </w:p>
    <w:p>
      <w:pPr>
        <w:pStyle w:val="BodyText"/>
      </w:pPr>
      <w:hyperlink w:anchor="grype">
        <w:r>
          <w:rPr>
            <w:rStyle w:val="Hyperlink"/>
          </w:rPr>
          <w:t xml:space="preserve">24.5 Grype [34](#grype)</w:t>
        </w:r>
      </w:hyperlink>
    </w:p>
    <w:p>
      <w:pPr>
        <w:pStyle w:val="BodyText"/>
      </w:pPr>
      <w:hyperlink w:anchor="trivy">
        <w:r>
          <w:rPr>
            <w:rStyle w:val="Hyperlink"/>
          </w:rPr>
          <w:t xml:space="preserve">24.6 Trivy [34](#trivy)</w:t>
        </w:r>
      </w:hyperlink>
    </w:p>
    <w:p>
      <w:pPr>
        <w:pStyle w:val="BodyText"/>
      </w:pPr>
      <w:hyperlink w:anchor="openssf-scorecard">
        <w:r>
          <w:rPr>
            <w:rStyle w:val="Hyperlink"/>
          </w:rPr>
          <w:t xml:space="preserve">24, 7 OpenSSF Scorecard [34](#openssf-scorecard)</w:t>
        </w:r>
      </w:hyperlink>
    </w:p>
    <w:p>
      <w:pPr>
        <w:pStyle w:val="BodyText"/>
      </w:pPr>
      <w:hyperlink w:anchor="guac">
        <w:r>
          <w:rPr>
            <w:rStyle w:val="Hyperlink"/>
          </w:rPr>
          <w:t xml:space="preserve">24.8 GUAC [35](#guac)</w:t>
        </w:r>
      </w:hyperlink>
    </w:p>
    <w:p>
      <w:pPr>
        <w:pStyle w:val="BodyText"/>
      </w:pPr>
      <w:hyperlink w:anchor="osv-scanner">
        <w:r>
          <w:rPr>
            <w:rStyle w:val="Hyperlink"/>
          </w:rPr>
          <w:t xml:space="preserve">24,9 OSV-Scanner [35](#osv-scanner)</w:t>
        </w:r>
      </w:hyperlink>
    </w:p>
    <w:p>
      <w:pPr>
        <w:pStyle w:val="BodyText"/>
      </w:pPr>
      <w:hyperlink w:anchor="defectdojo">
        <w:r>
          <w:rPr>
            <w:rStyle w:val="Hyperlink"/>
          </w:rPr>
          <w:t xml:space="preserve">24.10 DefectDojo [35](#defectdojo)</w:t>
        </w:r>
      </w:hyperlink>
    </w:p>
    <w:p>
      <w:pPr>
        <w:pStyle w:val="BodyText"/>
      </w:pPr>
      <w:hyperlink w:anchor="wazuh">
        <w:r>
          <w:rPr>
            <w:rStyle w:val="Hyperlink"/>
          </w:rPr>
          <w:t xml:space="preserve">24,11 Wazuh [35](#wazuh)</w:t>
        </w:r>
      </w:hyperlink>
    </w:p>
    <w:p>
      <w:pPr>
        <w:pStyle w:val="BodyText"/>
      </w:pPr>
      <w:hyperlink w:anchor="keycloak">
        <w:r>
          <w:rPr>
            <w:rStyle w:val="Hyperlink"/>
          </w:rPr>
          <w:t xml:space="preserve">24.12 Keycloak [35](#keycloak)</w:t>
        </w:r>
      </w:hyperlink>
    </w:p>
    <w:p>
      <w:pPr>
        <w:pStyle w:val="BodyText"/>
      </w:pPr>
      <w:hyperlink w:anchor="owasp-zap">
        <w:r>
          <w:rPr>
            <w:rStyle w:val="Hyperlink"/>
          </w:rPr>
          <w:t xml:space="preserve">24.13 OWASP ZAP [36](#owasp-zap)</w:t>
        </w:r>
      </w:hyperlink>
    </w:p>
    <w:p>
      <w:pPr>
        <w:pStyle w:val="BodyText"/>
      </w:pPr>
      <w:hyperlink w:anchor="greenbone-community-edition">
        <w:r>
          <w:rPr>
            <w:rStyle w:val="Hyperlink"/>
          </w:rPr>
          <w:t xml:space="preserve">24.14 Greenbone Community Edition [36](#greenbone-community-edition)</w:t>
        </w:r>
      </w:hyperlink>
    </w:p>
    <w:p>
      <w:pPr>
        <w:pStyle w:val="BodyText"/>
      </w:pPr>
      <w:hyperlink w:anchor="nmap">
        <w:r>
          <w:rPr>
            <w:rStyle w:val="Hyperlink"/>
          </w:rPr>
          <w:t xml:space="preserve">24,15 Nmap [36](#nmap)</w:t>
        </w:r>
      </w:hyperlink>
    </w:p>
    <w:p>
      <w:pPr>
        <w:pStyle w:val="BodyText"/>
      </w:pPr>
      <w:hyperlink w:anchor="open-policy-agent">
        <w:r>
          <w:rPr>
            <w:rStyle w:val="Hyperlink"/>
          </w:rPr>
          <w:t xml:space="preserve">24.16 Agente de política aberta [36](#open-policy-agent)</w:t>
        </w:r>
      </w:hyperlink>
    </w:p>
    <w:p>
      <w:pPr>
        <w:pStyle w:val="BodyText"/>
      </w:pPr>
      <w:hyperlink w:anchor="managers-tprm-playbook">
        <w:r>
          <w:rPr>
            <w:rStyle w:val="Hyperlink"/>
          </w:rPr>
          <w:t xml:space="preserve">25. Manual de TPRM para gerentes [37](#managers-tprm-playbook)</w:t>
        </w:r>
      </w:hyperlink>
    </w:p>
    <w:p>
      <w:pPr>
        <w:pStyle w:val="BodyText"/>
      </w:pPr>
      <w:hyperlink w:anchor="manager-operating-rhythm">
        <w:r>
          <w:rPr>
            <w:rStyle w:val="Hyperlink"/>
          </w:rPr>
          <w:t xml:space="preserve">25.1 Ritmo de funcionamento do gestor [37](#manager-operating-rhythm)</w:t>
        </w:r>
      </w:hyperlink>
    </w:p>
    <w:p>
      <w:pPr>
        <w:pStyle w:val="BodyText"/>
      </w:pPr>
      <w:hyperlink w:anchor="junior-analyst-career-guide">
        <w:r>
          <w:rPr>
            <w:rStyle w:val="Hyperlink"/>
          </w:rPr>
          <w:t xml:space="preserve">26. Guia de carreira do analista júnior [38](#junior-analyst-career-guide)</w:t>
        </w:r>
      </w:hyperlink>
    </w:p>
    <w:p>
      <w:pPr>
        <w:pStyle w:val="BodyText"/>
      </w:pPr>
      <w:hyperlink w:anchor="common-job-titles">
        <w:r>
          <w:rPr>
            <w:rStyle w:val="Hyperlink"/>
          </w:rPr>
          <w:t xml:space="preserve">26.1 Títulos comuns de funções [38](#common-job-titles)</w:t>
        </w:r>
      </w:hyperlink>
    </w:p>
    <w:p>
      <w:pPr>
        <w:pStyle w:val="BodyText"/>
      </w:pPr>
      <w:hyperlink w:anchor="typical-junior-work">
        <w:r>
          <w:rPr>
            <w:rStyle w:val="Hyperlink"/>
          </w:rPr>
          <w:t xml:space="preserve">26.2 Trabalho júnior típico [38](#typical-junior-work)</w:t>
        </w:r>
      </w:hyperlink>
    </w:p>
    <w:p>
      <w:pPr>
        <w:pStyle w:val="BodyText"/>
      </w:pPr>
      <w:hyperlink w:anchor="fictional-laboratory-and-portfolio">
        <w:r>
          <w:rPr>
            <w:rStyle w:val="Hyperlink"/>
          </w:rPr>
          <w:t xml:space="preserve">27. Laboratório Fictício e Portfólio [40](#fictional-laboratory-and-portfolio)</w:t>
        </w:r>
      </w:hyperlink>
    </w:p>
    <w:p>
      <w:pPr>
        <w:pStyle w:val="BodyText"/>
      </w:pPr>
      <w:hyperlink w:anchor="thirty-day-learning-plan">
        <w:r>
          <w:rPr>
            <w:rStyle w:val="Hyperlink"/>
          </w:rPr>
          <w:t xml:space="preserve">28. Plano de aprendizagem de trinta dias [41](#thirty-day-learning-plan)</w:t>
        </w:r>
      </w:hyperlink>
    </w:p>
    <w:p>
      <w:pPr>
        <w:pStyle w:val="BodyText"/>
      </w:pPr>
      <w:hyperlink w:anchor="interview-preparation">
        <w:r>
          <w:rPr>
            <w:rStyle w:val="Hyperlink"/>
          </w:rPr>
          <w:t xml:space="preserve">29. Preparação da entrevista [42](#interview-preparation)</w:t>
        </w:r>
      </w:hyperlink>
    </w:p>
    <w:p>
      <w:pPr>
        <w:pStyle w:val="BodyText"/>
      </w:pPr>
      <w:hyperlink w:anchor="what-is-tprm">
        <w:r>
          <w:rPr>
            <w:rStyle w:val="Hyperlink"/>
          </w:rPr>
          <w:t xml:space="preserve">29.1 O que é o TPRM? [42](#what-is-tprm)</w:t>
        </w:r>
      </w:hyperlink>
    </w:p>
    <w:p>
      <w:pPr>
        <w:pStyle w:val="BodyText"/>
      </w:pPr>
      <w:hyperlink w:anchor="tprm-versus-c-scrm">
        <w:r>
          <w:rPr>
            <w:rStyle w:val="Hyperlink"/>
          </w:rPr>
          <w:t xml:space="preserve">29,2 TPRM versus C-SCRM? [42](#tprm-versus-c-scrm)</w:t>
        </w:r>
      </w:hyperlink>
    </w:p>
    <w:p>
      <w:pPr>
        <w:pStyle w:val="BodyText"/>
      </w:pPr>
      <w:hyperlink w:anchor="inherent-versus-residual-risk">
        <w:r>
          <w:rPr>
            <w:rStyle w:val="Hyperlink"/>
          </w:rPr>
          <w:t xml:space="preserve">29,3 Risco inerente versus residual? [42](#inherent-versus-residual-risk)</w:t>
        </w:r>
      </w:hyperlink>
    </w:p>
    <w:p>
      <w:pPr>
        <w:pStyle w:val="BodyText"/>
      </w:pPr>
      <w:hyperlink w:anchor="how-do-you-tier-a-supplier">
        <w:r>
          <w:rPr>
            <w:rStyle w:val="Hyperlink"/>
          </w:rPr>
          <w:t xml:space="preserve">29.4 Como você lista um fornecedor? [42](#how-do-you-tier-a-supplier)</w:t>
        </w:r>
      </w:hyperlink>
    </w:p>
    <w:p>
      <w:pPr>
        <w:pStyle w:val="BodyText"/>
      </w:pPr>
      <w:hyperlink w:anchor="how-do-you-review-a-soc-2-report">
        <w:r>
          <w:rPr>
            <w:rStyle w:val="Hyperlink"/>
          </w:rPr>
          <w:t xml:space="preserve">29.5 Como você revê um relatório SOC 2? [42](#how-do-you-review-a-soc-2-report)</w:t>
        </w:r>
      </w:hyperlink>
    </w:p>
    <w:p>
      <w:pPr>
        <w:pStyle w:val="BodyText"/>
      </w:pPr>
      <w:hyperlink w:anchor="questionnaire-limitation">
        <w:r>
          <w:rPr>
            <w:rStyle w:val="Hyperlink"/>
          </w:rPr>
          <w:t xml:space="preserve">29,6 Limitação do questionário? [42](#questionnaire-limitation)</w:t>
        </w:r>
      </w:hyperlink>
    </w:p>
    <w:p>
      <w:pPr>
        <w:pStyle w:val="BodyText"/>
      </w:pPr>
      <w:r>
        <w:t xml:space="preserve">[29.7 O que é uma SBOM? [42] (#what-is-an-sbom)] (#what-is-an-sbom)</w:t>
      </w:r>
    </w:p>
    <w:p>
      <w:pPr>
        <w:pStyle w:val="BodyText"/>
      </w:pPr>
      <w:hyperlink w:anchor="how-do-you-close-a-finding">
        <w:r>
          <w:rPr>
            <w:rStyle w:val="Hyperlink"/>
          </w:rPr>
          <w:t xml:space="preserve">29,8 Como você fecha um achado? [42](#how-do-you-close-a-finding)</w:t>
        </w:r>
      </w:hyperlink>
    </w:p>
    <w:p>
      <w:pPr>
        <w:pStyle w:val="BodyText"/>
      </w:pPr>
      <w:hyperlink w:anchor="X458283b8d986c7797c1d2056dfdd7e313742ff3">
        <w:r>
          <w:rPr>
            <w:rStyle w:val="Hyperlink"/>
          </w:rPr>
          <w:t xml:space="preserve">29.9 E se um fornecedor crítico recusar provas? [42](#what-if-a-critical-supplier-refuses-evidence)</w:t>
        </w:r>
      </w:hyperlink>
    </w:p>
    <w:p>
      <w:pPr>
        <w:pStyle w:val="BodyText"/>
      </w:pPr>
      <w:hyperlink w:anchor="what-makes-a-good-junior-analyst">
        <w:r>
          <w:rPr>
            <w:rStyle w:val="Hyperlink"/>
          </w:rPr>
          <w:t xml:space="preserve">29.10 O que faz um bom analista júnior? [43](#what-makes-a-good-junior-analyst)</w:t>
        </w:r>
      </w:hyperlink>
    </w:p>
    <w:p>
      <w:pPr>
        <w:pStyle w:val="BodyText"/>
      </w:pPr>
      <w:hyperlink w:anchor="questions-to-ask-the-employer">
        <w:r>
          <w:rPr>
            <w:rStyle w:val="Hyperlink"/>
          </w:rPr>
          <w:t xml:space="preserve">29.11 Perguntas ao empregador [43](#questions-to-ask-the-employer)</w:t>
        </w:r>
      </w:hyperlink>
    </w:p>
    <w:p>
      <w:pPr>
        <w:pStyle w:val="BodyText"/>
      </w:pPr>
      <w:hyperlink w:anchor="templates-glossary-index-and-references">
        <w:r>
          <w:rPr>
            <w:rStyle w:val="Hyperlink"/>
          </w:rPr>
          <w:t xml:space="preserve">30. Modelos, Glossário, Índice e Referências [44](#templates-glossary-index-and-references)</w:t>
        </w:r>
      </w:hyperlink>
    </w:p>
    <w:p>
      <w:pPr>
        <w:pStyle w:val="BodyText"/>
      </w:pPr>
      <w:hyperlink w:anchor="supplier-inventory-record">
        <w:r>
          <w:rPr>
            <w:rStyle w:val="Hyperlink"/>
          </w:rPr>
          <w:t xml:space="preserve">30.1 Registo de inventário do fornecedor [44](#supplier-inventory-record)</w:t>
        </w:r>
      </w:hyperlink>
    </w:p>
    <w:p>
      <w:pPr>
        <w:pStyle w:val="BodyText"/>
      </w:pPr>
      <w:hyperlink w:anchor="due-diligence-workpaper">
        <w:r>
          <w:rPr>
            <w:rStyle w:val="Hyperlink"/>
          </w:rPr>
          <w:t xml:space="preserve">30.2 Papel de trabalho de diligenciação devida [44](#due-diligence-workpaper)</w:t>
        </w:r>
      </w:hyperlink>
    </w:p>
    <w:p>
      <w:pPr>
        <w:pStyle w:val="BodyText"/>
      </w:pPr>
      <w:hyperlink w:anchor="assurance-review">
        <w:r>
          <w:rPr>
            <w:rStyle w:val="Hyperlink"/>
          </w:rPr>
          <w:t xml:space="preserve">30.3 Revisão da garantia [44](#assurance-review)</w:t>
        </w:r>
      </w:hyperlink>
    </w:p>
    <w:p>
      <w:pPr>
        <w:pStyle w:val="BodyText"/>
      </w:pPr>
      <w:hyperlink w:anchor="finding-and-exception-record">
        <w:r>
          <w:rPr>
            <w:rStyle w:val="Hyperlink"/>
          </w:rPr>
          <w:t xml:space="preserve">30.4 Registo de procura e excepção [44](#finding-and-exception-record)</w:t>
        </w:r>
      </w:hyperlink>
    </w:p>
    <w:p>
      <w:pPr>
        <w:pStyle w:val="BodyText"/>
      </w:pPr>
      <w:hyperlink w:anchor="contract-and-exit-checklist">
        <w:r>
          <w:rPr>
            <w:rStyle w:val="Hyperlink"/>
          </w:rPr>
          <w:t xml:space="preserve">30,5 Lista de verificação do contrato e da saída [45](#contract-and-exit-checklist)</w:t>
        </w:r>
      </w:hyperlink>
    </w:p>
    <w:p>
      <w:pPr>
        <w:pStyle w:val="BodyText"/>
      </w:pPr>
      <w:hyperlink w:anchor="glossary">
        <w:r>
          <w:rPr>
            <w:rStyle w:val="Hyperlink"/>
          </w:rPr>
          <w:t xml:space="preserve">30,6 Glossário [45](#glossary)</w:t>
        </w:r>
      </w:hyperlink>
    </w:p>
    <w:p>
      <w:pPr>
        <w:pStyle w:val="BodyText"/>
      </w:pPr>
      <w:hyperlink w:anchor="subject-index">
        <w:r>
          <w:rPr>
            <w:rStyle w:val="Hyperlink"/>
          </w:rPr>
          <w:t xml:space="preserve">30.7 Índice de assunto [45](#subject-index)</w:t>
        </w:r>
      </w:hyperlink>
    </w:p>
    <w:p>
      <w:pPr>
        <w:pStyle w:val="BodyText"/>
      </w:pPr>
      <w:hyperlink w:anchor="official-references">
        <w:r>
          <w:rPr>
            <w:rStyle w:val="Hyperlink"/>
          </w:rPr>
          <w:t xml:space="preserve">30.8 Referências oficiais [46](#official-references)</w:t>
        </w:r>
      </w:hyperlink>
    </w:p>
    <w:p>
      <w:pPr>
        <w:pStyle w:val="BodyText"/>
      </w:pPr>
      <w:r>
        <w:t xml:space="preserve">Guia do Capítulo</w:t>
      </w:r>
    </w:p>
    <w:bookmarkEnd w:id="22"/>
    <w:bookmarkStart w:id="29" w:name="tprm-e-cyber-supply-chain-fundações"/>
    <w:p>
      <w:pPr>
        <w:pStyle w:val="Heading1"/>
      </w:pPr>
      <w:r>
        <w:t xml:space="preserve">1. TPRM e Cyber Supply Chain Fundações</w:t>
      </w:r>
    </w:p>
    <w:p>
      <w:pPr>
        <w:numPr>
          <w:ilvl w:val="0"/>
          <w:numId w:val="1002"/>
        </w:numPr>
        <w:pStyle w:val="Compact"/>
      </w:pPr>
      <w:r>
        <w:t xml:space="preserve">Gerência de risco de terceiros (TPRM) controla riscos colocados por organizações externas, produtos, pessoas e serviços.*</w:t>
      </w:r>
    </w:p>
    <w:p>
      <w:pPr>
        <w:pStyle w:val="FirstParagraph"/>
      </w:pPr>
      <w:r>
        <w:t xml:space="preserve">Um terceiro pode hospedar sistemas, processar dados, fornecer software, fornecer pessoal, executar operações críticas ou apoiar clientes. O gerenciamento de risco da cadeia de suprimentos cibernética (C-SCRM) é mais amplo: considera como a tecnologia é projetada, desenvolvida, fabricada, integrada, entregue, operada, mantida e aposentada em muitas camadas.</w:t>
      </w:r>
    </w:p>
    <w:bookmarkStart w:id="23" w:name="o-que-bom-tprm-produz"/>
    <w:p>
      <w:pPr>
        <w:pStyle w:val="Heading2"/>
      </w:pPr>
      <w:r>
        <w:t xml:space="preserve">1.1 O que bom TPRM produz</w:t>
      </w:r>
    </w:p>
    <w:p>
      <w:pPr>
        <w:pStyle w:val="FirstParagraph"/>
      </w:pPr>
      <w:r>
        <w:t xml:space="preserve">Um inventário completo de fornecedores.</w:t>
      </w:r>
    </w:p>
    <w:p>
      <w:pPr>
        <w:pStyle w:val="BodyText"/>
      </w:pPr>
      <w:r>
        <w:t xml:space="preserve">Avaliação baseada no risco antes do compromisso.</w:t>
      </w:r>
    </w:p>
    <w:p>
      <w:pPr>
        <w:pStyle w:val="BodyText"/>
      </w:pPr>
      <w:r>
        <w:t xml:space="preserve">Segurança, privacidade, resiliência, auditoria e termos incidentes em acordos.</w:t>
      </w:r>
    </w:p>
    <w:p>
      <w:pPr>
        <w:pStyle w:val="BodyText"/>
      </w:pPr>
      <w:r>
        <w:t xml:space="preserve">Acesso controlado e tratamento de dados durante o serviço.</w:t>
      </w:r>
    </w:p>
    <w:p>
      <w:pPr>
        <w:pStyle w:val="BodyText"/>
      </w:pPr>
      <w:r>
        <w:t xml:space="preserve">Monitoramento que detecta mudanças materiais e riscos vencidos.</w:t>
      </w:r>
    </w:p>
    <w:p>
      <w:pPr>
        <w:pStyle w:val="BodyText"/>
      </w:pPr>
      <w:r>
        <w:t xml:space="preserve">Coordenação de incidentes praticada e um plano de saída executável.</w:t>
      </w:r>
    </w:p>
    <w:bookmarkEnd w:id="23"/>
    <w:bookmarkStart w:id="27" w:name="limites-importantes"/>
    <w:p>
      <w:pPr>
        <w:pStyle w:val="Heading2"/>
      </w:pPr>
      <w:r>
        <w:t xml:space="preserve">1.2 Limites importantes</w:t>
      </w:r>
    </w:p>
    <w:p>
      <w:pPr>
        <w:pStyle w:val="FirstParagraph"/>
      </w:pPr>
      <w:r>
        <w:t xml:space="preserve">O que não prova**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□————————————————————————————————————————————————–</w:t>
      </w:r>
      <w:r>
        <w:t xml:space="preserve"> </w:t>
      </w:r>
      <w:r>
        <w:t xml:space="preserve">Questionário Uma afirmação do fornecedor não é prova independente.</w:t>
      </w:r>
      <w:r>
        <w:t xml:space="preserve"> </w:t>
      </w:r>
      <w:r>
        <w:t xml:space="preserve">Relatório SOC 2 Abrange sistemas declarados, critérios, período, testes e limitações – nem todos os riscos.</w:t>
      </w:r>
      <w:r>
        <w:t xml:space="preserve"> </w:t>
      </w:r>
      <w:r>
        <w:t xml:space="preserve">Certificado ISO Aplica-se apenas ao escopo certificado e aos detalhes atuais do certificado.</w:t>
      </w:r>
      <w:r>
        <w:t xml:space="preserve"> </w:t>
      </w:r>
      <w:r>
        <w:t xml:space="preserve">□ Classificação de segurança; Os sinais externos podem ser úteis, mas podem ser incompletos, obsoletos ou desatribuídos. □</w:t>
      </w:r>
      <w:r>
        <w:t xml:space="preserve"> </w:t>
      </w:r>
      <w:r>
        <w:t xml:space="preserve">. Contrato . Uma promessa não mostra que um controle opera. □</w:t>
      </w:r>
      <w:r>
        <w:t xml:space="preserve"> </w:t>
      </w:r>
      <w:r>
        <w:t xml:space="preserve">O resultado da ferramenta da automação suporta o teste; não faz a decisão do negócio. □</w:t>
      </w:r>
    </w:p>
    <w:p>
      <w:pPr>
        <w:pStyle w:val="BodyText"/>
      </w:pPr>
      <w:r>
        <w:t xml:space="preserve">Princípio do core:** Terceirizar a atividade, não prestar contas. O proprietário da empresa continua responsável pela compreensão e gestão do impacto.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□————————————————————————————————————————————————————————————————-</w:t>
      </w:r>
    </w:p>
    <w:p>
      <w:pPr>
        <w:numPr>
          <w:ilvl w:val="0"/>
          <w:numId w:val="1003"/>
        </w:numPr>
        <w:pStyle w:val="Compact"/>
      </w:pPr>
      <w:r>
        <w:t xml:space="preserve">O Ciclo de Vida da Terceira Parte</w:t>
      </w:r>
    </w:p>
    <w:p>
      <w:pPr>
        <w:numPr>
          <w:ilvl w:val="0"/>
          <w:numId w:val="1004"/>
        </w:numPr>
        <w:pStyle w:val="Compact"/>
      </w:pPr>
      <w:r>
        <w:t xml:space="preserve">Um processo de ciclo de vida impede que a avaliação se torne um questionário único.*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O mesmo registro deve acompanhar o fornecedor desde a solicitação de negócio até a saída segura." title="" id="25" name="Picture"/>
            <a:graphic>
              <a:graphicData uri="http://schemas.openxmlformats.org/drawingml/2006/picture">
                <pic:pic>
                  <pic:nvPicPr>
                    <pic:cNvPr descr="media/image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 mesmo registro deve acompanhar o fornecedor desde a solicitação de negócio até a saída segura.</w:t>
      </w:r>
    </w:p>
    <w:p>
      <w:pPr>
        <w:pStyle w:val="BodyText"/>
      </w:pPr>
      <w:r>
        <w:t xml:space="preserve">Figura 1. Ciclo de vida de risco de terceiros</w:t>
      </w:r>
    </w:p>
    <w:bookmarkEnd w:id="27"/>
    <w:bookmarkStart w:id="28" w:name="section"/>
    <w:p>
      <w:pPr>
        <w:pStyle w:val="Heading2"/>
      </w:pPr>
      <w:r>
        <w:t xml:space="preserve">. . . . . . . . . . . . . . . . . . . . . . . . . . . . . . . . . . . . . . . . . . . . . . . . . .</w:t>
      </w:r>
    </w:p>
    <w:p>
      <w:pPr>
        <w:pStyle w:val="FirstParagraph"/>
      </w:pPr>
      <w:r>
        <w:t xml:space="preserve">Ingestão Existe uma necessidade válida e proprietário responsável? O pedido, descrição do serviço, proprietário, alternativas</w:t>
      </w:r>
      <w:r>
        <w:t xml:space="preserve"> </w:t>
      </w:r>
      <w:r>
        <w:t xml:space="preserve">□ Tier □ Quanto dano poderia causar o fracasso? Dados, acesso, dependência, disponibilidade, geografia</w:t>
      </w:r>
      <w:r>
        <w:t xml:space="preserve"> </w:t>
      </w:r>
      <w:r>
        <w:t xml:space="preserve">Avaliação O risco residual é aceitável? Pesquisa, evidência, testes, achados, tratamento</w:t>
      </w:r>
      <w:r>
        <w:t xml:space="preserve"> </w:t>
      </w:r>
      <w:r>
        <w:t xml:space="preserve">□ Contrato □ São obrigações executórias? Termos de segurança/privacidade/resiliência assinados</w:t>
      </w:r>
      <w:r>
        <w:t xml:space="preserve"> </w:t>
      </w:r>
      <w:r>
        <w:t xml:space="preserve">A bordo O acesso é limitado e aprovado? Configuração, conta, fluxo de dados, registros de aceitação</w:t>
      </w:r>
      <w:r>
        <w:t xml:space="preserve"> </w:t>
      </w:r>
      <w:r>
        <w:t xml:space="preserve">Monitorar o risco ou o desempenho mudou? Eventos, atestados, questões, métricas, reavaliações</w:t>
      </w:r>
      <w:r>
        <w:t xml:space="preserve"> </w:t>
      </w:r>
      <w:r>
        <w:t xml:space="preserve">□ Sair □ São removidos o acesso, dados, ativos e dependências? • Revogação, exclusão/retorno, transição, confirmação</w:t>
      </w:r>
    </w:p>
    <w:bookmarkEnd w:id="28"/>
    <w:bookmarkEnd w:id="29"/>
    <w:bookmarkStart w:id="33" w:name="governança-estratégia-e-apetito-de-risco"/>
    <w:p>
      <w:pPr>
        <w:pStyle w:val="Heading1"/>
      </w:pPr>
      <w:r>
        <w:t xml:space="preserve">3. Governança, Estratégia e Apetito de Risco</w:t>
      </w:r>
    </w:p>
    <w:p>
      <w:pPr>
        <w:pStyle w:val="FirstParagraph"/>
      </w:pPr>
      <w:r>
        <w:rPr>
          <w:iCs/>
          <w:i/>
        </w:rPr>
        <w:t xml:space="preserve">Governança estabelece direitos de decisão, limites de risco, financiamento e escalada.</w:t>
      </w:r>
    </w:p>
    <w:bookmarkStart w:id="30" w:name="documentos-do-programa"/>
    <w:p>
      <w:pPr>
        <w:pStyle w:val="Heading2"/>
      </w:pPr>
      <w:r>
        <w:t xml:space="preserve">3.1 Documentos do programa</w:t>
      </w:r>
    </w:p>
    <w:p>
      <w:pPr>
        <w:numPr>
          <w:ilvl w:val="0"/>
          <w:numId w:val="1005"/>
        </w:numPr>
      </w:pPr>
      <w:r>
        <w:t xml:space="preserve">Política e normas TPRM/C-SCRM.</w:t>
      </w:r>
    </w:p>
    <w:p>
      <w:pPr>
        <w:numPr>
          <w:ilvl w:val="0"/>
          <w:numId w:val="1005"/>
        </w:numPr>
      </w:pPr>
      <w:r>
        <w:t xml:space="preserve">Risco de apetite e regras obrigatórias de rejeição ou escalada.</w:t>
      </w:r>
    </w:p>
    <w:p>
      <w:pPr>
        <w:numPr>
          <w:ilvl w:val="0"/>
          <w:numId w:val="1005"/>
        </w:numPr>
      </w:pPr>
      <w:r>
        <w:t xml:space="preserve">Classificação e método de avaliação do fornecedor.</w:t>
      </w:r>
    </w:p>
    <w:p>
      <w:pPr>
        <w:numPr>
          <w:ilvl w:val="0"/>
          <w:numId w:val="1005"/>
        </w:numPr>
      </w:pPr>
      <w:r>
        <w:t xml:space="preserve">Leilão de cláusulas contratuais e aprovação de desvios.</w:t>
      </w:r>
    </w:p>
    <w:p>
      <w:pPr>
        <w:numPr>
          <w:ilvl w:val="0"/>
          <w:numId w:val="1005"/>
        </w:numPr>
      </w:pPr>
      <w:r>
        <w:t xml:space="preserve">Procedimentos de monitorização, incidente, exceção e saída.</w:t>
      </w:r>
    </w:p>
    <w:p>
      <w:pPr>
        <w:numPr>
          <w:ilvl w:val="0"/>
          <w:numId w:val="1005"/>
        </w:numPr>
      </w:pPr>
      <w:r>
        <w:t xml:space="preserve">Métricas, relatórios, retenção de registros, revisão de qualidade e melhoria do programa.</w:t>
      </w:r>
    </w:p>
    <w:bookmarkEnd w:id="30"/>
    <w:bookmarkStart w:id="31" w:name="section-1"/>
    <w:p>
      <w:pPr>
        <w:pStyle w:val="Heading2"/>
      </w:pPr>
      <w:r>
        <w:t xml:space="preserve">** ** ** ** ** ** **</w:t>
      </w:r>
    </w:p>
    <w:p>
      <w:pPr>
        <w:pStyle w:val="FirstParagraph"/>
      </w:pPr>
      <w:r>
        <w:t xml:space="preserve">□ Conselho/executivo □ Supervisão, direção de risco, recursos, desafio de risco material</w:t>
      </w:r>
      <w:r>
        <w:t xml:space="preserve"> </w:t>
      </w:r>
      <w:r>
        <w:t xml:space="preserve">O proprietário do negócio □ Necessidade, criticidade, desempenho, propriedade de risco residual, prontidão para sair</w:t>
      </w:r>
      <w:r>
        <w:t xml:space="preserve"> </w:t>
      </w:r>
      <w:r>
        <w:t xml:space="preserve">□ Aquisições • Aprovisionamento de fluxo de trabalho, termos comerciais, renovação, registro do fornecedor</w:t>
      </w:r>
      <w:r>
        <w:t xml:space="preserve"> </w:t>
      </w:r>
      <w:r>
        <w:t xml:space="preserve">□ Jurídico/privacy □ Contrato, base jurídica, regulamentação, transferência de dados, aconselhamento de notificação</w:t>
      </w:r>
      <w:r>
        <w:t xml:space="preserve"> </w:t>
      </w:r>
      <w:r>
        <w:t xml:space="preserve">• Segurança / TPRM</w:t>
      </w:r>
      <w:r>
        <w:t xml:space="preserve"> </w:t>
      </w:r>
      <w:r>
        <w:t xml:space="preserve">Arquitectura, configuração, acesso, integração, teste, recuperação</w:t>
      </w:r>
      <w:r>
        <w:t xml:space="preserve"> </w:t>
      </w:r>
      <w:r>
        <w:t xml:space="preserve">• Auditoria interna • Avaliação independente da concepção e funcionamento do programa</w:t>
      </w:r>
      <w:r>
        <w:t xml:space="preserve"> </w:t>
      </w:r>
      <w:r>
        <w:t xml:space="preserve">□ Fornecedor □ Informação precisa, controles contratados, aviso, correção, cooperação</w:t>
      </w:r>
    </w:p>
    <w:bookmarkEnd w:id="31"/>
    <w:bookmarkStart w:id="32" w:name="X0a83d428daa4bc62eac0479fa17900484f8a109"/>
    <w:p>
      <w:pPr>
        <w:pStyle w:val="Heading2"/>
      </w:pPr>
      <w:r>
        <w:t xml:space="preserve">Decisão de gestão:** Definir quem pode aceitar que nível de risco residual. Um proprietário de risco deve ter autoridade, contexto e responsabilidade – não apenas uma assinatura conveniente. □</w:t>
      </w:r>
    </w:p>
    <w:bookmarkEnd w:id="32"/>
    <w:bookmarkEnd w:id="33"/>
    <w:bookmarkStart w:id="40" w:name="inventário-classificação-e-nivelamento"/>
    <w:p>
      <w:pPr>
        <w:pStyle w:val="Heading1"/>
      </w:pPr>
      <w:r>
        <w:t xml:space="preserve">4. Inventário, classificação e nivelamento</w:t>
      </w:r>
    </w:p>
    <w:p>
      <w:pPr>
        <w:pStyle w:val="FirstParagraph"/>
      </w:pPr>
      <w:r>
        <w:rPr>
          <w:iCs/>
          <w:i/>
        </w:rPr>
        <w:t xml:space="preserve">Conheça todos os fornecedores e escalas trabalham para provavelmente prejudicar.</w:t>
      </w:r>
    </w:p>
    <w:p>
      <w:pPr>
        <w:pStyle w:val="CaptionedFigure"/>
      </w:pPr>
      <w:r>
        <w:drawing>
          <wp:inline>
            <wp:extent cx="5334000" cy="3490060"/>
            <wp:effectExtent b="0" l="0" r="0" t="0"/>
            <wp:docPr descr="Use fatores documentados e permita escalonamento quando um fator for especialmente grave." title="" id="35" name="Picture"/>
            <a:graphic>
              <a:graphicData uri="http://schemas.openxmlformats.org/drawingml/2006/picture">
                <pic:pic>
                  <pic:nvPicPr>
                    <pic:cNvPr descr="media/image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0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 fatores documentados e permita escalonamento quando um fator for especialmente grave.</w:t>
      </w:r>
    </w:p>
    <w:p>
      <w:pPr>
        <w:pStyle w:val="BodyText"/>
      </w:pPr>
      <w:r>
        <w:t xml:space="preserve">Figura 2. Listas de fornecedores de exemplo</w:t>
      </w:r>
    </w:p>
    <w:bookmarkStart w:id="37" w:name="campos-de-inventário"/>
    <w:p>
      <w:pPr>
        <w:pStyle w:val="Heading2"/>
      </w:pPr>
      <w:r>
        <w:t xml:space="preserve">4.1 Campos de inventário</w:t>
      </w:r>
    </w:p>
    <w:p>
      <w:pPr>
        <w:numPr>
          <w:ilvl w:val="0"/>
          <w:numId w:val="1006"/>
        </w:numPr>
      </w:pPr>
      <w:r>
        <w:t xml:space="preserve">Nome legal, pseudônimos, produto / serviço, proprietário de empresa, proprietário técnico, e proprietário do contrato.</w:t>
      </w:r>
    </w:p>
    <w:p>
      <w:pPr>
        <w:numPr>
          <w:ilvl w:val="0"/>
          <w:numId w:val="1006"/>
        </w:numPr>
      </w:pPr>
      <w:r>
        <w:t xml:space="preserve">Finalidade, sistemas, integrações, contas, privilégios, categorias de dados, locais de dados e caminhos de transferência.</w:t>
      </w:r>
    </w:p>
    <w:p>
      <w:pPr>
        <w:numPr>
          <w:ilvl w:val="0"/>
          <w:numId w:val="1006"/>
        </w:numPr>
      </w:pPr>
      <w:r>
        <w:t xml:space="preserve">Processos críticos, necessidades de recuperação, dificuldade de substituição, quartas partes, concentração e exposição geográfica.</w:t>
      </w:r>
    </w:p>
    <w:p>
      <w:pPr>
        <w:numPr>
          <w:ilvl w:val="0"/>
          <w:numId w:val="1006"/>
        </w:numPr>
      </w:pPr>
      <w:r>
        <w:t xml:space="preserve">Nível, risco inerente, risco residual, estado de avaliação, conclusões, exceções, datas do contrato, renovação e status de saída.</w:t>
      </w:r>
    </w:p>
    <w:bookmarkEnd w:id="37"/>
    <w:bookmarkStart w:id="38" w:name="fatores-de-nivelamento"/>
    <w:p>
      <w:pPr>
        <w:pStyle w:val="Heading2"/>
      </w:pPr>
      <w:r>
        <w:t xml:space="preserve">4.2 Fatores de nivelamento</w:t>
      </w:r>
    </w:p>
    <w:bookmarkEnd w:id="38"/>
    <w:bookmarkStart w:id="39" w:name="factor-exemplo-de-estado-de-alto-risco"/>
    <w:p>
      <w:pPr>
        <w:pStyle w:val="Heading2"/>
      </w:pPr>
      <w:r>
        <w:t xml:space="preserve">Factor**</w:t>
      </w:r>
      <w:r>
        <w:t xml:space="preserve"> </w:t>
      </w:r>
      <w:r>
        <w:rPr>
          <w:bCs/>
          <w:b/>
        </w:rPr>
        <w:t xml:space="preserve">Exemplo de estado de alto risco</w:t>
      </w:r>
    </w:p>
    <w:p>
      <w:pPr>
        <w:pStyle w:val="FirstParagraph"/>
      </w:pPr>
      <w:r>
        <w:t xml:space="preserve">Os dados são confidenciais pessoal, saúde, pagamento, segredos ou informações regulamentadas</w:t>
      </w:r>
      <w:r>
        <w:t xml:space="preserve"> </w:t>
      </w:r>
      <w:r>
        <w:t xml:space="preserve">Acesse o acesso Privilegiado, produção remota, persistente ou amplo acesso API</w:t>
      </w:r>
      <w:r>
        <w:t xml:space="preserve"> </w:t>
      </w:r>
      <w:r>
        <w:t xml:space="preserve">Disponibilidade O fracasso para um produto crítico, operação ou serviço ao cliente</w:t>
      </w:r>
      <w:r>
        <w:t xml:space="preserve"> </w:t>
      </w:r>
      <w:r>
        <w:t xml:space="preserve">Altere o fornecedor pode atualizar código, firmware, modelos, regras ou infraestrutura</w:t>
      </w:r>
      <w:r>
        <w:t xml:space="preserve"> </w:t>
      </w:r>
      <w:r>
        <w:t xml:space="preserve">Dependência Poucos substitutos, difícil migração, formato proprietário, recuperação longa</w:t>
      </w:r>
      <w:r>
        <w:t xml:space="preserve"> </w:t>
      </w:r>
      <w:r>
        <w:t xml:space="preserve">O fornecedor atende muitos sistemas críticos, regiões, clientes ou subsidiárias</w:t>
      </w:r>
      <w:r>
        <w:t xml:space="preserve"> </w:t>
      </w:r>
      <w:r>
        <w:t xml:space="preserve">O Subprocessador material, nuvem, identidade, modelo ou dependência de software</w:t>
      </w:r>
    </w:p>
    <w:p>
      <w:pPr>
        <w:numPr>
          <w:ilvl w:val="0"/>
          <w:numId w:val="1007"/>
        </w:numPr>
        <w:pStyle w:val="Compact"/>
      </w:pPr>
      <w:r>
        <w:t xml:space="preserve">Risco de Ingestão e Inerência</w:t>
      </w:r>
    </w:p>
    <w:p>
      <w:pPr>
        <w:pStyle w:val="FirstParagraph"/>
      </w:pPr>
      <w:r>
        <w:rPr>
          <w:iCs/>
          <w:i/>
        </w:rPr>
        <w:t xml:space="preserve">Intake capta o uso completo proposto antes da pressão comercial torna a revisão difícil.</w:t>
      </w:r>
    </w:p>
    <w:p>
      <w:pPr>
        <w:numPr>
          <w:ilvl w:val="0"/>
          <w:numId w:val="1008"/>
        </w:numPr>
      </w:pPr>
      <w:r>
        <w:t xml:space="preserve">Descreva a finalidade do negócio e por que um fornecedor externo é necessário.</w:t>
      </w:r>
    </w:p>
    <w:p>
      <w:pPr>
        <w:numPr>
          <w:ilvl w:val="0"/>
          <w:numId w:val="1008"/>
        </w:numPr>
      </w:pPr>
      <w:r>
        <w:t xml:space="preserve">Nomear negócio responsável, técnico, privacidade, segurança, contratos e contatos de contrato.</w:t>
      </w:r>
    </w:p>
    <w:p>
      <w:pPr>
        <w:numPr>
          <w:ilvl w:val="0"/>
          <w:numId w:val="1008"/>
        </w:numPr>
      </w:pPr>
      <w:r>
        <w:t xml:space="preserve">Dados do mapa coletados, criados, acessados, armazenados, transmitidos, treinados, retornados e excluídos.</w:t>
      </w:r>
    </w:p>
    <w:p>
      <w:pPr>
        <w:numPr>
          <w:ilvl w:val="0"/>
          <w:numId w:val="1008"/>
        </w:numPr>
      </w:pPr>
      <w:r>
        <w:t xml:space="preserve">Descreva conexões, privilégios, usuários, locais, quartas partes e acesso ao suporte.</w:t>
      </w:r>
    </w:p>
    <w:p>
      <w:pPr>
        <w:numPr>
          <w:ilvl w:val="0"/>
          <w:numId w:val="1008"/>
        </w:numPr>
      </w:pPr>
      <w:r>
        <w:t xml:space="preserve">Determinar criticidade, expectativas de recuperação, alternativas e dificuldade de saída.</w:t>
      </w:r>
    </w:p>
    <w:p>
      <w:pPr>
        <w:numPr>
          <w:ilvl w:val="0"/>
          <w:numId w:val="1008"/>
        </w:numPr>
      </w:pPr>
      <w:r>
        <w:t xml:space="preserve">Identifique leis, contratos, requisitos do cliente, residência de dados e obrigações do setor.</w:t>
      </w:r>
    </w:p>
    <w:p>
      <w:pPr>
        <w:numPr>
          <w:ilvl w:val="0"/>
          <w:numId w:val="1008"/>
        </w:numPr>
      </w:pPr>
      <w:r>
        <w:t xml:space="preserve">Calcule o risco inerente antes de considerar os controles do fornecedor.</w:t>
      </w:r>
    </w:p>
    <w:p>
      <w:pPr>
        <w:numPr>
          <w:ilvl w:val="0"/>
          <w:numId w:val="1008"/>
        </w:numPr>
      </w:pPr>
      <w:r>
        <w:t xml:space="preserve">Atribuir o caminho de revisão necessário e parar a compra ou conexão não autorizada.</w:t>
      </w:r>
    </w:p>
    <w:p>
      <w:pPr>
        <w:pStyle w:val="FirstParagraph"/>
      </w:pPr>
      <w:r>
        <w:t xml:space="preserve">Risco inerente versus residual: O risco inerente é a exposição antes de considerar os controlos. Risco residual é o que permanece após controles verificados, termos contratuais, escolhas de design e outros tratamentos. □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–</w:t>
      </w:r>
    </w:p>
    <w:bookmarkEnd w:id="39"/>
    <w:bookmarkEnd w:id="40"/>
    <w:bookmarkStart w:id="50" w:name="due-diligence-and-research"/>
    <w:p>
      <w:pPr>
        <w:pStyle w:val="Heading1"/>
      </w:pPr>
      <w:r>
        <w:t xml:space="preserve">6. Due Diligence and Research</w:t>
      </w:r>
    </w:p>
    <w:p>
      <w:pPr>
        <w:pStyle w:val="FirstParagraph"/>
      </w:pPr>
      <w:r>
        <w:rPr>
          <w:iCs/>
          <w:i/>
        </w:rPr>
        <w:t xml:space="preserve">Due diligence reúne informações pertinentes para que a organização possa fazer uma aquisição informada ou decisão de uso contínuo.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A pesquisa e as solicitações de evidências devem refletir a função e o risco reais do fornecedor." title="" id="42" name="Picture"/>
            <a:graphic>
              <a:graphicData uri="http://schemas.openxmlformats.org/drawingml/2006/picture">
                <pic:pic>
                  <pic:nvPicPr>
                    <pic:cNvPr descr="media/image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pesquisa e as solicitações de evidências devem refletir a função e o risco reais do fornecedor.</w:t>
      </w:r>
    </w:p>
    <w:p>
      <w:pPr>
        <w:pStyle w:val="BodyText"/>
      </w:pPr>
      <w:r>
        <w:t xml:space="preserve">Figura 3. Fluxo de trabalho de due-diligence</w:t>
      </w:r>
    </w:p>
    <w:p>
      <w:pPr>
        <w:pStyle w:val="BodyText"/>
      </w:pPr>
      <w:r>
        <w:t xml:space="preserve">6.1 NIST SP 1326 componentes de avaliação</w:t>
      </w:r>
    </w:p>
    <w:bookmarkStart w:id="44" w:name="component-perguntas-para-investigar"/>
    <w:p>
      <w:pPr>
        <w:pStyle w:val="Heading2"/>
      </w:pPr>
      <w:r>
        <w:t xml:space="preserve">Component** ** Perguntas para investigar**</w:t>
      </w:r>
    </w:p>
    <w:p>
      <w:pPr>
        <w:pStyle w:val="FirstParagraph"/>
      </w:pPr>
      <w:r>
        <w:t xml:space="preserve">□ Propriedade estrangeira, controle ou influência □ Quem possui ou influencia o fornecedor? Que jurisdições ou pressões legais importam?</w:t>
      </w:r>
      <w:r>
        <w:t xml:space="preserve"> </w:t>
      </w:r>
      <w:r>
        <w:t xml:space="preserve">Providência Onde se originou o produto, código, componentes, hardware e dados? As alegações podem ser rastreadas?</w:t>
      </w:r>
      <w:r>
        <w:t xml:space="preserve"> </w:t>
      </w:r>
      <w:r>
        <w:t xml:space="preserve">• Resiliência • O fornecedor pode resistir, responder e recuperar da perturbação?</w:t>
      </w:r>
      <w:r>
        <w:t xml:space="preserve"> </w:t>
      </w:r>
      <w:r>
        <w:t xml:space="preserve">□ Práticas cyberfundacionais □ São práticas básicas de governança, acesso, vulnerabilidade, registro, desenvolvimento, resposta e recuperação presentes?</w:t>
      </w:r>
      <w:r>
        <w:t xml:space="preserve"> </w:t>
      </w:r>
      <w:r>
        <w:t xml:space="preserve">• Listas de cadeias de suprimentos □ Quais organizações a montante e a jusante afetam materialmente o produto ou serviço?</w:t>
      </w:r>
    </w:p>
    <w:p>
      <w:pPr>
        <w:pStyle w:val="BodyText"/>
      </w:pPr>
      <w:r>
        <w:t xml:space="preserve">6.2 Fontes de pesquisa</w:t>
      </w:r>
    </w:p>
    <w:p>
      <w:pPr>
        <w:numPr>
          <w:ilvl w:val="0"/>
          <w:numId w:val="1009"/>
        </w:numPr>
      </w:pPr>
      <w:r>
        <w:t xml:space="preserve">Fornecedor-fornecido organizacional, técnico, garantia, privacidade, resiliência e evidência de produto.</w:t>
      </w:r>
    </w:p>
    <w:p>
      <w:pPr>
        <w:numPr>
          <w:ilvl w:val="0"/>
          <w:numId w:val="1009"/>
        </w:numPr>
      </w:pPr>
      <w:r>
        <w:t xml:space="preserve">Empresa oficial, regulador, certificação, tribunal, sanções, violação, vulnerabilidade e fontes de segurança do produto eram legais e relevantes.</w:t>
      </w:r>
    </w:p>
    <w:p>
      <w:pPr>
        <w:numPr>
          <w:ilvl w:val="0"/>
          <w:numId w:val="1009"/>
        </w:numPr>
      </w:pPr>
      <w:r>
        <w:t xml:space="preserve">Relatórios de auditoria ou avaliação independentes e testes técnicos geridos pelo cliente.</w:t>
      </w:r>
    </w:p>
    <w:p>
      <w:pPr>
        <w:numPr>
          <w:ilvl w:val="0"/>
          <w:numId w:val="1009"/>
        </w:numPr>
      </w:pPr>
      <w:r>
        <w:t xml:space="preserve">Arquitetura e entrevistas de fluxo de dados com pessoas que operam o serviço – não apenas pessoal de vendas.</w:t>
      </w:r>
    </w:p>
    <w:bookmarkEnd w:id="44"/>
    <w:bookmarkStart w:id="49" w:name="X08461ed718861752328f5fcfb8f4641f6578ad9"/>
    <w:p>
      <w:pPr>
        <w:pStyle w:val="Heading2"/>
      </w:pPr>
      <w:r>
        <w:t xml:space="preserve">** Justeza e precisão:** Verifique a identidade, data, relevância, jurisdição e qualidade da fonte. Dar ao fornecedor uma oportunidade razoável para corrigir erros factuais materiais. Siga a lei e a política para rastreamento e informações pessoais. □</w:t>
      </w:r>
    </w:p>
    <w:p>
      <w:pPr>
        <w:numPr>
          <w:ilvl w:val="0"/>
          <w:numId w:val="1010"/>
        </w:numPr>
        <w:pStyle w:val="Compact"/>
      </w:pPr>
      <w:r>
        <w:t xml:space="preserve">Revisão e Confiança de Evidências</w:t>
      </w:r>
    </w:p>
    <w:p>
      <w:pPr>
        <w:numPr>
          <w:ilvl w:val="0"/>
          <w:numId w:val="1011"/>
        </w:numPr>
        <w:pStyle w:val="Compact"/>
      </w:pPr>
      <w:r>
        <w:t xml:space="preserve">A evidência é útil apenas quando corresponde ao serviço, período, controle e risco de ser avaliado.*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As fontes de evidência se complementam; nenhum artefato responde a todas as perguntas." title="" id="46" name="Picture"/>
            <a:graphic>
              <a:graphicData uri="http://schemas.openxmlformats.org/drawingml/2006/picture">
                <pic:pic>
                  <pic:nvPicPr>
                    <pic:cNvPr descr="media/image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 fontes de evidência se complementam; nenhum artefato responde a todas as perguntas.</w:t>
      </w:r>
    </w:p>
    <w:p>
      <w:pPr>
        <w:pStyle w:val="BodyText"/>
      </w:pPr>
      <w:r>
        <w:t xml:space="preserve">Figura 4. Escada de confiança das evidências</w:t>
      </w:r>
    </w:p>
    <w:p>
      <w:pPr>
        <w:numPr>
          <w:ilvl w:val="0"/>
          <w:numId w:val="1012"/>
        </w:numPr>
        <w:pStyle w:val="Heading2"/>
      </w:pPr>
      <w:bookmarkStart w:id="48" w:name="Xaa957440699d25bbde39eaa6e0eb5bbc21779bf"/>
      <w:r>
        <w:t xml:space="preserve">Artifact** ** Pontos de revisão** ** Armadilha comum**</w:t>
      </w:r>
      <w:bookmarkEnd w:id="48"/>
    </w:p>
    <w:p>
      <w:pPr>
        <w:numPr>
          <w:ilvl w:val="0"/>
          <w:numId w:val="1000"/>
        </w:numPr>
        <w:pStyle w:val="Compact"/>
      </w:pPr>
      <w:r>
        <w:t xml:space="preserve">□ SOC 2 Tipo 2 □ Âmbito da entidade/sistema, critérios, período, opinião, testes, exceções, CUECs, organizações de subserviço, eventos subseqüentes</w:t>
      </w:r>
      <w:r>
        <w:t xml:space="preserve"> </w:t>
      </w:r>
      <w:r>
        <w:t xml:space="preserve">ISO/IEC 27001 certificado □ Organização certificada e locais, escopo, versão ISO, corpo certificado, acreditação, datas, status □ Assumindo que a certificação cobre todos os serviços e controle</w:t>
      </w:r>
      <w:r>
        <w:t xml:space="preserve"> </w:t>
      </w:r>
      <w:r>
        <w:t xml:space="preserve">O relatório do teste da penetração O teste da independência/competência, âmbito, data, método, exclusões, gravidade, remediação, reteste</w:t>
      </w:r>
      <w:r>
        <w:t xml:space="preserve"> </w:t>
      </w:r>
      <w:r>
        <w:t xml:space="preserve">□ Política / norma □ Aprovação, proprietário, versão, escopo, ação necessária, exceções</w:t>
      </w:r>
      <w:r>
        <w:t xml:space="preserve"> </w:t>
      </w:r>
      <w:r>
        <w:t xml:space="preserve">Questionário □ Respondente qualificado, resposta precisa, evidência de apoio, lacunas não resolvidas</w:t>
      </w:r>
      <w:r>
        <w:t xml:space="preserve"> </w:t>
      </w:r>
      <w:r>
        <w:t xml:space="preserve">• Arquitetura / fluxo de dados; • Sistemas, fronteiras de confiança, integrações, locais, criptografia, administradores, quartas partes;</w:t>
      </w:r>
      <w:r>
        <w:t xml:space="preserve"> </w:t>
      </w:r>
      <w:r>
        <w:t xml:space="preserve">Teste de BC/DR de Cenário, escopo, objetivos de recuperação, resultados observados, falhas, correção, reteste</w:t>
      </w:r>
      <w:r>
        <w:t xml:space="preserve"> </w:t>
      </w:r>
      <w:r>
        <w:t xml:space="preserve">□ Vulnerabilidade evidência □ Cobertura de ativos, credenciais, data, gravidade, remediação, exceções, reescane a saída da varredura como tratamento de risco</w:t>
      </w:r>
    </w:p>
    <w:bookmarkEnd w:id="49"/>
    <w:bookmarkEnd w:id="50"/>
    <w:bookmarkStart w:id="54" w:name="pontuação-de-risco-e-tratamento"/>
    <w:p>
      <w:pPr>
        <w:pStyle w:val="Heading1"/>
      </w:pPr>
      <w:r>
        <w:t xml:space="preserve">8. Pontuação de Risco e Tratamento</w:t>
      </w:r>
    </w:p>
    <w:p>
      <w:pPr>
        <w:pStyle w:val="FirstParagraph"/>
      </w:pPr>
      <w:r>
        <w:rPr>
          <w:iCs/>
          <w:i/>
        </w:rPr>
        <w:t xml:space="preserve">A pontuação de Risk suporta decisões consistentes, mas os números não devem esconder incerteza ou problemas graves.</w:t>
      </w:r>
    </w:p>
    <w:bookmarkStart w:id="51" w:name="um-método-defensável"/>
    <w:p>
      <w:pPr>
        <w:pStyle w:val="Heading2"/>
      </w:pPr>
      <w:r>
        <w:t xml:space="preserve">8.1 Um método defensável</w:t>
      </w:r>
    </w:p>
    <w:p>
      <w:pPr>
        <w:numPr>
          <w:ilvl w:val="0"/>
          <w:numId w:val="1013"/>
        </w:numPr>
      </w:pPr>
      <w:r>
        <w:t xml:space="preserve">Definir escalas de probabilidade e impacto em linguagem simples.</w:t>
      </w:r>
    </w:p>
    <w:p>
      <w:pPr>
        <w:numPr>
          <w:ilvl w:val="0"/>
          <w:numId w:val="1013"/>
        </w:numPr>
      </w:pPr>
      <w:r>
        <w:t xml:space="preserve">Pontuação por cenário: ameaça ou falha, ativo/processo afetado, fraqueza e consequência.</w:t>
      </w:r>
    </w:p>
    <w:p>
      <w:pPr>
        <w:numPr>
          <w:ilvl w:val="0"/>
          <w:numId w:val="1013"/>
        </w:numPr>
      </w:pPr>
      <w:r>
        <w:t xml:space="preserve">Separar o risco inerente da eficácia do controlo e do risco residual.</w:t>
      </w:r>
    </w:p>
    <w:p>
      <w:pPr>
        <w:numPr>
          <w:ilvl w:val="0"/>
          <w:numId w:val="1013"/>
        </w:numPr>
      </w:pPr>
      <w:r>
        <w:t xml:space="preserve">Gravar a qualidade das provas, incerteza, suposições e falta de informação.</w:t>
      </w:r>
    </w:p>
    <w:p>
      <w:pPr>
        <w:numPr>
          <w:ilvl w:val="0"/>
          <w:numId w:val="1013"/>
        </w:numPr>
      </w:pPr>
      <w:r>
        <w:t xml:space="preserve">Permitir a escalada obrigatória para uso de dados proibidos, acesso privilegiado, dependência crítica, restrições legais ou achados graves não resolvidos.</w:t>
      </w:r>
    </w:p>
    <w:p>
      <w:pPr>
        <w:numPr>
          <w:ilvl w:val="0"/>
          <w:numId w:val="1013"/>
        </w:numPr>
      </w:pPr>
      <w:r>
        <w:t xml:space="preserve">Exigir aprovação ao nível correcto da autoridade e revisão/expiração do registo.</w:t>
      </w:r>
    </w:p>
    <w:bookmarkEnd w:id="51"/>
    <w:bookmarkStart w:id="52" w:name="tradução-e-legendagem"/>
    <w:p>
      <w:pPr>
        <w:pStyle w:val="Heading2"/>
      </w:pPr>
      <w:r>
        <w:t xml:space="preserve">Tradução e Legendagem:</w:t>
      </w:r>
    </w:p>
    <w:p>
      <w:pPr>
        <w:pStyle w:val="FirstParagraph"/>
      </w:pPr>
      <w:r>
        <w:t xml:space="preserve">• Evitar • Escolher outro produto ou manter a actividade interna • Decisão e lógica</w:t>
      </w:r>
      <w:r>
        <w:t xml:space="preserve"> </w:t>
      </w:r>
      <w:r>
        <w:t xml:space="preserve">• Reduza os dados do limite, remova o acesso do administrador, adicione MFA, corrija vulnerabilidades □ Controle, proprietário, data, teste □</w:t>
      </w:r>
      <w:r>
        <w:t xml:space="preserve"> </w:t>
      </w:r>
      <w:r>
        <w:t xml:space="preserve">• Transferência/participação; • Seguro, indenização, créditos de serviço, alocação contratual;</w:t>
      </w:r>
      <w:r>
        <w:t xml:space="preserve"> </w:t>
      </w:r>
      <w:r>
        <w:t xml:space="preserve">Aceitar O proprietário autorizado aceita o risco residual definido por um período</w:t>
      </w:r>
      <w:r>
        <w:t xml:space="preserve"> </w:t>
      </w:r>
      <w:r>
        <w:t xml:space="preserve">□ Contingência; fornecedor de backup; processo manual; exportação de dados; recuperação testada; gatilho; recursos; resultado do teste;</w:t>
      </w:r>
    </w:p>
    <w:bookmarkEnd w:id="52"/>
    <w:bookmarkStart w:id="53" w:name="X2519f35ab082352e2cb4eed06c09e4e2ee9aac7"/>
    <w:p>
      <w:pPr>
        <w:pStyle w:val="Heading2"/>
      </w:pPr>
      <w:r>
        <w:t xml:space="preserve">Aviso de gravação: ** Não é uma questão catastrófica. Relate cenários graves, lacunas de evidência e concentração separadamente da pontuação global.</w:t>
      </w:r>
    </w:p>
    <w:bookmarkEnd w:id="53"/>
    <w:bookmarkEnd w:id="54"/>
    <w:bookmarkStart w:id="57" w:name="requisitos-do-contrato"/>
    <w:p>
      <w:pPr>
        <w:pStyle w:val="Heading1"/>
      </w:pPr>
      <w:r>
        <w:t xml:space="preserve">9. Requisitos do contrato</w:t>
      </w:r>
    </w:p>
    <w:p>
      <w:pPr>
        <w:pStyle w:val="FirstParagraph"/>
      </w:pPr>
      <w:r>
        <w:rPr>
          <w:iCs/>
          <w:i/>
        </w:rPr>
        <w:t xml:space="preserve">Contratos convertem requisitos selecionados em responsabilidades executórias.</w:t>
      </w:r>
    </w:p>
    <w:bookmarkStart w:id="55" w:name="área-de-cláusula-perguntas-para-o-acordo"/>
    <w:p>
      <w:pPr>
        <w:pStyle w:val="Heading2"/>
      </w:pPr>
      <w:r>
        <w:t xml:space="preserve">Área de Cláusula** Perguntas para o acordo**</w:t>
      </w:r>
    </w:p>
    <w:p>
      <w:pPr>
        <w:pStyle w:val="FirstParagraph"/>
      </w:pPr>
      <w:r>
        <w:t xml:space="preserve">□ Programa de segurança Que framework, controles, políticas, testes, treinamento e evidência de garantia são necessários? □</w:t>
      </w:r>
      <w:r>
        <w:t xml:space="preserve"> </w:t>
      </w:r>
      <w:r>
        <w:t xml:space="preserve">Utilização dos dados Que dados podem ser usados, onde, para que finalidade, por quanto tempo, e para treinamento de modelo? □</w:t>
      </w:r>
      <w:r>
        <w:t xml:space="preserve"> </w:t>
      </w:r>
      <w:r>
        <w:t xml:space="preserve">Acesso Como são tratados os menores privilégios, MFA, loging, acesso ao suporte e rescisão? □</w:t>
      </w:r>
      <w:r>
        <w:t xml:space="preserve"> </w:t>
      </w:r>
      <w:r>
        <w:t xml:space="preserve">Vulnerabilidade Que regras de digitalização, divulgação, patch, severidade, remediação e aviso se aplicam?</w:t>
      </w:r>
      <w:r>
        <w:t xml:space="preserve"> </w:t>
      </w:r>
      <w:r>
        <w:t xml:space="preserve">Incidente Que evento desencadeia aviso, quão rápido, através de qual canal, com que atualizações e cooperação? □</w:t>
      </w:r>
      <w:r>
        <w:t xml:space="preserve"> </w:t>
      </w:r>
      <w:r>
        <w:t xml:space="preserve">□ Subprocessadores É necessária a homologação ou o aviso? Os deveres equivalentes descem? Existe uma lista atual disponível?</w:t>
      </w:r>
      <w:r>
        <w:t xml:space="preserve"> </w:t>
      </w:r>
      <w:r>
        <w:t xml:space="preserve">• Auditoria/evidências Quais relatórios, certificações, registros, direitos de teste e prova de remediação podem ser solicitados? □</w:t>
      </w:r>
      <w:r>
        <w:t xml:space="preserve"> </w:t>
      </w:r>
      <w:r>
        <w:t xml:space="preserve">• Resiliência • Que disponibilidade, recuperação, backup, testes, comunicação de crise e direitos de continuidade se aplicam?</w:t>
      </w:r>
      <w:r>
        <w:t xml:space="preserve"> </w:t>
      </w:r>
      <w:r>
        <w:t xml:space="preserve">□ Alterar □ Que propriedade, hospedagem, localização, recurso, modelo de IA ou alterações de controle requerem aviso ou aprovação?</w:t>
      </w:r>
      <w:r>
        <w:t xml:space="preserve"> </w:t>
      </w:r>
      <w:r>
        <w:t xml:space="preserve">Como são gerenciados o acesso, dados, chaves, ativos, logs, suporte de transição, retenção e exclusão? □</w:t>
      </w:r>
      <w:r>
        <w:t xml:space="preserve"> </w:t>
      </w:r>
      <w:r>
        <w:t xml:space="preserve">Como as limitações, indenização, seguro, remédios e cooperação regulatória se alinham com o risco?</w:t>
      </w:r>
    </w:p>
    <w:bookmarkEnd w:id="55"/>
    <w:bookmarkStart w:id="56" w:name="Xca7271795c789a42698df033ab460fb2fb9a839"/>
    <w:p>
      <w:pPr>
        <w:pStyle w:val="Heading2"/>
      </w:pPr>
      <w:r>
        <w:t xml:space="preserve">Revisão legal:** A linguagem da cláusula e a aplicabilidade dependem da lei, jurisdição, posição de negociação, fatos e todo o acordo. Use um advogado qualificado.</w:t>
      </w:r>
    </w:p>
    <w:p>
      <w:pPr>
        <w:numPr>
          <w:ilvl w:val="0"/>
          <w:numId w:val="1014"/>
        </w:numPr>
        <w:pStyle w:val="Compact"/>
      </w:pPr>
      <w:r>
        <w:t xml:space="preserve">Abordagem segura</w:t>
      </w:r>
    </w:p>
    <w:p>
      <w:pPr>
        <w:pStyle w:val="FirstParagraph"/>
      </w:pPr>
      <w:r>
        <w:rPr>
          <w:iCs/>
          <w:i/>
        </w:rPr>
        <w:t xml:space="preserve">A bordo transforma promessas em configurações técnicas e operacionais seguras.</w:t>
      </w:r>
    </w:p>
    <w:p>
      <w:pPr>
        <w:numPr>
          <w:ilvl w:val="0"/>
          <w:numId w:val="1015"/>
        </w:numPr>
      </w:pPr>
      <w:r>
        <w:t xml:space="preserve">Confirmar aprovação, termos assinados, decisão de risco residual, proprietários, e pré-condições abertas.</w:t>
      </w:r>
    </w:p>
    <w:p>
      <w:pPr>
        <w:numPr>
          <w:ilvl w:val="0"/>
          <w:numId w:val="1015"/>
        </w:numPr>
      </w:pPr>
      <w:r>
        <w:t xml:space="preserve">Verificar arquitetura, fluxo de dados, ambientes, locais, subprocessadores e modelo de suporte.</w:t>
      </w:r>
    </w:p>
    <w:p>
      <w:pPr>
        <w:numPr>
          <w:ilvl w:val="0"/>
          <w:numId w:val="1015"/>
        </w:numPr>
      </w:pPr>
      <w:r>
        <w:t xml:space="preserve">Criar contas nomeadas; usar SSO/MFA quando apropriado; aplicar menos privilégio, aprovação, expiração e registro.</w:t>
      </w:r>
    </w:p>
    <w:p>
      <w:pPr>
        <w:numPr>
          <w:ilvl w:val="0"/>
          <w:numId w:val="1015"/>
        </w:numPr>
      </w:pPr>
      <w:r>
        <w:t xml:space="preserve">Secure API chaves, segredos, certificados, agentes, integrações, caminhos de rede e canais administrativos.</w:t>
      </w:r>
    </w:p>
    <w:p>
      <w:pPr>
        <w:numPr>
          <w:ilvl w:val="0"/>
          <w:numId w:val="1015"/>
        </w:numPr>
      </w:pPr>
      <w:r>
        <w:t xml:space="preserve">Configurar retenção, exclusão, compartilhamento, uso de treinamento, backups, exportação, alertas e opções de cliente.</w:t>
      </w:r>
    </w:p>
    <w:p>
      <w:pPr>
        <w:numPr>
          <w:ilvl w:val="0"/>
          <w:numId w:val="1015"/>
        </w:numPr>
      </w:pPr>
      <w:r>
        <w:t xml:space="preserve">Teste segurança, privacidade, disponibilidade, suporte, contatos incidentes e requisitos de recuperação/exportação.</w:t>
      </w:r>
    </w:p>
    <w:p>
      <w:pPr>
        <w:numPr>
          <w:ilvl w:val="0"/>
          <w:numId w:val="1015"/>
        </w:numPr>
      </w:pPr>
      <w:r>
        <w:t xml:space="preserve">Registre a linha de base de configuração aceita e adicione o fornecedor aos horários de monitoramento, incidente, renovação e saída.</w:t>
      </w:r>
    </w:p>
    <w:bookmarkEnd w:id="56"/>
    <w:bookmarkEnd w:id="57"/>
    <w:bookmarkStart w:id="58" w:name="evidência-de-aceitação"/>
    <w:p>
      <w:pPr>
        <w:pStyle w:val="Heading1"/>
      </w:pPr>
      <w:r>
        <w:t xml:space="preserve"># 10.1 Evidência de aceitação</w:t>
      </w:r>
    </w:p>
    <w:p>
      <w:pPr>
        <w:numPr>
          <w:ilvl w:val="0"/>
          <w:numId w:val="1016"/>
        </w:numPr>
      </w:pPr>
      <w:r>
        <w:t xml:space="preserve">Lista de verificação aprovada e exceções não resolvidas.</w:t>
      </w:r>
    </w:p>
    <w:p>
      <w:pPr>
        <w:numPr>
          <w:ilvl w:val="0"/>
          <w:numId w:val="1016"/>
        </w:numPr>
      </w:pPr>
      <w:r>
        <w:t xml:space="preserve">Lista de acesso, papéis, MFA/SSO, caminho privilegiado, expiração e resultados de teste.</w:t>
      </w:r>
    </w:p>
    <w:p>
      <w:pPr>
        <w:numPr>
          <w:ilvl w:val="0"/>
          <w:numId w:val="1016"/>
        </w:numPr>
      </w:pPr>
      <w:r>
        <w:t xml:space="preserve">Produção de fluxo de dados e registro de arquitetura.</w:t>
      </w:r>
    </w:p>
    <w:p>
      <w:pPr>
        <w:numPr>
          <w:ilvl w:val="0"/>
          <w:numId w:val="1016"/>
        </w:numPr>
      </w:pPr>
      <w:r>
        <w:t xml:space="preserve">Exportação de configuração ou capturas de tela com data, revisor e valores sensíveis protegidos.</w:t>
      </w:r>
    </w:p>
    <w:p>
      <w:pPr>
        <w:numPr>
          <w:ilvl w:val="0"/>
          <w:numId w:val="1016"/>
        </w:numPr>
      </w:pPr>
      <w:r>
        <w:t xml:space="preserve">Monitoramento, contato incidente, backup/exportação e teste de prontidão de saída.</w:t>
      </w:r>
    </w:p>
    <w:bookmarkEnd w:id="58"/>
    <w:bookmarkStart w:id="60" w:name="monitoramento-contínuo"/>
    <w:p>
      <w:pPr>
        <w:pStyle w:val="Heading1"/>
      </w:pPr>
      <w:r>
        <w:t xml:space="preserve">11. Monitoramento contínuo</w:t>
      </w:r>
    </w:p>
    <w:p>
      <w:pPr>
        <w:pStyle w:val="FirstParagraph"/>
      </w:pPr>
      <w:r>
        <w:rPr>
          <w:iCs/>
          <w:i/>
        </w:rPr>
        <w:t xml:space="preserve">O monitoramento detecta mudanças significativas e verifica que o tratamento continua funcionando.</w:t>
      </w:r>
    </w:p>
    <w:bookmarkStart w:id="59" w:name="signal-possible-action"/>
    <w:p>
      <w:pPr>
        <w:pStyle w:val="Heading2"/>
      </w:pPr>
      <w:r>
        <w:t xml:space="preserve">*Signal</w:t>
      </w:r>
      <w:r>
        <w:rPr>
          <w:bCs/>
          <w:b/>
        </w:rPr>
        <w:t xml:space="preserve"> </w:t>
      </w:r>
      <w:r>
        <w:t xml:space="preserve">Possible action**</w:t>
      </w:r>
    </w:p>
    <w:p>
      <w:pPr>
        <w:pStyle w:val="FirstParagraph"/>
      </w:pPr>
      <w:r>
        <w:t xml:space="preserve">• Nova vulnerabilidade crítica ou exploração • Confirmar produto/versão afetado, exposição, mitigação, patch e reteste</w:t>
      </w:r>
      <w:r>
        <w:t xml:space="preserve"> </w:t>
      </w:r>
      <w:r>
        <w:t xml:space="preserve">• Incidente, falha ou falha de controle</w:t>
      </w:r>
      <w:r>
        <w:t xml:space="preserve"> </w:t>
      </w:r>
      <w:r>
        <w:t xml:space="preserve">□ SOC/ISO/alteração do teste da caneta</w:t>
      </w:r>
      <w:r>
        <w:t xml:space="preserve"> </w:t>
      </w:r>
      <w:r>
        <w:t xml:space="preserve">Novo subprocessador, proprietário, local ou fornecedor de modelos □ Avaliar alterações, direitos de contrato, caminho de dados e concentração</w:t>
      </w:r>
      <w:r>
        <w:t xml:space="preserve"> </w:t>
      </w:r>
      <w:r>
        <w:t xml:space="preserve">• Desconforto financeiro ou operacional;</w:t>
      </w:r>
      <w:r>
        <w:t xml:space="preserve"> </w:t>
      </w:r>
      <w:r>
        <w:t xml:space="preserve">□ Repetição do SLA ou falha na detecção de falhas</w:t>
      </w:r>
      <w:r>
        <w:t xml:space="preserve"> </w:t>
      </w:r>
      <w:r>
        <w:t xml:space="preserve">• Renovação ou mudança de características do material</w:t>
      </w:r>
      <w:r>
        <w:t xml:space="preserve"> </w:t>
      </w:r>
      <w:r>
        <w:t xml:space="preserve">Não há evidência ou contato defasado . Escada de acordo com a camada e contrato; não marca silenciosamente completo .</w:t>
      </w:r>
    </w:p>
    <w:p>
      <w:pPr>
        <w:pStyle w:val="BodyText"/>
      </w:pPr>
      <w:r>
        <w:t xml:space="preserve">11.1 Frequência</w:t>
      </w:r>
    </w:p>
    <w:p>
      <w:pPr>
        <w:numPr>
          <w:ilvl w:val="0"/>
          <w:numId w:val="1017"/>
        </w:numPr>
      </w:pPr>
      <w:r>
        <w:t xml:space="preserve">Use eventos baseados em nível e gatilho, não uma única programação anual universal.</w:t>
      </w:r>
    </w:p>
    <w:p>
      <w:pPr>
        <w:numPr>
          <w:ilvl w:val="0"/>
          <w:numId w:val="1017"/>
        </w:numPr>
      </w:pPr>
      <w:r>
        <w:t xml:space="preserve">Os fornecedores críticos podem necessitar de sinais contínuos, revisão regular do serviço, garantia anual, exercícios e reavaliação orientada pelo evento.</w:t>
      </w:r>
    </w:p>
    <w:p>
      <w:pPr>
        <w:numPr>
          <w:ilvl w:val="0"/>
          <w:numId w:val="1017"/>
        </w:numPr>
      </w:pPr>
      <w:r>
        <w:t xml:space="preserve">Os fornecedores de nível inferior ainda precisam de propriedade, controle sobre contratos/renovações, roteamento de incidentes e revisão orientada para mudanças.</w:t>
      </w:r>
    </w:p>
    <w:bookmarkEnd w:id="59"/>
    <w:bookmarkEnd w:id="60"/>
    <w:bookmarkStart w:id="63" w:name="achados-remediação-e-excepções"/>
    <w:p>
      <w:pPr>
        <w:pStyle w:val="Heading1"/>
      </w:pPr>
      <w:r>
        <w:t xml:space="preserve">12. Achados, Remediação e Excepções</w:t>
      </w:r>
    </w:p>
    <w:p>
      <w:pPr>
        <w:numPr>
          <w:ilvl w:val="0"/>
          <w:numId w:val="1018"/>
        </w:numPr>
      </w:pPr>
      <w:r>
        <w:t xml:space="preserve">Um achado é uma lacuna documentada entre critérios e condição observada.*</w:t>
      </w:r>
    </w:p>
    <w:p>
      <w:pPr>
        <w:numPr>
          <w:ilvl w:val="0"/>
          <w:numId w:val="1018"/>
        </w:numPr>
        <w:pStyle w:val="Heading2"/>
      </w:pPr>
      <w:bookmarkStart w:id="61" w:name="elemento-de-localização-conteúdo"/>
      <w:r>
        <w:rPr>
          <w:bCs/>
          <w:b/>
        </w:rPr>
        <w:t xml:space="preserve">Elemento de localização</w:t>
      </w:r>
      <w:r>
        <w:t xml:space="preserve"> </w:t>
      </w:r>
      <w:r>
        <w:rPr>
          <w:bCs/>
          <w:b/>
        </w:rPr>
        <w:t xml:space="preserve">Conteúdo</w:t>
      </w:r>
      <w:bookmarkEnd w:id="61"/>
    </w:p>
    <w:p>
      <w:pPr>
        <w:numPr>
          <w:ilvl w:val="0"/>
          <w:numId w:val="1000"/>
        </w:numPr>
      </w:pPr>
      <w:r>
        <w:t xml:space="preserve">□ Critérios □ Requisitos exatos, termo do contrato, política ou padrão aprovado</w:t>
      </w:r>
      <w:r>
        <w:t xml:space="preserve"> </w:t>
      </w:r>
      <w:r>
        <w:t xml:space="preserve">Condição O que as evidências mostraram, incluindo população afetada e data</w:t>
      </w:r>
      <w:r>
        <w:t xml:space="preserve"> </w:t>
      </w:r>
      <w:r>
        <w:t xml:space="preserve">□ Cenário de risco e impacto das empresas</w:t>
      </w:r>
      <w:r>
        <w:t xml:space="preserve"> </w:t>
      </w:r>
      <w:r>
        <w:t xml:space="preserve">Causa Por que o gap ocorreu; evite palpites não suportados</w:t>
      </w:r>
      <w:r>
        <w:t xml:space="preserve"> </w:t>
      </w:r>
      <w:r>
        <w:t xml:space="preserve">• Acção • Controlo específico da correcção ou compensação</w:t>
      </w:r>
      <w:r>
        <w:t xml:space="preserve"> </w:t>
      </w:r>
      <w:r>
        <w:t xml:space="preserve">□ Proprietário / data de vencimento</w:t>
      </w:r>
      <w:r>
        <w:t xml:space="preserve"> </w:t>
      </w:r>
      <w:r>
        <w:t xml:space="preserve">• Protecção provisória • Medida de curto prazo enquanto se aguarda uma correcção completa</w:t>
      </w:r>
      <w:r>
        <w:t xml:space="preserve"> </w:t>
      </w:r>
      <w:r>
        <w:t xml:space="preserve">Método, evidência, resultado, revisor e data de encerramento</w:t>
      </w:r>
    </w:p>
    <w:bookmarkStart w:id="62" w:name="disciplina-de-exceção"/>
    <w:p>
      <w:pPr>
        <w:pStyle w:val="Heading2"/>
      </w:pPr>
      <w:r>
        <w:t xml:space="preserve">12.1 Disciplina de exceção</w:t>
      </w:r>
    </w:p>
    <w:p>
      <w:pPr>
        <w:pStyle w:val="FirstParagraph"/>
      </w:pPr>
      <w:r>
        <w:t xml:space="preserve">Defina escopo, razão, ativos/dados/processos afetados, risco e alternativas.</w:t>
      </w:r>
    </w:p>
    <w:p>
      <w:pPr>
        <w:pStyle w:val="BodyText"/>
      </w:pPr>
      <w:r>
        <w:t xml:space="preserve">Requer a aceitação autorizada e uma data de validade.</w:t>
      </w:r>
    </w:p>
    <w:p>
      <w:pPr>
        <w:pStyle w:val="BodyText"/>
      </w:pPr>
      <w:r>
        <w:t xml:space="preserve">Adicione condições, compensando controles, monitoramento e gatilhos para revisão anterior.</w:t>
      </w:r>
    </w:p>
    <w:p>
      <w:pPr>
        <w:pStyle w:val="BodyText"/>
      </w:pPr>
      <w:r>
        <w:t xml:space="preserve">Renovação da via separadamente da reparação; uma exceção não é a conformidade permanente.</w:t>
      </w:r>
    </w:p>
    <w:p>
      <w:pPr>
        <w:pStyle w:val="BodyText"/>
      </w:pPr>
      <w:r>
        <w:t xml:space="preserve">Fecha apenas quando a evidência prova a correção ou o relacionamento afetado termina.</w:t>
      </w:r>
    </w:p>
    <w:bookmarkEnd w:id="62"/>
    <w:bookmarkEnd w:id="63"/>
    <w:bookmarkStart w:id="67" w:name="incidentes-de-fornecedor-e-notificação"/>
    <w:p>
      <w:pPr>
        <w:pStyle w:val="Heading1"/>
      </w:pPr>
      <w:r>
        <w:t xml:space="preserve">13. Incidentes de Fornecedor e Notificação</w:t>
      </w:r>
    </w:p>
    <w:p>
      <w:pPr>
        <w:numPr>
          <w:ilvl w:val="0"/>
          <w:numId w:val="1019"/>
        </w:numPr>
        <w:pStyle w:val="Compact"/>
      </w:pPr>
      <w:r>
        <w:t xml:space="preserve">Incidentes de fornecedores exigem fatos compartilhados, papéis, relógios, canais e decisões de recuperação.*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Cláusulas contratuais só ajudam quando contatos e decisões são praticados." title="" id="65" name="Picture"/>
            <a:graphic>
              <a:graphicData uri="http://schemas.openxmlformats.org/drawingml/2006/picture">
                <pic:pic>
                  <pic:nvPicPr>
                    <pic:cNvPr descr="media/image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Cláusulas contratuais só ajudam quando contatos e decisões são praticados.</w:t>
      </w:r>
    </w:p>
    <w:p>
      <w:pPr>
        <w:pStyle w:val="BodyText"/>
      </w:pPr>
      <w:r>
        <w:t xml:space="preserve">Figura 5. Coordenação incidente do fornecedor</w:t>
      </w:r>
    </w:p>
    <w:bookmarkEnd w:id="67"/>
    <w:bookmarkStart w:id="69" w:name="preparar-antes-de-um-incidente"/>
    <w:p>
      <w:pPr>
        <w:pStyle w:val="Heading1"/>
      </w:pPr>
      <w:r>
        <w:t xml:space="preserve"># 13.1 Preparar antes de um incidente</w:t>
      </w:r>
    </w:p>
    <w:p>
      <w:pPr>
        <w:numPr>
          <w:ilvl w:val="0"/>
          <w:numId w:val="1020"/>
        </w:numPr>
      </w:pPr>
      <w:r>
        <w:t xml:space="preserve">Defina eventos relatáveis e tempo de notificação, método, destinatários, fatos necessários, frequência de atualização e escalada.</w:t>
      </w:r>
    </w:p>
    <w:p>
      <w:pPr>
        <w:numPr>
          <w:ilvl w:val="0"/>
          <w:numId w:val="1020"/>
        </w:numPr>
      </w:pPr>
      <w:r>
        <w:t xml:space="preserve">Mapa de acesso ao fornecedor, dados, integrações, ativos, quartas partes, e dependências de negócios.</w:t>
      </w:r>
    </w:p>
    <w:p>
      <w:pPr>
        <w:numPr>
          <w:ilvl w:val="0"/>
          <w:numId w:val="1020"/>
        </w:numPr>
      </w:pPr>
      <w:r>
        <w:t xml:space="preserve">Preaprove canais de comunicação seguros e contatos alternativos.</w:t>
      </w:r>
    </w:p>
    <w:p>
      <w:pPr>
        <w:numPr>
          <w:ilvl w:val="0"/>
          <w:numId w:val="1020"/>
        </w:numPr>
      </w:pPr>
      <w:r>
        <w:t xml:space="preserve">Esclareça a preservação de evidências, o acesso forense, o apoio do regulador/cliente, declarações públicas, contenção, recuperação e responsabilidades de custos.</w:t>
      </w:r>
    </w:p>
    <w:p>
      <w:pPr>
        <w:numPr>
          <w:ilvl w:val="0"/>
          <w:numId w:val="1020"/>
        </w:numPr>
      </w:pPr>
      <w:r>
        <w:t xml:space="preserve">Exercite uma falha realística no fornecedor, violação, compromisso de software, compromisso de identidade e cenários de seleção de dados.</w:t>
      </w:r>
    </w:p>
    <w:p>
      <w:pPr>
        <w:numPr>
          <w:ilvl w:val="0"/>
          <w:numId w:val="1021"/>
        </w:numPr>
        <w:pStyle w:val="Heading2"/>
      </w:pPr>
      <w:bookmarkStart w:id="68" w:name="X945e943b0fe098cef9963a72368a1f25cc8ad95"/>
      <w:r>
        <w:t xml:space="preserve">Primeiras perguntas** Por que elas importam**</w:t>
      </w:r>
      <w:bookmarkEnd w:id="68"/>
    </w:p>
    <w:p>
      <w:pPr>
        <w:numPr>
          <w:ilvl w:val="0"/>
          <w:numId w:val="1000"/>
        </w:numPr>
        <w:pStyle w:val="Compact"/>
      </w:pPr>
      <w:r>
        <w:t xml:space="preserve">O que aconteceu e quando? □ Estabelecer prazos e obrigações de notificação</w:t>
      </w:r>
      <w:r>
        <w:t xml:space="preserve"> </w:t>
      </w:r>
      <w:r>
        <w:t xml:space="preserve">□ Que produto, locatário, região, versão, contas, dados e subprocessadores? □ Determinar o âmbito de aplicação</w:t>
      </w:r>
      <w:r>
        <w:t xml:space="preserve"> </w:t>
      </w:r>
      <w:r>
        <w:t xml:space="preserve">O evento está contido? O que continua ativo? • Guia de decisões de proteção</w:t>
      </w:r>
      <w:r>
        <w:t xml:space="preserve"> </w:t>
      </w:r>
      <w:r>
        <w:t xml:space="preserve">□ Que evidência apóia a conclusão atual? □ Facto separado da suposição</w:t>
      </w:r>
      <w:r>
        <w:t xml:space="preserve"> </w:t>
      </w:r>
      <w:r>
        <w:t xml:space="preserve">□ Que ações do cliente são necessárias? Chaves de coordenadas, acesso, patches, configurações e comunicação</w:t>
      </w:r>
      <w:r>
        <w:t xml:space="preserve"> </w:t>
      </w:r>
      <w:r>
        <w:t xml:space="preserve">□ Quando é a próxima atualização? Manter um ritmo de operação confiável</w:t>
      </w:r>
    </w:p>
    <w:bookmarkEnd w:id="69"/>
    <w:bookmarkStart w:id="73" w:name="Xba95c8e7224d71e52087a6db6843f9c0e56f9f4"/>
    <w:p>
      <w:pPr>
        <w:pStyle w:val="Heading1"/>
      </w:pPr>
      <w:r>
        <w:t xml:space="preserve">14. Quartas Partes, Concentração e Risco Sistémico</w:t>
      </w:r>
    </w:p>
    <w:p>
      <w:pPr>
        <w:pStyle w:val="FirstParagraph"/>
      </w:pPr>
      <w:r>
        <w:rPr>
          <w:iCs/>
          <w:i/>
        </w:rPr>
        <w:t xml:space="preserve">Quarto partido e risco de concentração pode transformar muitos registros de fornecedores separados em uma falha compartilhada.</w:t>
      </w:r>
    </w:p>
    <w:p>
      <w:pPr>
        <w:pStyle w:val="CaptionedFigure"/>
      </w:pPr>
      <w:r>
        <w:drawing>
          <wp:inline>
            <wp:extent cx="5334000" cy="3751462"/>
            <wp:effectExtent b="0" l="0" r="0" t="0"/>
            <wp:docPr descr="Mapeie dependências materiais entre fornecedores, não apenas dentro de cada questionário." title="" id="71" name="Picture"/>
            <a:graphic>
              <a:graphicData uri="http://schemas.openxmlformats.org/drawingml/2006/picture">
                <pic:pic>
                  <pic:nvPicPr>
                    <pic:cNvPr descr="media/image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1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Mapeie dependências materiais entre fornecedores, não apenas dentro de cada questionário.</w:t>
      </w:r>
    </w:p>
    <w:p>
      <w:pPr>
        <w:pStyle w:val="BodyText"/>
      </w:pPr>
      <w:r>
        <w:t xml:space="preserve">Figura 6. Concentração oculta da quarta parte</w:t>
      </w:r>
    </w:p>
    <w:bookmarkEnd w:id="73"/>
    <w:bookmarkStart w:id="74" w:name="o-que-fazer-no-mapa"/>
    <w:p>
      <w:pPr>
        <w:pStyle w:val="Heading1"/>
      </w:pPr>
      <w:r>
        <w:t xml:space="preserve"># 14,1 O que fazer no mapa</w:t>
      </w:r>
    </w:p>
    <w:p>
      <w:pPr>
        <w:numPr>
          <w:ilvl w:val="0"/>
          <w:numId w:val="1022"/>
        </w:numPr>
      </w:pPr>
      <w:r>
        <w:t xml:space="preserve">Regiões em nuvem, serviços de identidade, DNS/CDN, trilhos de pagamento, telecomunicações, autoridades de certificados, repositórios de códigos, registros de pacotes, fornecedores de modelos, provedores de dados e operações gerenciadas.</w:t>
      </w:r>
    </w:p>
    <w:p>
      <w:pPr>
        <w:numPr>
          <w:ilvl w:val="0"/>
          <w:numId w:val="1022"/>
        </w:numPr>
      </w:pPr>
      <w:r>
        <w:t xml:space="preserve">Donos comuns, geografias, instalações, tecnologias, componentes de software e canais de suporte.</w:t>
      </w:r>
    </w:p>
    <w:p>
      <w:pPr>
        <w:numPr>
          <w:ilvl w:val="0"/>
          <w:numId w:val="1022"/>
        </w:numPr>
      </w:pPr>
      <w:r>
        <w:t xml:space="preserve">Dependências do fornecedor que não podem ser substituídas dentro do tempo de recuperação necessário.</w:t>
      </w:r>
    </w:p>
    <w:p>
      <w:pPr>
        <w:numPr>
          <w:ilvl w:val="0"/>
          <w:numId w:val="1022"/>
        </w:numPr>
      </w:pPr>
      <w:r>
        <w:t xml:space="preserve">Visibilidade contratual, controles de fluxo-down, aviso de incidente, direitos de prova e apoio de saída para as quartas partes materiais.</w:t>
      </w:r>
    </w:p>
    <w:bookmarkEnd w:id="74"/>
    <w:bookmarkStart w:id="76" w:name="concentração-de-tratamento"/>
    <w:p>
      <w:pPr>
        <w:pStyle w:val="Heading1"/>
      </w:pPr>
      <w:r>
        <w:t xml:space="preserve"># 14,2 Concentração de tratamento</w:t>
      </w:r>
    </w:p>
    <w:p>
      <w:pPr>
        <w:numPr>
          <w:ilvl w:val="0"/>
          <w:numId w:val="1023"/>
        </w:numPr>
      </w:pPr>
      <w:r>
        <w:t xml:space="preserve">Use arquitetura diversificada apenas quando reduz falha correlacionada e pode ser operado com segurança.</w:t>
      </w:r>
    </w:p>
    <w:p>
      <w:pPr>
        <w:numPr>
          <w:ilvl w:val="0"/>
          <w:numId w:val="1023"/>
        </w:numPr>
      </w:pPr>
      <w:r>
        <w:t xml:space="preserve">Construir soluções manuais testadas, exportações de dados, caminhos de identidade/recuperação alternativos e planos de substituição.</w:t>
      </w:r>
    </w:p>
    <w:p>
      <w:pPr>
        <w:numPr>
          <w:ilvl w:val="0"/>
          <w:numId w:val="1023"/>
        </w:numPr>
      </w:pPr>
      <w:r>
        <w:t xml:space="preserve">Definir limites de exposição e aumento executivo para uma concentração inevitável.</w:t>
      </w:r>
    </w:p>
    <w:p>
      <w:pPr>
        <w:numPr>
          <w:ilvl w:val="0"/>
          <w:numId w:val="1023"/>
        </w:numPr>
      </w:pPr>
      <w:r>
        <w:t xml:space="preserve">Exercício de ruptura simultânea em vários fornecedores.</w:t>
      </w:r>
    </w:p>
    <w:p>
      <w:pPr>
        <w:numPr>
          <w:ilvl w:val="0"/>
          <w:numId w:val="1024"/>
        </w:numPr>
        <w:pStyle w:val="Compact"/>
      </w:pPr>
      <w:r>
        <w:t xml:space="preserve">Cloud e SaaS Vendedores</w:t>
      </w:r>
    </w:p>
    <w:p>
      <w:pPr>
        <w:numPr>
          <w:ilvl w:val="0"/>
          <w:numId w:val="1025"/>
        </w:numPr>
        <w:pStyle w:val="Compact"/>
      </w:pPr>
      <w:r>
        <w:t xml:space="preserve">O risco de nuvem e SaaS depende do modelo de responsabilidade compartilhada e da configuração da organização.*</w:t>
      </w:r>
    </w:p>
    <w:bookmarkStart w:id="75" w:name="área-área-área-área"/>
    <w:p>
      <w:pPr>
        <w:pStyle w:val="Heading2"/>
      </w:pPr>
      <w:r>
        <w:t xml:space="preserve">Área** Área** Área** Área</w:t>
      </w:r>
    </w:p>
    <w:p>
      <w:pPr>
        <w:pStyle w:val="FirstParagraph"/>
      </w:pPr>
      <w:r>
        <w:t xml:space="preserve">□ Segurança de inquilinos □ SSO, MFA, funções, contas de administrador, sessões, acesso de suporte, loging</w:t>
      </w:r>
      <w:r>
        <w:t xml:space="preserve"> </w:t>
      </w:r>
      <w:r>
        <w:t xml:space="preserve">□ Dados □ Categorias, arrendamento, criptografia, chaves, regiões, réplicas, backups, retenção, exclusão</w:t>
      </w:r>
      <w:r>
        <w:t xml:space="preserve"> </w:t>
      </w:r>
      <w:r>
        <w:t xml:space="preserve">Integração APIs, tokens, webhooks, agentes, redes, segredos, escopos, limites de taxa</w:t>
      </w:r>
      <w:r>
        <w:t xml:space="preserve"> </w:t>
      </w:r>
      <w:r>
        <w:t xml:space="preserve">Asseguramento de serviços e locais de nuvem exatos dentro do escopo do relatório/certificado</w:t>
      </w:r>
      <w:r>
        <w:t xml:space="preserve"> </w:t>
      </w:r>
      <w:r>
        <w:t xml:space="preserve">Operações Vulnerabilidade, mudança, monitoramento, incidente, capacidade, disponibilidade, recuperação</w:t>
      </w:r>
      <w:r>
        <w:t xml:space="preserve"> </w:t>
      </w:r>
      <w:r>
        <w:t xml:space="preserve">□ Funções do cliente □ Configuração, identidades, endpoints, classificação de dados, logs, backups, resposta</w:t>
      </w:r>
      <w:r>
        <w:t xml:space="preserve"> </w:t>
      </w:r>
      <w:r>
        <w:t xml:space="preserve">□ Sair □ Exportar formato, completude, timing, custo, dependências, exclusão segura, continuidade</w:t>
      </w:r>
    </w:p>
    <w:p>
      <w:pPr>
        <w:pStyle w:val="BodyText"/>
      </w:pPr>
      <w:r>
        <w:t xml:space="preserve">** Responsabilidade compartilhada:** Um provedor seguro não cria automaticamente um inquilino seguro. Teste a configuração do cliente, acesso, integrações, escolhas de dados e monitoramento. □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bookmarkEnd w:id="75"/>
    <w:bookmarkEnd w:id="76"/>
    <w:bookmarkStart w:id="80" w:name="software-e-correntes-de-fonte-aberta"/>
    <w:p>
      <w:pPr>
        <w:pStyle w:val="Heading1"/>
      </w:pPr>
      <w:r>
        <w:t xml:space="preserve">16. Software e correntes de fonte aberta</w:t>
      </w:r>
    </w:p>
    <w:p>
      <w:pPr>
        <w:numPr>
          <w:ilvl w:val="0"/>
          <w:numId w:val="1026"/>
        </w:numPr>
        <w:pStyle w:val="Compact"/>
      </w:pPr>
      <w:r>
        <w:t xml:space="preserve">Risco de software inclui práticas de fornecedor e cada componente, passo de construção, canal de atualização e dependência.*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Conecte o SBOM e as evidências de segurança à versão exata lançada e operada." title="" id="78" name="Picture"/>
            <a:graphic>
              <a:graphicData uri="http://schemas.openxmlformats.org/drawingml/2006/picture">
                <pic:pic>
                  <pic:nvPicPr>
                    <pic:cNvPr descr="media/image7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Conecte o SBOM e as evidências de segurança à versão exata lançada e operada.</w:t>
      </w:r>
    </w:p>
    <w:p>
      <w:pPr>
        <w:pStyle w:val="BodyText"/>
      </w:pPr>
      <w:r>
        <w:t xml:space="preserve">Figura 7. Fluxo de evidência da cadeia de fornecimento de software</w:t>
      </w:r>
    </w:p>
    <w:bookmarkEnd w:id="80"/>
    <w:bookmarkStart w:id="86" w:name="verificação-de-fornecedores-e-produtos"/>
    <w:p>
      <w:pPr>
        <w:pStyle w:val="Heading1"/>
      </w:pPr>
      <w:r>
        <w:t xml:space="preserve"># 16.1 Verificação de fornecedores e produtos</w:t>
      </w:r>
    </w:p>
    <w:p>
      <w:pPr>
        <w:numPr>
          <w:ilvl w:val="0"/>
          <w:numId w:val="1027"/>
        </w:numPr>
      </w:pPr>
      <w:r>
        <w:t xml:space="preserve">Governança segura de desenvolvimento, modelagem de ameaças, revisão de código, testes, isolamento de construção, segredos, acesso, proveniência, assinatura, aprovação de lançamento e controle de mudança.</w:t>
      </w:r>
    </w:p>
    <w:p>
      <w:pPr>
        <w:numPr>
          <w:ilvl w:val="0"/>
          <w:numId w:val="1027"/>
        </w:numPr>
      </w:pPr>
      <w:r>
        <w:t xml:space="preserve">Canal de divulgação de vulnerabilidade, divulgação coordenada, método de gravidade, metas de patch, versões suportadas, aviso de fim de vida e aconselhamentos de clientes.</w:t>
      </w:r>
    </w:p>
    <w:p>
      <w:pPr>
        <w:numPr>
          <w:ilvl w:val="0"/>
          <w:numId w:val="1027"/>
        </w:numPr>
      </w:pPr>
      <w:r>
        <w:t xml:space="preserve">Formato SBOM, versão, completude, componentes diretos/transitivos, licenças, hashes e relação com o artefato enviado.</w:t>
      </w:r>
    </w:p>
    <w:p>
      <w:pPr>
        <w:numPr>
          <w:ilvl w:val="0"/>
          <w:numId w:val="1027"/>
        </w:numPr>
      </w:pPr>
      <w:r>
        <w:t xml:space="preserve">Atualizar autenticidade, retrocesso, telemetria, administração remota, configurações padrão e falha segura.</w:t>
      </w:r>
    </w:p>
    <w:p>
      <w:pPr>
        <w:numPr>
          <w:ilvl w:val="0"/>
          <w:numId w:val="1027"/>
        </w:numPr>
      </w:pPr>
      <w:r>
        <w:t xml:space="preserve">Manutenção de código aberto, confiança do contribuinte, transferência de propriedade, processo de liberação, fixação de dependência e plano de componentes abandonados.</w:t>
      </w:r>
    </w:p>
    <w:bookmarkStart w:id="84" w:name="limites-da-sbom"/>
    <w:p>
      <w:pPr>
        <w:pStyle w:val="Heading2"/>
      </w:pPr>
      <w:r>
        <w:t xml:space="preserve">16.2 Limites da SBOM</w:t>
      </w:r>
    </w:p>
    <w:p>
      <w:pPr>
        <w:numPr>
          <w:ilvl w:val="0"/>
          <w:numId w:val="1028"/>
        </w:numPr>
      </w:pPr>
      <w:r>
        <w:t xml:space="preserve">Um SBOM é um inventário, não uma prova de que o software é seguro.</w:t>
      </w:r>
    </w:p>
    <w:p>
      <w:pPr>
        <w:numPr>
          <w:ilvl w:val="0"/>
          <w:numId w:val="1028"/>
        </w:numPr>
      </w:pPr>
      <w:r>
        <w:t xml:space="preserve">Uma correspondência de vulnerabilidade requer aplicabilidade e análise de exposição.</w:t>
      </w:r>
    </w:p>
    <w:p>
      <w:pPr>
        <w:numPr>
          <w:ilvl w:val="0"/>
          <w:numId w:val="1028"/>
        </w:numPr>
      </w:pPr>
      <w:r>
        <w:t xml:space="preserve">Um SBOM pode omitir dependências de tempo de execução, serviço, firmware, compilação ou carregadas dinamicamente.</w:t>
      </w:r>
    </w:p>
    <w:p>
      <w:pPr>
        <w:numPr>
          <w:ilvl w:val="0"/>
          <w:numId w:val="1028"/>
        </w:numPr>
      </w:pPr>
      <w:r>
        <w:t xml:space="preserve">Proteger SBOMs quando revelam arquitetura sensível; mantê-los atuais para cada liberação de material.</w:t>
      </w:r>
    </w:p>
    <w:p>
      <w:pPr>
        <w:numPr>
          <w:ilvl w:val="0"/>
          <w:numId w:val="1029"/>
        </w:numPr>
        <w:pStyle w:val="Compact"/>
      </w:pPr>
      <w:r>
        <w:t xml:space="preserve">Vendedores de Inteligência Artificial</w:t>
      </w:r>
    </w:p>
    <w:p>
      <w:pPr>
        <w:pStyle w:val="FirstParagraph"/>
      </w:pPr>
      <w:r>
        <w:rPr>
          <w:iCs/>
          <w:i/>
        </w:rPr>
        <w:t xml:space="preserve">Fornecedores de IA adicionam modelos, treinamento e dados rápidos, saídas incertas e cadeias de provedores ocultos.</w:t>
      </w:r>
    </w:p>
    <w:p>
      <w:pPr>
        <w:pStyle w:val="CaptionedFigure"/>
      </w:pPr>
      <w:r>
        <w:drawing>
          <wp:inline>
            <wp:extent cx="5334000" cy="2893070"/>
            <wp:effectExtent b="0" l="0" r="0" t="0"/>
            <wp:docPr descr="Comece pelo caso de uso permitido, dados, impacto, cadeia do modelo, avaliação e controle humano." title="" id="82" name="Picture"/>
            <a:graphic>
              <a:graphicData uri="http://schemas.openxmlformats.org/drawingml/2006/picture">
                <pic:pic>
                  <pic:nvPicPr>
                    <pic:cNvPr descr="media/image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3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Comece pelo caso de uso permitido, dados, impacto, cadeia do modelo, avaliação e controle humano.</w:t>
      </w:r>
    </w:p>
    <w:p>
      <w:pPr>
        <w:pStyle w:val="BodyText"/>
      </w:pPr>
      <w:r>
        <w:t xml:space="preserve">Figura 8. Fluxo de trabalho de risco do fornecedor de IA</w:t>
      </w:r>
    </w:p>
    <w:bookmarkEnd w:id="84"/>
    <w:bookmarkStart w:id="85" w:name="área-perguntas"/>
    <w:p>
      <w:pPr>
        <w:pStyle w:val="Heading2"/>
      </w:pPr>
      <w:r>
        <w:t xml:space="preserve">Área** Perguntas**</w:t>
      </w:r>
    </w:p>
    <w:p>
      <w:pPr>
        <w:pStyle w:val="FirstParagraph"/>
      </w:pPr>
      <w:r>
        <w:t xml:space="preserve">Caso de uso / impacto Que decisão ou tarefa é apoiada? Quem pode ser prejudicado? A revisão humana é significativa?</w:t>
      </w:r>
      <w:r>
        <w:t xml:space="preserve"> </w:t>
      </w:r>
      <w:r>
        <w:t xml:space="preserve">Os dados são enviados, uploads, saídas, feedback e logs retidos, compartilhados ou usados para treinamento? □</w:t>
      </w:r>
      <w:r>
        <w:t xml:space="preserve"> </w:t>
      </w:r>
      <w:r>
        <w:t xml:space="preserve">□ Modele a cadeia Qual modelo, hospedagem, plugins, agentes, fontes de dados e subprocessadores estão envolvidos?</w:t>
      </w:r>
      <w:r>
        <w:t xml:space="preserve"> </w:t>
      </w:r>
      <w:r>
        <w:t xml:space="preserve">Como são manuseados o isolamento, acesso, segredos, permissões de ferramentas, injeção rápida, abuso e monitoramento? □</w:t>
      </w:r>
      <w:r>
        <w:t xml:space="preserve"> </w:t>
      </w:r>
      <w:r>
        <w:t xml:space="preserve">Privacidade / IP Que base legal, propriedade, licenciamento, exclusão, localização, transferência e direitos se aplicam?</w:t>
      </w:r>
      <w:r>
        <w:t xml:space="preserve"> </w:t>
      </w:r>
      <w:r>
        <w:t xml:space="preserve">Como são avaliadas a precisão, viés, robustez, explicabilidade, deriva e saída insegura para este uso?</w:t>
      </w:r>
      <w:r>
        <w:t xml:space="preserve"> </w:t>
      </w:r>
      <w:r>
        <w:t xml:space="preserve">Alteração Que modelo, política, recurso, provedor ou mudanças de treinamento desencadeiam aviso e reavaliação? □</w:t>
      </w:r>
      <w:r>
        <w:t xml:space="preserve"> </w:t>
      </w:r>
      <w:r>
        <w:t xml:space="preserve">Incidente Como são tratadas a saída, vazamento, compromisso do modelo, abuso, falha e evidência prejudiciais? □</w:t>
      </w:r>
      <w:r>
        <w:t xml:space="preserve"> </w:t>
      </w:r>
      <w:r>
        <w:t xml:space="preserve">□ Sair □ Pode prompts, arquivos, índices, ajustes finos, logs e dados derivados serem exportados ou excluídos? □</w:t>
      </w:r>
    </w:p>
    <w:bookmarkEnd w:id="85"/>
    <w:bookmarkEnd w:id="86"/>
    <w:bookmarkStart w:id="87" w:name="privacidade-e-proteção-de-dados"/>
    <w:p>
      <w:pPr>
        <w:pStyle w:val="Heading1"/>
      </w:pPr>
      <w:r>
        <w:t xml:space="preserve">18. Privacidade e Proteção de Dados</w:t>
      </w:r>
    </w:p>
    <w:p>
      <w:pPr>
        <w:pStyle w:val="FirstParagraph"/>
      </w:pPr>
      <w:r>
        <w:rPr>
          <w:iCs/>
          <w:i/>
        </w:rPr>
        <w:t xml:space="preserve">A revisão da privacidade segue os dados através de toda a cadeia de fornecedores.</w:t>
      </w:r>
    </w:p>
    <w:p>
      <w:pPr>
        <w:numPr>
          <w:ilvl w:val="0"/>
          <w:numId w:val="1030"/>
        </w:numPr>
      </w:pPr>
      <w:r>
        <w:t xml:space="preserve">Identificar pessoas, categorias de dados, sensibilidade, fonte, finalidade, base jurídica e usos proibidos.</w:t>
      </w:r>
    </w:p>
    <w:p>
      <w:pPr>
        <w:numPr>
          <w:ilvl w:val="0"/>
          <w:numId w:val="1030"/>
        </w:numPr>
      </w:pPr>
      <w:r>
        <w:t xml:space="preserve">Minimize campos, registros, usuários, locais, retenção e acesso antes da transferência.</w:t>
      </w:r>
    </w:p>
    <w:p>
      <w:pPr>
        <w:numPr>
          <w:ilvl w:val="0"/>
          <w:numId w:val="1030"/>
        </w:numPr>
      </w:pPr>
      <w:r>
        <w:t xml:space="preserve">Controlador/processador de mapas ou papéis equivalentes e cada subprocessador de material.</w:t>
      </w:r>
    </w:p>
    <w:p>
      <w:pPr>
        <w:numPr>
          <w:ilvl w:val="0"/>
          <w:numId w:val="1030"/>
        </w:numPr>
      </w:pPr>
      <w:r>
        <w:t xml:space="preserve">Avaliar avisos, consentimento ou outra base legal, direitos individuais, pedidos governamentais e requisitos de transferência transfronteiriça.</w:t>
      </w:r>
    </w:p>
    <w:p>
      <w:pPr>
        <w:numPr>
          <w:ilvl w:val="0"/>
          <w:numId w:val="1030"/>
        </w:numPr>
      </w:pPr>
      <w:r>
        <w:t xml:space="preserve">Exigir segurança, confidencialidade, cooperação de violação, auditoria/evidência, retorno/deleção e condições de fluxo-down.</w:t>
      </w:r>
    </w:p>
    <w:p>
      <w:pPr>
        <w:numPr>
          <w:ilvl w:val="0"/>
          <w:numId w:val="1030"/>
        </w:numPr>
      </w:pPr>
      <w:r>
        <w:t xml:space="preserve">Teste o acesso, exportação, correção, exclusão, retenção, comportamento de backup e configuração do inquilino.</w:t>
      </w:r>
    </w:p>
    <w:p>
      <w:pPr>
        <w:numPr>
          <w:ilvl w:val="0"/>
          <w:numId w:val="1030"/>
        </w:numPr>
      </w:pPr>
      <w:r>
        <w:t xml:space="preserve">Reavalia quando a finalidade, dados, treinamento de modelo, localização, subprocessador, propriedade ou alterações de recursos.</w:t>
      </w:r>
    </w:p>
    <w:p>
      <w:pPr>
        <w:pStyle w:val="FirstParagraph"/>
      </w:pPr>
      <w:r>
        <w:t xml:space="preserve">Minimização de dados:** Os dados mais confidenciais são frequentemente os dados que um fornecedor nunca recebe. Reduza a coleta e o acesso antes de depender de controles complicados.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□———————————————————————————————————————————————————————————————————————————-</w:t>
      </w:r>
    </w:p>
    <w:bookmarkEnd w:id="87"/>
    <w:bookmarkStart w:id="89" w:name="resiliência-continuidade-e-saída"/>
    <w:p>
      <w:pPr>
        <w:pStyle w:val="Heading1"/>
      </w:pPr>
      <w:r>
        <w:t xml:space="preserve">19. Resiliência, Continuidade e Saída</w:t>
      </w:r>
    </w:p>
    <w:p>
      <w:pPr>
        <w:numPr>
          <w:ilvl w:val="0"/>
          <w:numId w:val="1031"/>
        </w:numPr>
        <w:pStyle w:val="Compact"/>
      </w:pPr>
      <w:r>
        <w:t xml:space="preserve">Resiliência significa entregar resultados críticos, apesar da interrupção do fornecedor e deixando com segurança quando necessário.*</w:t>
      </w:r>
    </w:p>
    <w:bookmarkStart w:id="88" w:name="capacidade-prova-de-teste"/>
    <w:p>
      <w:pPr>
        <w:pStyle w:val="Heading2"/>
      </w:pPr>
      <w:r>
        <w:t xml:space="preserve">Capacidade** Prova de teste**</w:t>
      </w:r>
    </w:p>
    <w:p>
      <w:pPr>
        <w:pStyle w:val="FirstParagraph"/>
      </w:pPr>
      <w:r>
        <w:t xml:space="preserve">□ Impacto empresarial □ Serviço crítico, rompimento máximo tolerável, RTO/RPO, dependências</w:t>
      </w:r>
      <w:r>
        <w:t xml:space="preserve"> </w:t>
      </w:r>
      <w:r>
        <w:t xml:space="preserve">* Backup/recuperação * Escopo, isolamento, restaurar teste, tempo observado, perda de dados, falhas, reteste *</w:t>
      </w:r>
      <w:r>
        <w:t xml:space="preserve"> </w:t>
      </w:r>
      <w:r>
        <w:t xml:space="preserve">• Continuidade • Pessoas, instalações, tecnologia, comunicações, soluções manuais, exercícios</w:t>
      </w:r>
      <w:r>
        <w:t xml:space="preserve"> </w:t>
      </w:r>
      <w:r>
        <w:t xml:space="preserve">• Capacidade/disponibilidade • Arquitetura, regiões, limites, monitoramento, incidentes, desempenho SLA</w:t>
      </w:r>
      <w:r>
        <w:t xml:space="preserve"> </w:t>
      </w:r>
      <w:r>
        <w:t xml:space="preserve">□ Plano de saída, gatilhos, direitos de decisão, alternativa, exportação de dados, remoção de acesso, sequência de migração</w:t>
      </w:r>
      <w:r>
        <w:t xml:space="preserve"> </w:t>
      </w:r>
      <w:r>
        <w:t xml:space="preserve">□ Deleção; Produção, backup, logs, dispositivos, dados derivados, artefatos de IA, subprocessadores, evidência;</w:t>
      </w:r>
      <w:r>
        <w:t xml:space="preserve"> </w:t>
      </w:r>
      <w:r>
        <w:t xml:space="preserve">□ Retenção, detenção legal, confidencialidade, vulnerabilidade/notificação de incidente, suporte</w:t>
      </w:r>
    </w:p>
    <w:bookmarkEnd w:id="88"/>
    <w:bookmarkEnd w:id="89"/>
    <w:bookmarkStart w:id="92" w:name="teste-de-saída"/>
    <w:p>
      <w:pPr>
        <w:pStyle w:val="Heading1"/>
      </w:pPr>
      <w:r>
        <w:t xml:space="preserve"># 19.1 Teste de saída</w:t>
      </w:r>
    </w:p>
    <w:p>
      <w:pPr>
        <w:numPr>
          <w:ilvl w:val="0"/>
          <w:numId w:val="1032"/>
        </w:numPr>
      </w:pPr>
      <w:r>
        <w:t xml:space="preserve">Exportar um conjunto de dados representativo e confirmar completitude, formato, metadados, permissões e restauração utilizável.</w:t>
      </w:r>
    </w:p>
    <w:p>
      <w:pPr>
        <w:numPr>
          <w:ilvl w:val="0"/>
          <w:numId w:val="1032"/>
        </w:numPr>
      </w:pPr>
      <w:r>
        <w:t xml:space="preserve">Inventário de cada conta de fornecedor, chave, certificado, agente, rota, dispositivo, licença, integração e cópia de dados.</w:t>
      </w:r>
    </w:p>
    <w:p>
      <w:pPr>
        <w:numPr>
          <w:ilvl w:val="0"/>
          <w:numId w:val="1032"/>
        </w:numPr>
      </w:pPr>
      <w:r>
        <w:t xml:space="preserve">Estimar tempo de migração e interrupção de negócios de testes observados – não alegações de vendas.</w:t>
      </w:r>
    </w:p>
    <w:p>
      <w:pPr>
        <w:numPr>
          <w:ilvl w:val="0"/>
          <w:numId w:val="1032"/>
        </w:numPr>
      </w:pPr>
      <w:r>
        <w:t xml:space="preserve">Documento que confirma retorno/deleção e como as exceções, como a detenção legal ou retenção de backup são controladas.</w:t>
      </w:r>
    </w:p>
    <w:p>
      <w:pPr>
        <w:pStyle w:val="FirstParagraph"/>
      </w:pPr>
      <w:r>
        <w:t xml:space="preserve">NIST CSF Resultados do Fornecedor 2.0</w:t>
      </w:r>
    </w:p>
    <w:p>
      <w:pPr>
        <w:pStyle w:val="BodyText"/>
      </w:pPr>
      <w:r>
        <w:rPr>
          <w:iCs/>
          <w:i/>
        </w:rPr>
        <w:t xml:space="preserve">NIST CSF 2.0 coloca a governança da cadeia de suprimentos na categoria GV.SC.</w:t>
      </w:r>
    </w:p>
    <w:bookmarkStart w:id="90" w:name="X1c311baf520dfc41554034b43bc933be38f9b2d"/>
    <w:p>
      <w:pPr>
        <w:pStyle w:val="Heading2"/>
      </w:pPr>
      <w:r>
        <w:t xml:space="preserve">Resultados** Resultados** Significado plano** Exemplo de evidência**</w:t>
      </w:r>
    </w:p>
    <w:p>
      <w:pPr>
        <w:pStyle w:val="FirstParagraph"/>
      </w:pPr>
      <w:r>
        <w:t xml:space="preserve">□ GV.SC-01 Um programa C-SCRM, estratégia, objetivos, políticas e processos são estabelecidos e acordados pelos stakeholders organizacionais. □ Programa aprovado e registro das partes interessadas</w:t>
      </w:r>
      <w:r>
        <w:t xml:space="preserve"> </w:t>
      </w:r>
      <w:r>
        <w:t xml:space="preserve">Os papéis e responsabilidades da segurança cibernética para fornecedores, clientes e parceiros são estabelecidos, comunicados e coordenados. RACI, contatos, acordos, exercícios</w:t>
      </w:r>
      <w:r>
        <w:t xml:space="preserve"> </w:t>
      </w:r>
      <w:r>
        <w:t xml:space="preserve">O GV.SC-03 C-SCRM está integrado na gestão de risco empresarial, avaliação de risco de segurança cibernética e processos de melhoria. □ Ligação ao MTC, registo de risco, lições e melhorias</w:t>
      </w:r>
      <w:r>
        <w:t xml:space="preserve"> </w:t>
      </w:r>
      <w:r>
        <w:t xml:space="preserve">Os fornecedores são conhecidos e priorizados pela criticidade. □ Inventário completo do fornecedor e método de criticidade</w:t>
      </w:r>
      <w:r>
        <w:t xml:space="preserve"> </w:t>
      </w:r>
      <w:r>
        <w:t xml:space="preserve">Os requisitos de segurança cibernética da cadeia de suprimentos GV.SC-05 são estabelecidos, priorizados e incluídos em contratos e acordos. □ Biblioteca de requisitos, termos assinados, desvios</w:t>
      </w:r>
      <w:r>
        <w:t xml:space="preserve"> </w:t>
      </w:r>
      <w:r>
        <w:t xml:space="preserve">O planejamento e a devida diligência são realizados antes de entrar em relações formais de fornecedores. □ Ingestão, pesquisa, evidência, análise, aprovação</w:t>
      </w:r>
      <w:r>
        <w:t xml:space="preserve"> </w:t>
      </w:r>
      <w:r>
        <w:t xml:space="preserve">Os riscos do fornecedor são compreendidos, registrados, priorizados, avaliados, tratados e monitorados durante todo o relacionamento. □ Registros de risco, monitoramento, achados, tratamento</w:t>
      </w:r>
      <w:r>
        <w:t xml:space="preserve"> </w:t>
      </w:r>
      <w:r>
        <w:t xml:space="preserve">Os fornecedores relevantes estão incluídos no planejamento, resposta e recuperação de incidentes. Planos, contatos, tabletops, registros de incidentes</w:t>
      </w:r>
      <w:r>
        <w:t xml:space="preserve"> </w:t>
      </w:r>
      <w:r>
        <w:t xml:space="preserve">As práticas de segurança da cadeia de suprimentos GV.SC-09 são integradas e monitoradas ao longo do ciclo de vida do produto e do serviço tecnológico. • Requisitos do ciclo de vida, evidência do produto/serviço</w:t>
      </w:r>
      <w:r>
        <w:t xml:space="preserve"> </w:t>
      </w:r>
      <w:r>
        <w:t xml:space="preserve">Os planos da cadeia de suprimentos de segurança cibernética incluem atividades que ocorrem após o término de um acordo de parceria ou serviço. □ Plano de saída, acesso/remoção de dados, direitos pós-terminação</w:t>
      </w:r>
    </w:p>
    <w:bookmarkEnd w:id="90"/>
    <w:bookmarkStart w:id="91" w:name="Xe4a9a656bc1a7092d25b82465f9128e133c7353"/>
    <w:p>
      <w:pPr>
        <w:pStyle w:val="Heading2"/>
      </w:pPr>
      <w:r>
        <w:t xml:space="preserve">Utilizar GV.SC:** Defina um perfil atual de resultados observados e um perfil alvo de necessidades de negócios. Priorize lacunas, proprietários, recursos e datas; não trate um mapeamento como implementação automática. □</w:t>
      </w:r>
    </w:p>
    <w:bookmarkEnd w:id="91"/>
    <w:bookmarkEnd w:id="92"/>
    <w:bookmarkStart w:id="94" w:name="nist-c-scrm-orientação-na-prática"/>
    <w:p>
      <w:pPr>
        <w:pStyle w:val="Heading1"/>
      </w:pPr>
      <w:r>
        <w:t xml:space="preserve">21. NIST C-SCRM Orientação na Prática</w:t>
      </w:r>
    </w:p>
    <w:p>
      <w:pPr>
        <w:numPr>
          <w:ilvl w:val="0"/>
          <w:numId w:val="1033"/>
        </w:numPr>
        <w:pStyle w:val="Compact"/>
      </w:pPr>
      <w:r>
        <w:t xml:space="preserve">As publicações atuais NIST fornecem orientações complementares sobre programa, avaliação e planejamento.*</w:t>
      </w:r>
    </w:p>
    <w:bookmarkStart w:id="93" w:name="publicação-papel-actual"/>
    <w:p>
      <w:pPr>
        <w:pStyle w:val="Heading2"/>
      </w:pPr>
      <w:r>
        <w:rPr>
          <w:bCs/>
          <w:b/>
        </w:rPr>
        <w:t xml:space="preserve">Publicação</w:t>
      </w:r>
      <w:r>
        <w:t xml:space="preserve"> </w:t>
      </w:r>
      <w:r>
        <w:t xml:space="preserve">** Papel actual**</w:t>
      </w:r>
    </w:p>
    <w:p>
      <w:pPr>
        <w:pStyle w:val="FirstParagraph"/>
      </w:pPr>
      <w:r>
        <w:t xml:space="preserve">□ NIST SP 800-161 Rev. 1 Atualização 1 □ Integra C-SCRM na gestão de riscos em toda a organização em níveis de empresa, missão/negócio e sistema; inclui estratégia, política, planos, avaliações e controles.</w:t>
      </w:r>
      <w:r>
        <w:t xml:space="preserve"> </w:t>
      </w:r>
      <w:r>
        <w:t xml:space="preserve">O NIST SP 1305 usa o NIST CSF 2.0 GV.SC para estabelecer e operar o C-SCRM e comunicar os requisitos do fornecedor.</w:t>
      </w:r>
      <w:r>
        <w:t xml:space="preserve"> </w:t>
      </w:r>
      <w:r>
        <w:t xml:space="preserve">□ NIST SP 1326 (final de 8 de julho de 2026) • Considerações de início rápido para avaliações de due diligence de fornecedores de TIC: FOCI, procedência, resiliência, práticas cibernéticas fundamentais e níveis de cadeia de suprimentos. □</w:t>
      </w:r>
      <w:r>
        <w:t xml:space="preserve"> </w:t>
      </w:r>
      <w:r>
        <w:t xml:space="preserve">NIST SP 800-18 Rev. 2 (final 30 de junho de 2026) □ Define elementos essenciais para os planos de segurança do sistema, privacidade e C-SCRM, incluindo propósito, status de controle, responsabilidades e comportamento esperado.</w:t>
      </w:r>
    </w:p>
    <w:bookmarkEnd w:id="93"/>
    <w:bookmarkEnd w:id="94"/>
    <w:bookmarkStart w:id="96" w:name="pensamento-de-três-níveis"/>
    <w:p>
      <w:pPr>
        <w:pStyle w:val="Heading1"/>
      </w:pPr>
      <w:r>
        <w:t xml:space="preserve"># 21,1 Pensamento de três níveis</w:t>
      </w:r>
    </w:p>
    <w:bookmarkStart w:id="95" w:name="nível-foco-exemplo"/>
    <w:p>
      <w:pPr>
        <w:pStyle w:val="Heading2"/>
      </w:pPr>
      <w:r>
        <w:t xml:space="preserve">Nível** Foco** Exemplo**</w:t>
      </w:r>
    </w:p>
    <w:p>
      <w:pPr>
        <w:pStyle w:val="FirstParagraph"/>
      </w:pPr>
      <w:r>
        <w:t xml:space="preserve">Empreendimento Estratégia, apetite de risco, política comum, recursos, superintendência</w:t>
      </w:r>
      <w:r>
        <w:t xml:space="preserve"> </w:t>
      </w:r>
      <w:r>
        <w:t xml:space="preserve">□ Missão / processo de negócio □ Serviços críticos e dependências</w:t>
      </w:r>
      <w:r>
        <w:t xml:space="preserve"> </w:t>
      </w:r>
      <w:r>
        <w:t xml:space="preserve">□ Sistema □ Produto, serviço, arquitetura, controles e planejamento específicos □ Plataforma do cliente usando um provedor de nuvem e identidade</w:t>
      </w:r>
    </w:p>
    <w:p>
      <w:pPr>
        <w:pStyle w:val="BodyText"/>
      </w:pPr>
      <w:r>
        <w:t xml:space="preserve">Plano versus prova:** Um plano C-SCRM explica os arranjos pretendidos e implementados. Os avaliadores ainda precisam de provas fiáveis de que os controlos relevantes funcionam.</w:t>
      </w:r>
      <w:r>
        <w:t xml:space="preserve"> </w:t>
      </w:r>
      <w:r>
        <w:t xml:space="preserve">O que é que se passa?</w:t>
      </w:r>
    </w:p>
    <w:bookmarkEnd w:id="95"/>
    <w:bookmarkEnd w:id="96"/>
    <w:bookmarkStart w:id="98" w:name="conformidade-e-mapeamento-de-framework"/>
    <w:p>
      <w:pPr>
        <w:pStyle w:val="Heading1"/>
      </w:pPr>
      <w:r>
        <w:t xml:space="preserve">22. Conformidade e Mapeamento de Framework</w:t>
      </w:r>
    </w:p>
    <w:p>
      <w:pPr>
        <w:numPr>
          <w:ilvl w:val="0"/>
          <w:numId w:val="1034"/>
        </w:numPr>
        <w:pStyle w:val="Compact"/>
      </w:pPr>
      <w:r>
        <w:t xml:space="preserve">Os mapeamentos coordenam o trabalho, mas cada obrigação deve ser interpretada e testada em seus próprios termos.*</w:t>
      </w:r>
    </w:p>
    <w:bookmarkStart w:id="97" w:name="section-2"/>
    <w:p>
      <w:pPr>
        <w:pStyle w:val="Heading2"/>
      </w:pPr>
      <w:r>
        <w:t xml:space="preserve">* ** ** ** ** ** ** ** ** ** ** ** ** ** ** **</w:t>
      </w:r>
    </w:p>
    <w:p>
      <w:pPr>
        <w:pStyle w:val="FirstParagraph"/>
      </w:pPr>
      <w:r>
        <w:t xml:space="preserve">• SOC 2 • Gestão de fornecedores, riscos, compromissos, limites do sistema, organizações subservientes, CUECs • Revisão do escopo exato do relatório, período, critérios, opinião, testes, exceções</w:t>
      </w:r>
      <w:r>
        <w:t xml:space="preserve"> </w:t>
      </w:r>
      <w:r>
        <w:t xml:space="preserve">ISO/IEC 27001:2022 □ Partes interessadas, relações com fornecedores, cadeia de suprimentos de TIC, uso, monitoramento e mudança de nuvem □ Âmbito de certificação e aplicabilidade de controle variam □</w:t>
      </w:r>
      <w:r>
        <w:t xml:space="preserve"> </w:t>
      </w:r>
      <w:r>
        <w:t xml:space="preserve">□ PCI DSS v4.0.1 □ Prestadores de serviços de terceiros, responsabilidades, acordos, monitoramento, suporte a incidentes □ Validar o âmbito e as responsabilidades da própria entidade</w:t>
      </w:r>
      <w:r>
        <w:t xml:space="preserve"> </w:t>
      </w:r>
      <w:r>
        <w:t xml:space="preserve">HIPAA Associações de negócios, acordos, salvaguardas, incidentes, subcontratantes, status legal e deveres dependem de fatos e leis</w:t>
      </w:r>
      <w:r>
        <w:t xml:space="preserve"> </w:t>
      </w:r>
      <w:r>
        <w:t xml:space="preserve">Os processadores, contratos, subprocessadores, segurança, transferências, assistência, exclusão/auditoria, funções, jurisdição, base legal, e mecanismo de transferência exigem análise legal</w:t>
      </w:r>
      <w:r>
        <w:t xml:space="preserve"> </w:t>
      </w:r>
      <w:r>
        <w:t xml:space="preserve">Controle 15 serviço-fornecedor inventário, política, classificação, contratos, avaliação, monitoramento, desativação, salvaguardas são uma linha de base priorizada, não universal conformidade legal</w:t>
      </w:r>
      <w:r>
        <w:t xml:space="preserve"> </w:t>
      </w:r>
      <w:r>
        <w:t xml:space="preserve">NIST CSF 2.0 □ GV.SC plus organization-wide Govern, Identifique, Proteja, Detecte, Responda, Recupere os resultados; CSF não é uma certificação</w:t>
      </w:r>
    </w:p>
    <w:bookmarkEnd w:id="97"/>
    <w:bookmarkEnd w:id="98"/>
    <w:bookmarkStart w:id="104" w:name="testes-de-evidência-e-métricas"/>
    <w:p>
      <w:pPr>
        <w:pStyle w:val="Heading1"/>
      </w:pPr>
      <w:r>
        <w:t xml:space="preserve">23. Testes de Evidência e Métricas</w:t>
      </w:r>
    </w:p>
    <w:p>
      <w:pPr>
        <w:pStyle w:val="FirstParagraph"/>
      </w:pPr>
      <w:r>
        <w:rPr>
          <w:iCs/>
          <w:i/>
        </w:rPr>
        <w:t xml:space="preserve">Testing pergunta se os controles são corretamente projetados, implementados e operando para o escopo completo.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Toda conclusão deve ser rastreável desde os critérios exatos até o reteste." title="" id="100" name="Picture"/>
            <a:graphic>
              <a:graphicData uri="http://schemas.openxmlformats.org/drawingml/2006/picture">
                <pic:pic>
                  <pic:nvPicPr>
                    <pic:cNvPr descr="media/image9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Toda conclusão deve ser rastreável desde os critérios exatos até o reteste.</w:t>
      </w:r>
    </w:p>
    <w:p>
      <w:pPr>
        <w:pStyle w:val="BodyText"/>
      </w:pPr>
      <w:r>
        <w:t xml:space="preserve">Figura 9. Cadeia de testes de evidência</w:t>
      </w:r>
    </w:p>
    <w:bookmarkStart w:id="103" w:name="método-de-ensaio"/>
    <w:p>
      <w:pPr>
        <w:pStyle w:val="Heading2"/>
      </w:pPr>
      <w:r>
        <w:t xml:space="preserve">23.1 Método de ensaio</w:t>
      </w:r>
    </w:p>
    <w:p>
      <w:pPr>
        <w:pStyle w:val="FirstParagraph"/>
      </w:pPr>
      <w:r>
        <w:t xml:space="preserve">Defina critérios exatos, objetivo, período, sistemas, fornecedores, dados, locais e exclusões.</w:t>
      </w:r>
    </w:p>
    <w:p>
      <w:pPr>
        <w:pStyle w:val="BodyText"/>
      </w:pPr>
      <w:r>
        <w:t xml:space="preserve">Identificar a população completa e validar a sua exaustividade e precisão utilizando fontes independentes, sempre que possível.</w:t>
      </w:r>
    </w:p>
    <w:p>
      <w:pPr>
        <w:pStyle w:val="BodyText"/>
      </w:pPr>
      <w:r>
        <w:t xml:space="preserve">Escolha testes de população completa ou uma amostra defensável; seleção de registros e limitações.</w:t>
      </w:r>
    </w:p>
    <w:p>
      <w:pPr>
        <w:pStyle w:val="BodyText"/>
      </w:pPr>
      <w:r>
        <w:t xml:space="preserve">Inspecione, observe, indague e repercute conforme apropriado. O inquérito por si só é geralmente fraco.</w:t>
      </w:r>
    </w:p>
    <w:p>
      <w:pPr>
        <w:pStyle w:val="BodyText"/>
      </w:pPr>
      <w:r>
        <w:t xml:space="preserve">Gravar fonte de evidência, data, proprietário, versão, revisor e local protegido.</w:t>
      </w:r>
    </w:p>
    <w:p>
      <w:pPr>
        <w:pStyle w:val="BodyText"/>
      </w:pPr>
      <w:r>
        <w:t xml:space="preserve">Descreva as exceções com precisão e avalie os controles de frequência, gravidade, padrão, impacto, causa e compensação.</w:t>
      </w:r>
    </w:p>
    <w:p>
      <w:pPr>
        <w:pStyle w:val="BodyText"/>
      </w:pPr>
      <w:r>
        <w:t xml:space="preserve">Corrigir a via e realizar um reteste independente antes do fechamento.</w:t>
      </w:r>
    </w:p>
    <w:p>
      <w:pPr>
        <w:numPr>
          <w:ilvl w:val="0"/>
          <w:numId w:val="1035"/>
        </w:numPr>
        <w:pStyle w:val="Heading2"/>
      </w:pPr>
      <w:bookmarkStart w:id="102" w:name="X86179dcd7fbe5fe8ce156f57e535ae3b397de4c"/>
      <w:r>
        <w:t xml:space="preserve">** ** ** ** Cálculo de exemplo** ** ** O que ele pode revelar**</w:t>
      </w:r>
      <w:bookmarkEnd w:id="102"/>
    </w:p>
    <w:p>
      <w:pPr>
        <w:numPr>
          <w:ilvl w:val="0"/>
          <w:numId w:val="1000"/>
        </w:numPr>
      </w:pPr>
      <w:r>
        <w:t xml:space="preserve">□ Propriedade do inventário Fornecedores com proprietário válido □ fornecedores ativos</w:t>
      </w:r>
      <w:r>
        <w:t xml:space="preserve"> </w:t>
      </w:r>
      <w:r>
        <w:t xml:space="preserve">□ Cobertura de avaliação □ Fornecedores no âmbito com avaliação concluída actual</w:t>
      </w:r>
      <w:r>
        <w:t xml:space="preserve"> </w:t>
      </w:r>
      <w:r>
        <w:t xml:space="preserve">□ Cobertura de contratos □ Fornecedores de alto nível com cláusulas exigidas □ fornecedores de alto nível</w:t>
      </w:r>
      <w:r>
        <w:t xml:space="preserve"> </w:t>
      </w:r>
      <w:r>
        <w:t xml:space="preserve">□ Idade de descoberta crítica □ Dias desde a data de descoberta até ao encerramento ou hoje</w:t>
      </w:r>
      <w:r>
        <w:t xml:space="preserve"> </w:t>
      </w:r>
      <w:r>
        <w:t xml:space="preserve">Notificação de incidentes de desempenho . . . . .</w:t>
      </w:r>
      <w:r>
        <w:t xml:space="preserve"> </w:t>
      </w:r>
      <w:r>
        <w:t xml:space="preserve">Os fornecedores críticos com o plano de exportação/saída testado são fornecedores críticos.</w:t>
      </w:r>
      <w:r>
        <w:t xml:space="preserve"> </w:t>
      </w:r>
      <w:r>
        <w:t xml:space="preserve">• Concentração • Serviços críticos dependentes do mesmo fornecedor/região/tecnologia</w:t>
      </w:r>
    </w:p>
    <w:p>
      <w:pPr>
        <w:numPr>
          <w:ilvl w:val="0"/>
          <w:numId w:val="1035"/>
        </w:numPr>
      </w:pPr>
      <w:r>
        <w:t xml:space="preserve">Qualidade métrica:** Mostrar sempre numerador, denominador, data, regras de inclusão, proprietário de dados, limitações, tendência e ação. Uma percentagem verde pode esconder uma excepção grave. □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bookmarkEnd w:id="103"/>
    <w:bookmarkEnd w:id="104"/>
    <w:bookmarkStart w:id="107" w:name="ferramentas-de-código-aberto"/>
    <w:p>
      <w:pPr>
        <w:pStyle w:val="Heading1"/>
      </w:pPr>
      <w:r>
        <w:t xml:space="preserve">24. Ferramentas de Código Aberto</w:t>
      </w:r>
    </w:p>
    <w:p>
      <w:pPr>
        <w:numPr>
          <w:ilvl w:val="0"/>
          <w:numId w:val="1036"/>
        </w:numPr>
        <w:pStyle w:val="Compact"/>
      </w:pPr>
      <w:r>
        <w:t xml:space="preserve">Ferramentas de código aberto podem suportar inventário, evidência, garantia de software, testes técnicos, monitoramento e remediação.*</w:t>
      </w:r>
    </w:p>
    <w:bookmarkStart w:id="105" w:name="ferramenta-purpose"/>
    <w:p>
      <w:pPr>
        <w:pStyle w:val="Heading2"/>
      </w:pPr>
      <w:r>
        <w:t xml:space="preserve">*Ferramenta** *Purpose**</w:t>
      </w:r>
    </w:p>
    <w:p>
      <w:pPr>
        <w:numPr>
          <w:ilvl w:val="0"/>
          <w:numId w:val="1037"/>
        </w:numPr>
        <w:pStyle w:val="Compact"/>
      </w:pPr>
      <w:r>
        <w:t xml:space="preserve">Assistente CISO * Risco, controles, avaliações, evidências e achados</w:t>
      </w:r>
      <w:r>
        <w:t xml:space="preserve"> </w:t>
      </w:r>
      <w:r>
        <w:t xml:space="preserve">• Dependência-Monitoramento da SBOM</w:t>
      </w:r>
      <w:r>
        <w:t xml:space="preserve"> </w:t>
      </w:r>
      <w:r>
        <w:t xml:space="preserve">Google CycloneDX Google Software de materiais padrão e ferramentas</w:t>
      </w:r>
      <w:r>
        <w:t xml:space="preserve"> </w:t>
      </w:r>
      <w:r>
        <w:t xml:space="preserve">A geração do SBOM para imagens e sistemas de arquivos</w:t>
      </w:r>
    </w:p>
    <w:p>
      <w:pPr>
        <w:numPr>
          <w:ilvl w:val="0"/>
          <w:numId w:val="1037"/>
        </w:numPr>
        <w:pStyle w:val="Compact"/>
      </w:pPr>
      <w:r>
        <w:t xml:space="preserve">Varredura de vulnerabilidade para imagens e SBOMs</w:t>
      </w:r>
      <w:r>
        <w:t xml:space="preserve"> </w:t>
      </w:r>
      <w:r>
        <w:t xml:space="preserve">Repositório, imagem, dependência, segredo e verificação de IAC</w:t>
      </w:r>
      <w:r>
        <w:t xml:space="preserve"> </w:t>
      </w:r>
      <w:r>
        <w:t xml:space="preserve">O OpenSSF Scorecard Open-source Signals about open-source project security practices</w:t>
      </w:r>
      <w:r>
        <w:t xml:space="preserve"> </w:t>
      </w:r>
      <w:r>
        <w:t xml:space="preserve">□ GUAC □ Graphing software supply-chain metadados</w:t>
      </w:r>
    </w:p>
    <w:p>
      <w:pPr>
        <w:numPr>
          <w:ilvl w:val="0"/>
          <w:numId w:val="1037"/>
        </w:numPr>
        <w:pStyle w:val="Compact"/>
      </w:pPr>
      <w:r>
        <w:t xml:space="preserve">OSV-Scanner * Verificações de vulnerabilidade conhecidas para dependências *</w:t>
      </w:r>
    </w:p>
    <w:p>
      <w:pPr>
        <w:numPr>
          <w:ilvl w:val="0"/>
          <w:numId w:val="1037"/>
        </w:numPr>
        <w:pStyle w:val="Compact"/>
      </w:pPr>
      <w:r>
        <w:t xml:space="preserve">DefectDojo * Encontrar ingestão, deduplicação, remediação e reteste *</w:t>
      </w:r>
    </w:p>
    <w:p>
      <w:pPr>
        <w:numPr>
          <w:ilvl w:val="0"/>
          <w:numId w:val="1037"/>
        </w:numPr>
        <w:pStyle w:val="Compact"/>
      </w:pPr>
      <w:r>
        <w:t xml:space="preserve">Wazuh * Monitoramento de endpoint, integridade do arquivo, análise de log e alertas</w:t>
      </w:r>
      <w:r>
        <w:t xml:space="preserve"> </w:t>
      </w:r>
      <w:r>
        <w:t xml:space="preserve">Keycloak, identidade, papéis, MFA, sessões e eventos</w:t>
      </w:r>
      <w:r>
        <w:t xml:space="preserve"> </w:t>
      </w:r>
      <w:r>
        <w:t xml:space="preserve">OWASP ZAP</w:t>
      </w:r>
      <w:r>
        <w:t xml:space="preserve"> </w:t>
      </w:r>
      <w:r>
        <w:t xml:space="preserve">Edição da Comunidade Greenbone</w:t>
      </w:r>
    </w:p>
    <w:p>
      <w:pPr>
        <w:numPr>
          <w:ilvl w:val="0"/>
          <w:numId w:val="1037"/>
        </w:numPr>
        <w:pStyle w:val="Compact"/>
      </w:pPr>
      <w:r>
        <w:t xml:space="preserve">Nmap * Serviço autorizado e descoberta de activos *</w:t>
      </w:r>
      <w:r>
        <w:t xml:space="preserve"> </w:t>
      </w:r>
      <w:r>
        <w:t xml:space="preserve">□ Agente de Política Aberta</w:t>
      </w:r>
    </w:p>
    <w:bookmarkEnd w:id="105"/>
    <w:bookmarkStart w:id="106" w:name="X9d8808c8e4e93ee0ad9dff0f0a0467bc608194f"/>
    <w:p>
      <w:pPr>
        <w:pStyle w:val="Heading2"/>
      </w:pPr>
      <w:r>
        <w:t xml:space="preserve">Autorização e limites:** Use ferramentas apenas em sistemas, repositórios, redes, dados e contas que possui ou tem permissão escrita para testar. Proteger os resultados. Uma ferramenta suporta evidências; não certifica um fornecedor ou substitui julgamento legal, comercial e humano. □</w:t>
      </w:r>
    </w:p>
    <w:bookmarkEnd w:id="106"/>
    <w:bookmarkEnd w:id="107"/>
    <w:bookmarkStart w:id="109" w:name="assistente-ciso"/>
    <w:p>
      <w:pPr>
        <w:pStyle w:val="Heading1"/>
      </w:pPr>
      <w:r>
        <w:t xml:space="preserve"># 24,1 Assistente CISO</w:t>
      </w:r>
    </w:p>
    <w:p>
      <w:pPr>
        <w:pStyle w:val="FirstParagraph"/>
      </w:pPr>
      <w:r>
        <w:t xml:space="preserve">Objetivo: Risco, controles, avaliações, evidências e achados. Projeto oficial:</w:t>
      </w:r>
      <w:r>
        <w:t xml:space="preserve"> </w:t>
      </w:r>
      <w:hyperlink r:id="rId108">
        <w:r>
          <w:rPr>
            <w:rStyle w:val="Hyperlink"/>
          </w:rPr>
          <w:t xml:space="preserve">CISO Assistant</w:t>
        </w:r>
      </w:hyperlink>
    </w:p>
    <w:p>
      <w:pPr>
        <w:pStyle w:val="BodyText"/>
      </w:pPr>
      <w:r>
        <w:t xml:space="preserve">Início rápido e seguro: Criar um projeto abrangente, definir critérios de risco, atribuir proprietários, anexar evidências revisadas, registrar descobertas e restringir o acesso.</w:t>
      </w:r>
    </w:p>
    <w:p>
      <w:pPr>
        <w:pStyle w:val="BodyText"/>
      </w:pPr>
      <w:r>
        <w:t xml:space="preserve">Evidência para reter: aprovação e escopo, ferramenta/versão, configuração ou comando, data, população alvo, resultado bruto, validação do analista, limitação, achado, ação e reteste. Limitar o acesso porque os resultados podem expor arquitetura sensível ou fraquezas.</w:t>
      </w:r>
    </w:p>
    <w:bookmarkEnd w:id="109"/>
    <w:bookmarkStart w:id="111" w:name="faixa-de-dependência"/>
    <w:p>
      <w:pPr>
        <w:pStyle w:val="Heading1"/>
      </w:pPr>
      <w:r>
        <w:t xml:space="preserve"># 24.2 Faixa de Dependência</w:t>
      </w:r>
    </w:p>
    <w:p>
      <w:pPr>
        <w:pStyle w:val="FirstParagraph"/>
      </w:pPr>
      <w:r>
        <w:t xml:space="preserve">Objetivo: Análise da SBOM e monitoramento do risco-componente. Projeto oficial:</w:t>
      </w:r>
      <w:r>
        <w:t xml:space="preserve"> </w:t>
      </w:r>
      <w:hyperlink r:id="rId110">
        <w:r>
          <w:rPr>
            <w:rStyle w:val="Hyperlink"/>
          </w:rPr>
          <w:t xml:space="preserve">Dependência-Track</w:t>
        </w:r>
      </w:hyperlink>
    </w:p>
    <w:p>
      <w:pPr>
        <w:pStyle w:val="BodyText"/>
      </w:pPr>
      <w:r>
        <w:t xml:space="preserve">Início rápido seguro: Importe um CycloneDX SBOM de um projeto de laboratório, confirme componentes, revise alertas de vulnerabilidade e políticas, atribua ação e importe um SBOM novo após correção.</w:t>
      </w:r>
    </w:p>
    <w:p>
      <w:pPr>
        <w:pStyle w:val="BodyText"/>
      </w:pPr>
      <w:r>
        <w:t xml:space="preserve">Evidência para reter: aprovação e escopo, ferramenta/versão, configuração ou comando, data, população alvo, resultado bruto, validação do analista, limitação, achado, ação e reteste. Limitar o acesso porque os resultados podem expor arquitetura sensível ou fraquezas.</w:t>
      </w:r>
    </w:p>
    <w:bookmarkEnd w:id="111"/>
    <w:bookmarkStart w:id="115" w:name="cyclonedx"/>
    <w:p>
      <w:pPr>
        <w:pStyle w:val="Heading1"/>
      </w:pPr>
      <w:r>
        <w:t xml:space="preserve"># 24.3 CycloneDX</w:t>
      </w:r>
    </w:p>
    <w:p>
      <w:pPr>
        <w:pStyle w:val="FirstParagraph"/>
      </w:pPr>
      <w:r>
        <w:t xml:space="preserve">Objetivo: Projeto de Software de materiais padrão e ferramentas. Projeto oficial:</w:t>
      </w:r>
      <w:r>
        <w:t xml:space="preserve"> </w:t>
      </w:r>
      <w:hyperlink r:id="rId112">
        <w:r>
          <w:rPr>
            <w:rStyle w:val="Hyperlink"/>
          </w:rPr>
          <w:t xml:space="preserve">CycloneDX</w:t>
        </w:r>
      </w:hyperlink>
    </w:p>
    <w:p>
      <w:pPr>
        <w:pStyle w:val="BodyText"/>
      </w:pPr>
      <w:r>
        <w:t xml:space="preserve">Início rápido e seguro: Use um gerador oficial para a linguagem do projeto, crie um SBOM, valide-o, proteja metadados sensíveis e forneça-o para ferramentas de análise aprovadas.</w:t>
      </w:r>
    </w:p>
    <w:p>
      <w:pPr>
        <w:pStyle w:val="BodyText"/>
      </w:pPr>
      <w:r>
        <w:t xml:space="preserve">Evidência para reter: aprovação e escopo, ferramenta/versão, configuração ou comando, data, população alvo, resultado bruto, validação do analista, limitação, achado, ação e reteste. Limitar o acesso porque os resultados podem expor arquitetura sensível ou fraquezas.</w:t>
      </w:r>
    </w:p>
    <w:bookmarkStart w:id="114" w:name="syft"/>
    <w:p>
      <w:pPr>
        <w:pStyle w:val="Heading2"/>
      </w:pPr>
      <w:r>
        <w:t xml:space="preserve">24.4 Syft</w:t>
      </w:r>
    </w:p>
    <w:p>
      <w:pPr>
        <w:pStyle w:val="FirstParagraph"/>
      </w:pPr>
      <w:r>
        <w:t xml:space="preserve">Objetivo: Geração SBOM para imagens e sistemas de arquivos. Projeto oficial:</w:t>
      </w:r>
      <w:r>
        <w:t xml:space="preserve"> </w:t>
      </w:r>
      <w:hyperlink r:id="rId113">
        <w:r>
          <w:rPr>
            <w:rStyle w:val="Hyperlink"/>
          </w:rPr>
          <w:t xml:space="preserve">Syft</w:t>
        </w:r>
      </w:hyperlink>
    </w:p>
    <w:p>
      <w:pPr>
        <w:pStyle w:val="BodyText"/>
      </w:pPr>
      <w:r>
        <w:t xml:space="preserve">Início rápido seguro: Corra contra uma imagem de laboratório autorizada, exporte CycloneDX JSON, reveja a cobertura do pacote, grave a versão e o comando e armazene o resultado com segurança.</w:t>
      </w:r>
    </w:p>
    <w:p>
      <w:pPr>
        <w:pStyle w:val="BodyText"/>
      </w:pPr>
      <w:r>
        <w:t xml:space="preserve">Evidência para reter: aprovação e escopo, ferramenta/versão, configuração ou comando, data, população alvo, resultado bruto, validação do analista, limitação, achado, ação e reteste. Limitar o acesso porque os resultados podem expor arquitetura sensível ou fraquezas.</w:t>
      </w:r>
    </w:p>
    <w:bookmarkEnd w:id="114"/>
    <w:bookmarkEnd w:id="115"/>
    <w:bookmarkStart w:id="117" w:name="grype"/>
    <w:p>
      <w:pPr>
        <w:pStyle w:val="Heading1"/>
      </w:pPr>
      <w:r>
        <w:t xml:space="preserve"># 24.5 Grype</w:t>
      </w:r>
    </w:p>
    <w:p>
      <w:pPr>
        <w:pStyle w:val="FirstParagraph"/>
      </w:pPr>
      <w:r>
        <w:t xml:space="preserve">Objetivo: Varredura de vulnerabilidade para imagens e SBOMs. Projeto oficial:</w:t>
      </w:r>
      <w:r>
        <w:t xml:space="preserve"> </w:t>
      </w:r>
      <w:hyperlink r:id="rId116">
        <w:r>
          <w:rPr>
            <w:rStyle w:val="Hyperlink"/>
          </w:rPr>
          <w:t xml:space="preserve">Grype</w:t>
        </w:r>
      </w:hyperlink>
    </w:p>
    <w:p>
      <w:pPr>
        <w:pStyle w:val="BodyText"/>
      </w:pPr>
      <w:r>
        <w:t xml:space="preserve">Início rápido e seguro: Examine a imagem do laboratório ou sua SBOM, valide resultados importantes, identifique versões fixas, corrija e reescane.</w:t>
      </w:r>
    </w:p>
    <w:p>
      <w:pPr>
        <w:pStyle w:val="BodyText"/>
      </w:pPr>
      <w:r>
        <w:t xml:space="preserve">Evidência para reter: aprovação e escopo, ferramenta/versão, configuração ou comando, data, população alvo, resultado bruto, validação do analista, limitação, achado, ação e reteste. Limitar o acesso porque os resultados podem expor arquitetura sensível ou fraquezas.</w:t>
      </w:r>
    </w:p>
    <w:bookmarkEnd w:id="117"/>
    <w:bookmarkStart w:id="119" w:name="trivy"/>
    <w:p>
      <w:pPr>
        <w:pStyle w:val="Heading1"/>
      </w:pPr>
      <w:r>
        <w:t xml:space="preserve"># 24.6 Trivy</w:t>
      </w:r>
    </w:p>
    <w:p>
      <w:pPr>
        <w:pStyle w:val="FirstParagraph"/>
      </w:pPr>
      <w:r>
        <w:t xml:space="preserve">Objetivo: Repositório, imagem, dependência, segredo e verificação de IAC. Projeto oficial:</w:t>
      </w:r>
      <w:r>
        <w:t xml:space="preserve"> </w:t>
      </w:r>
      <w:hyperlink r:id="rId118">
        <w:r>
          <w:rPr>
            <w:rStyle w:val="Hyperlink"/>
          </w:rPr>
          <w:t xml:space="preserve">Trivy</w:t>
        </w:r>
      </w:hyperlink>
    </w:p>
    <w:p>
      <w:pPr>
        <w:pStyle w:val="BodyText"/>
      </w:pPr>
      <w:r>
        <w:t xml:space="preserve">Início rápido seguro: Analise apenas repositórios ou imagens aprovados, escopo de revisão e falsos positivos, achados corretos, exceções de documentos e reescane em CI.</w:t>
      </w:r>
    </w:p>
    <w:p>
      <w:pPr>
        <w:pStyle w:val="BodyText"/>
      </w:pPr>
      <w:r>
        <w:t xml:space="preserve">Evidência para reter: aprovação e escopo, ferramenta/versão, configuração ou comando, data, população alvo, resultado bruto, validação do analista, limitação, achado, ação e reteste. Limitar o acesso porque os resultados podem expor arquitetura sensível ou fraquezas.</w:t>
      </w:r>
    </w:p>
    <w:bookmarkEnd w:id="119"/>
    <w:bookmarkStart w:id="121" w:name="openssf-scorecard"/>
    <w:p>
      <w:pPr>
        <w:pStyle w:val="Heading1"/>
      </w:pPr>
      <w:r>
        <w:t xml:space="preserve"># 24.7 OpenSSF Scorecard</w:t>
      </w:r>
    </w:p>
    <w:p>
      <w:pPr>
        <w:pStyle w:val="FirstParagraph"/>
      </w:pPr>
      <w:r>
        <w:t xml:space="preserve">Objetivo: Sinais sobre práticas de segurança de projetos de código aberto. Projeto oficial:</w:t>
      </w:r>
      <w:r>
        <w:t xml:space="preserve"> </w:t>
      </w:r>
      <w:hyperlink r:id="rId120">
        <w:r>
          <w:rPr>
            <w:rStyle w:val="Hyperlink"/>
          </w:rPr>
          <w:t xml:space="preserve">OpenSSF Scorecard</w:t>
        </w:r>
      </w:hyperlink>
    </w:p>
    <w:p>
      <w:pPr>
        <w:pStyle w:val="BodyText"/>
      </w:pPr>
      <w:r>
        <w:t xml:space="preserve">Início rápido seguro: Revise um projeto público ou um repositório autorizado, entenda cada verificação, verifique sinais importantes manualmente e não trate a pontuação como prova de segurança.</w:t>
      </w:r>
    </w:p>
    <w:p>
      <w:pPr>
        <w:pStyle w:val="BodyText"/>
      </w:pPr>
      <w:r>
        <w:t xml:space="preserve">Evidência para reter: aprovação e escopo, ferramenta/versão, configuração ou comando, data, população alvo, resultado bruto, validação do analista, limitação, achado, ação e reteste. Limitar o acesso porque os resultados podem expor arquitetura sensível ou fraquezas.</w:t>
      </w:r>
    </w:p>
    <w:bookmarkEnd w:id="121"/>
    <w:bookmarkStart w:id="125" w:name="guac"/>
    <w:p>
      <w:pPr>
        <w:pStyle w:val="Heading1"/>
      </w:pPr>
      <w:r>
        <w:t xml:space="preserve"># 24.8 GUAC</w:t>
      </w:r>
    </w:p>
    <w:p>
      <w:pPr>
        <w:pStyle w:val="FirstParagraph"/>
      </w:pPr>
      <w:r>
        <w:t xml:space="preserve">Objetivo: Graphing software supply-chain metadados. Projeto oficial:</w:t>
      </w:r>
      <w:r>
        <w:t xml:space="preserve"> </w:t>
      </w:r>
      <w:hyperlink r:id="rId122">
        <w:r>
          <w:rPr>
            <w:rStyle w:val="Hyperlink"/>
          </w:rPr>
          <w:t xml:space="preserve">GUAC</w:t>
        </w:r>
      </w:hyperlink>
    </w:p>
    <w:p>
      <w:pPr>
        <w:pStyle w:val="BodyText"/>
      </w:pPr>
      <w:r>
        <w:t xml:space="preserve">Início rápido e seguro: Carregue os metadados SBOM e vulnerabilidade aprovados em um laboratório, consulte as relações de componentes, verifique a proveniência e proteja o gráfico, pois ele pode revelar a arquitetura.</w:t>
      </w:r>
    </w:p>
    <w:p>
      <w:pPr>
        <w:pStyle w:val="BodyText"/>
      </w:pPr>
      <w:r>
        <w:t xml:space="preserve">Evidência para reter: aprovação e escopo, ferramenta/versão, configuração ou comando, data, população alvo, resultado bruto, validação do analista, limitação, achado, ação e reteste. Limitar o acesso porque os resultados podem expor arquitetura sensível ou fraquezas.</w:t>
      </w:r>
    </w:p>
    <w:bookmarkStart w:id="124" w:name="osv-scanner"/>
    <w:p>
      <w:pPr>
        <w:pStyle w:val="Heading2"/>
      </w:pPr>
      <w:r>
        <w:t xml:space="preserve">24.9 OSV-Scanner</w:t>
      </w:r>
    </w:p>
    <w:p>
      <w:pPr>
        <w:pStyle w:val="FirstParagraph"/>
      </w:pPr>
      <w:r>
        <w:t xml:space="preserve">Objetivo: Verificações de vulnerabilidade conhecidas para dependências. Projeto oficial:</w:t>
      </w:r>
      <w:r>
        <w:t xml:space="preserve"> </w:t>
      </w:r>
      <w:hyperlink r:id="rId123">
        <w:r>
          <w:rPr>
            <w:rStyle w:val="Hyperlink"/>
          </w:rPr>
          <w:t xml:space="preserve">OSV-Scanner</w:t>
        </w:r>
      </w:hyperlink>
    </w:p>
    <w:p>
      <w:pPr>
        <w:pStyle w:val="BodyText"/>
      </w:pPr>
      <w:r>
        <w:t xml:space="preserve">Início rápido seguro: Examine um arquivo de bloqueio, repositório, imagem ou SBOM autorizado; valide a aplicabilidade; atualize ou mitigue; e preserve resultados antes e depois.</w:t>
      </w:r>
    </w:p>
    <w:p>
      <w:pPr>
        <w:pStyle w:val="BodyText"/>
      </w:pPr>
      <w:r>
        <w:t xml:space="preserve">Evidência para reter: aprovação e escopo, ferramenta/versão, configuração ou comando, data, população alvo, resultado bruto, validação do analista, limitação, achado, ação e reteste. Limitar o acesso porque os resultados podem expor arquitetura sensível ou fraquezas.</w:t>
      </w:r>
    </w:p>
    <w:bookmarkEnd w:id="124"/>
    <w:bookmarkEnd w:id="125"/>
    <w:bookmarkStart w:id="127" w:name="defectdojo"/>
    <w:p>
      <w:pPr>
        <w:pStyle w:val="Heading1"/>
      </w:pPr>
      <w:r>
        <w:t xml:space="preserve"># 24.10 DefectDojo</w:t>
      </w:r>
    </w:p>
    <w:p>
      <w:pPr>
        <w:pStyle w:val="FirstParagraph"/>
      </w:pPr>
      <w:r>
        <w:t xml:space="preserve">Objetivo: Encontrar ingestão, deduplicação, remediação e reteste. Projeto oficial:</w:t>
      </w:r>
      <w:r>
        <w:t xml:space="preserve"> </w:t>
      </w:r>
      <w:hyperlink r:id="rId126">
        <w:r>
          <w:rPr>
            <w:rStyle w:val="Hyperlink"/>
          </w:rPr>
          <w:t xml:space="preserve">DefectDojo</w:t>
        </w:r>
      </w:hyperlink>
    </w:p>
    <w:p>
      <w:pPr>
        <w:pStyle w:val="BodyText"/>
      </w:pPr>
      <w:r>
        <w:t xml:space="preserve">Início rápido seguro: Crie um engajamento de teste, importe resultados seguros, valide a desduplicação, atribua proprietários e datas de vencimento, anexe prova e feche apenas após o reteste.</w:t>
      </w:r>
    </w:p>
    <w:p>
      <w:pPr>
        <w:pStyle w:val="BodyText"/>
      </w:pPr>
      <w:r>
        <w:t xml:space="preserve">Evidência para reter: aprovação e escopo, ferramenta/versão, configuração ou comando, data, população alvo, resultado bruto, validação do analista, limitação, achado, ação e reteste. Limitar o acesso porque os resultados podem expor arquitetura sensível ou fraquezas.</w:t>
      </w:r>
    </w:p>
    <w:bookmarkEnd w:id="127"/>
    <w:bookmarkStart w:id="129" w:name="wazuh"/>
    <w:p>
      <w:pPr>
        <w:pStyle w:val="Heading1"/>
      </w:pPr>
      <w:r>
        <w:t xml:space="preserve"># 24.11 Wazuh</w:t>
      </w:r>
    </w:p>
    <w:p>
      <w:pPr>
        <w:pStyle w:val="FirstParagraph"/>
      </w:pPr>
      <w:r>
        <w:t xml:space="preserve">Objetivo: Monitoramento de pontos finais, integridade do arquivo, análise de log e alertas. Projecto oficial:</w:t>
      </w:r>
      <w:r>
        <w:t xml:space="preserve"> </w:t>
      </w:r>
      <w:hyperlink r:id="rId128">
        <w:r>
          <w:rPr>
            <w:rStyle w:val="Hyperlink"/>
          </w:rPr>
          <w:t xml:space="preserve">Wazuh</w:t>
        </w:r>
      </w:hyperlink>
    </w:p>
    <w:p>
      <w:pPr>
        <w:pStyle w:val="BodyText"/>
      </w:pPr>
      <w:r>
        <w:t xml:space="preserve">Início rápido e seguro: Inscreva-se em um endpoint de laboratório, produza um evento de teste inofensivo, confirme coleta e alerta, investigue e mantenha evidências de cobertura e resposta.</w:t>
      </w:r>
    </w:p>
    <w:p>
      <w:pPr>
        <w:pStyle w:val="BodyText"/>
      </w:pPr>
      <w:r>
        <w:t xml:space="preserve">Evidência para reter: aprovação e escopo, ferramenta/versão, configuração ou comando, data, população alvo, resultado bruto, validação do analista, limitação, achado, ação e reteste. Limitar o acesso porque os resultados podem expor arquitetura sensível ou fraquezas.</w:t>
      </w:r>
    </w:p>
    <w:bookmarkEnd w:id="129"/>
    <w:bookmarkStart w:id="131" w:name="keycloak"/>
    <w:p>
      <w:pPr>
        <w:pStyle w:val="Heading1"/>
      </w:pPr>
      <w:r>
        <w:t xml:space="preserve"># 24.12 Keycloak</w:t>
      </w:r>
    </w:p>
    <w:p>
      <w:pPr>
        <w:pStyle w:val="FirstParagraph"/>
      </w:pPr>
      <w:r>
        <w:t xml:space="preserve">Objetivo: Identidade, papéis, MFA, sessões e eventos. Projeto oficial:</w:t>
      </w:r>
      <w:r>
        <w:t xml:space="preserve"> </w:t>
      </w:r>
      <w:hyperlink r:id="rId130">
        <w:r>
          <w:rPr>
            <w:rStyle w:val="Hyperlink"/>
          </w:rPr>
          <w:t xml:space="preserve">Keycloak</w:t>
        </w:r>
      </w:hyperlink>
    </w:p>
    <w:p>
      <w:pPr>
        <w:pStyle w:val="BodyText"/>
      </w:pPr>
      <w:r>
        <w:t xml:space="preserve">Início rápido seguro: Crie um reino de laboratório, configure papéis e MFA, teste casos de joiner-mover-leaver e o acesso do fornecedor expiração, em seguida, rever eventos.</w:t>
      </w:r>
    </w:p>
    <w:p>
      <w:pPr>
        <w:pStyle w:val="BodyText"/>
      </w:pPr>
      <w:r>
        <w:t xml:space="preserve">Evidência para reter: aprovação e escopo, ferramenta/versão, configuração ou comando, data, população alvo, resultado bruto, validação do analista, limitação, achado, ação e reteste. Limitar o acesso porque os resultados podem expor arquitetura sensível ou fraquezas.</w:t>
      </w:r>
    </w:p>
    <w:bookmarkEnd w:id="131"/>
    <w:bookmarkStart w:id="133" w:name="owasp-zap"/>
    <w:p>
      <w:pPr>
        <w:pStyle w:val="Heading1"/>
      </w:pPr>
      <w:r>
        <w:t xml:space="preserve"># 24.13 OWASP ZAP</w:t>
      </w:r>
    </w:p>
    <w:p>
      <w:pPr>
        <w:pStyle w:val="FirstParagraph"/>
      </w:pPr>
      <w:r>
        <w:t xml:space="preserve">Objetivo: Teste de aplicação web autorizado. Projecto oficial:</w:t>
      </w:r>
      <w:r>
        <w:t xml:space="preserve"> </w:t>
      </w:r>
      <w:hyperlink r:id="rId132">
        <w:r>
          <w:rPr>
            <w:rStyle w:val="Hyperlink"/>
          </w:rPr>
          <w:t xml:space="preserve">OWASP ZAP</w:t>
        </w:r>
      </w:hyperlink>
    </w:p>
    <w:p>
      <w:pPr>
        <w:pStyle w:val="BodyText"/>
      </w:pPr>
      <w:r>
        <w:t xml:space="preserve">Início rápido seguro: Use um aplicativo de treinamento, tráfego proxy, rasteje passivamente, use a varredura ativa apenas com aprovação escrita, valide achados, corrija e reteste.</w:t>
      </w:r>
    </w:p>
    <w:p>
      <w:pPr>
        <w:pStyle w:val="BodyText"/>
      </w:pPr>
      <w:r>
        <w:t xml:space="preserve">Evidência para reter: aprovação e escopo, ferramenta/versão, configuração ou comando, data, população alvo, resultado bruto, validação do analista, limitação, achado, ação e reteste. Limitar o acesso porque os resultados podem expor arquitetura sensível ou fraquezas.</w:t>
      </w:r>
    </w:p>
    <w:bookmarkEnd w:id="133"/>
    <w:bookmarkStart w:id="135" w:name="greenbone-community-edition"/>
    <w:p>
      <w:pPr>
        <w:pStyle w:val="Heading1"/>
      </w:pPr>
      <w:r>
        <w:t xml:space="preserve"># 24.14 Greenbone Community Edition</w:t>
      </w:r>
    </w:p>
    <w:p>
      <w:pPr>
        <w:pStyle w:val="FirstParagraph"/>
      </w:pPr>
      <w:r>
        <w:t xml:space="preserve">Objetivo: Avaliação de vulnerabilidade autorizada. Projeto oficial:</w:t>
      </w:r>
      <w:r>
        <w:t xml:space="preserve"> </w:t>
      </w:r>
      <w:hyperlink r:id="rId134">
        <w:r>
          <w:rPr>
            <w:rStyle w:val="Hyperlink"/>
          </w:rPr>
          <w:t xml:space="preserve">Greenbone Community Edition</w:t>
        </w:r>
      </w:hyperlink>
    </w:p>
    <w:p>
      <w:pPr>
        <w:pStyle w:val="BodyText"/>
      </w:pPr>
      <w:r>
        <w:t xml:space="preserve">Início rápido e seguro: Atualizar feeds, definir alvos de laboratório aprovados, usar credenciais seguras, rever cobertura, validar achados, corrigir e re-scan.</w:t>
      </w:r>
    </w:p>
    <w:p>
      <w:pPr>
        <w:pStyle w:val="BodyText"/>
      </w:pPr>
      <w:r>
        <w:t xml:space="preserve">Evidência para reter: aprovação e escopo, ferramenta/versão, configuração ou comando, data, população alvo, resultado bruto, validação do analista, limitação, achado, ação e reteste. Limitar o acesso porque os resultados podem expor arquitetura sensível ou fraquezas.</w:t>
      </w:r>
    </w:p>
    <w:bookmarkEnd w:id="135"/>
    <w:bookmarkStart w:id="137" w:name="nmap"/>
    <w:p>
      <w:pPr>
        <w:pStyle w:val="Heading1"/>
      </w:pPr>
      <w:r>
        <w:t xml:space="preserve"># 24.15 Nmap</w:t>
      </w:r>
    </w:p>
    <w:p>
      <w:pPr>
        <w:pStyle w:val="FirstParagraph"/>
      </w:pPr>
      <w:r>
        <w:t xml:space="preserve">Objetivo: Serviço autorizado e descoberta de ativos. Projeto oficial:</w:t>
      </w:r>
      <w:r>
        <w:t xml:space="preserve"> </w:t>
      </w:r>
      <w:hyperlink r:id="rId136">
        <w:r>
          <w:rPr>
            <w:rStyle w:val="Hyperlink"/>
          </w:rPr>
          <w:t xml:space="preserve">Nmap</w:t>
        </w:r>
      </w:hyperlink>
    </w:p>
    <w:p>
      <w:pPr>
        <w:pStyle w:val="BodyText"/>
      </w:pPr>
      <w:r>
        <w:t xml:space="preserve">Início rápido seguro: Analise apenas faixas autorizadas por escrito com opções limitadas, compare resultados com inventário, investigue serviços desconhecidos e preserve o escopo e as evidências de comando.</w:t>
      </w:r>
    </w:p>
    <w:p>
      <w:pPr>
        <w:pStyle w:val="BodyText"/>
      </w:pPr>
      <w:r>
        <w:t xml:space="preserve">Evidência para reter: aprovação e escopo, ferramenta/versão, configuração ou comando, data, população alvo, resultado bruto, validação do analista, limitação, achado, ação e reteste. Limitar o acesso porque os resultados podem expor arquitetura sensível ou fraquezas.</w:t>
      </w:r>
    </w:p>
    <w:bookmarkEnd w:id="137"/>
    <w:bookmarkStart w:id="139" w:name="open-policy-agent"/>
    <w:p>
      <w:pPr>
        <w:pStyle w:val="Heading1"/>
      </w:pPr>
      <w:r>
        <w:t xml:space="preserve"># 24.16 Open Policy Agent</w:t>
      </w:r>
    </w:p>
    <w:p>
      <w:pPr>
        <w:pStyle w:val="FirstParagraph"/>
      </w:pPr>
      <w:r>
        <w:t xml:space="preserve">Objetivo: Decisões de política como código. Projeto oficial:</w:t>
      </w:r>
      <w:r>
        <w:t xml:space="preserve"> </w:t>
      </w:r>
      <w:hyperlink r:id="rId138">
        <w:r>
          <w:rPr>
            <w:rStyle w:val="Hyperlink"/>
          </w:rPr>
          <w:t xml:space="preserve">Open Policy Agent</w:t>
        </w:r>
      </w:hyperlink>
    </w:p>
    <w:p>
      <w:pPr>
        <w:pStyle w:val="BodyText"/>
      </w:pPr>
      <w:r>
        <w:t xml:space="preserve">Início rápido seguro: Escreva uma política de laboratório pequena para um atributo fornecedor aprovado, teste permitir e negar casos, alterações de revisão por pares, decisões de log e manter aprovação de exceção humana.</w:t>
      </w:r>
    </w:p>
    <w:p>
      <w:pPr>
        <w:pStyle w:val="BodyText"/>
      </w:pPr>
      <w:r>
        <w:t xml:space="preserve">Evidência para reter: aprovação e escopo, ferramenta/versão, configuração ou comando, data, população alvo, resultado bruto, validação do analista, limitação, achado, ação e reteste. Limitar o acesso porque os resultados podem expor arquitetura sensível ou fraquezas.</w:t>
      </w:r>
    </w:p>
    <w:bookmarkEnd w:id="139"/>
    <w:bookmarkStart w:id="142" w:name="manual-de-tprm-para-gerentes"/>
    <w:p>
      <w:pPr>
        <w:pStyle w:val="Heading1"/>
      </w:pPr>
      <w:r>
        <w:t xml:space="preserve">25. Manual de TPRM para gerentes</w:t>
      </w:r>
    </w:p>
    <w:p>
      <w:pPr>
        <w:numPr>
          <w:ilvl w:val="0"/>
          <w:numId w:val="1038"/>
        </w:numPr>
      </w:pPr>
      <w:r>
        <w:t xml:space="preserve">Os gestores tornam o programa real, definindo prioridades, resolvendo conflitos, financiando tratamento e desafiando evidências.*</w:t>
      </w:r>
    </w:p>
    <w:p>
      <w:pPr>
        <w:numPr>
          <w:ilvl w:val="0"/>
          <w:numId w:val="1038"/>
        </w:numPr>
        <w:pStyle w:val="Heading2"/>
      </w:pPr>
      <w:bookmarkStart w:id="140" w:name="Xb56cd5a87bf42f1975f9050a867341e00622698"/>
      <w:r>
        <w:t xml:space="preserve">** Área do tabuleiro** ** Pergunta do gestor** ** Escalar quando**</w:t>
      </w:r>
      <w:bookmarkEnd w:id="140"/>
    </w:p>
    <w:p>
      <w:pPr>
        <w:numPr>
          <w:ilvl w:val="0"/>
          <w:numId w:val="1000"/>
        </w:numPr>
      </w:pPr>
      <w:r>
        <w:t xml:space="preserve">• Inventário • Conhecemos cada fornecedor ativo, proprietário, serviço, caminho de dados e dependência? □ Serviço crítico desconhecido ou proprietário órfão</w:t>
      </w:r>
      <w:r>
        <w:t xml:space="preserve"> </w:t>
      </w:r>
      <w:r>
        <w:t xml:space="preserve">• Avaliação □ As decisões de alto risco são concluídas antes do compromisso? □ Compra, acesso ou transferência de dados bypassed review</w:t>
      </w:r>
      <w:r>
        <w:t xml:space="preserve"> </w:t>
      </w:r>
      <w:r>
        <w:t xml:space="preserve">□ Evidência □ A garantia cobre o serviço e o período exatos? • Gap material, exceção, escopo fraco, ou relatório velho</w:t>
      </w:r>
      <w:r>
        <w:t xml:space="preserve"> </w:t>
      </w:r>
      <w:r>
        <w:t xml:space="preserve">Contratos Os requisitos do material são assinados e os desvios são aprovados? Cláusula crítica ausente ou inexequível</w:t>
      </w:r>
      <w:r>
        <w:t xml:space="preserve"> </w:t>
      </w:r>
      <w:r>
        <w:t xml:space="preserve">Resultados Quem tem problemas graves e atrasados? O risco grave carece de protecção ou decisão provisória</w:t>
      </w:r>
      <w:r>
        <w:t xml:space="preserve"> </w:t>
      </w:r>
      <w:r>
        <w:t xml:space="preserve">Incidentes Podemos entrar em contato e coordenar com fornecedores críticos agora? Contatos, relógios ou papéis não testados</w:t>
      </w:r>
      <w:r>
        <w:t xml:space="preserve"> </w:t>
      </w:r>
      <w:r>
        <w:t xml:space="preserve">• Concentração Onde poderia um evento interromper vários serviços críticos? • A concentração inevitável carece de contingência</w:t>
      </w:r>
      <w:r>
        <w:t xml:space="preserve"> </w:t>
      </w:r>
      <w:r>
        <w:t xml:space="preserve">□ Sair □ Podemos recuperar dados e substituir o serviço a tempo? □ Nenhum caminho de exportação, alternativa ou eliminação testado</w:t>
      </w:r>
    </w:p>
    <w:bookmarkStart w:id="141" w:name="ritmo-operacional-de-gestão"/>
    <w:p>
      <w:pPr>
        <w:pStyle w:val="Heading2"/>
      </w:pPr>
      <w:r>
        <w:t xml:space="preserve">25.1 Ritmo operacional de gestão</w:t>
      </w:r>
    </w:p>
    <w:p>
      <w:pPr>
        <w:pStyle w:val="FirstParagraph"/>
      </w:pPr>
      <w:r>
        <w:t xml:space="preserve">Mensal: revisão de mudanças críticas, achados graves, incidentes, bypass, trabalho atrasado e concentração.</w:t>
      </w:r>
    </w:p>
    <w:p>
      <w:pPr>
        <w:pStyle w:val="BodyText"/>
      </w:pPr>
      <w:r>
        <w:t xml:space="preserve">Trimestralmente: desafiar cobertura de alta qualidade, progresso do tratamento, falhas de contrato, qualidade de monitoramento e prontidão para sair.</w:t>
      </w:r>
    </w:p>
    <w:p>
      <w:pPr>
        <w:pStyle w:val="BodyText"/>
      </w:pPr>
      <w:r>
        <w:t xml:space="preserve">Pelo menos anualmente: estratégia de revisão, apetite, nivelamento, métodos, recursos, grandes dependências, exercícios, métricas e melhoria do programa.</w:t>
      </w:r>
    </w:p>
    <w:p>
      <w:pPr>
        <w:pStyle w:val="BodyText"/>
      </w:pPr>
      <w:r>
        <w:t xml:space="preserve">Na renovação ou mudança material: reavaliar antes de novo compromisso, não após assinatura.</w:t>
      </w:r>
    </w:p>
    <w:p>
      <w:pPr>
        <w:pStyle w:val="BodyText"/>
      </w:pPr>
      <w:r>
        <w:t xml:space="preserve">Perguntas que importam: O que pode falhar? Quem é afectado? Que evidência apóia a conclusão? O que permanece incerto? Quem deve agir quando? Como é que sabemos que a solução funcionou? □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□——————————————————————————————————————————————————————————————————————————————————————-</w:t>
      </w:r>
    </w:p>
    <w:bookmarkEnd w:id="141"/>
    <w:bookmarkEnd w:id="142"/>
    <w:bookmarkStart w:id="146" w:name="guia-de-carreira-do-analista-júnior"/>
    <w:p>
      <w:pPr>
        <w:pStyle w:val="Heading1"/>
      </w:pPr>
      <w:r>
        <w:t xml:space="preserve">26. Guia de Carreira do Analista Júnior</w:t>
      </w:r>
    </w:p>
    <w:p>
      <w:pPr>
        <w:numPr>
          <w:ilvl w:val="0"/>
          <w:numId w:val="1039"/>
        </w:numPr>
        <w:pStyle w:val="Compact"/>
      </w:pPr>
      <w:r>
        <w:t xml:space="preserve">Os analistas juniores criam valor produzindo inventários precisos, revisões de evidências, descobertas e acompanhamento.*</w:t>
      </w:r>
    </w:p>
    <w:p>
      <w:pPr>
        <w:pStyle w:val="CaptionedFigure"/>
      </w:pPr>
      <w:r>
        <w:drawing>
          <wp:inline>
            <wp:extent cx="5334000" cy="2945449"/>
            <wp:effectExtent b="0" l="0" r="0" t="0"/>
            <wp:docPr descr="Trabalho cuidadoso e limitações honestas constroem um portfólio e confiança profissional." title="" id="144" name="Picture"/>
            <a:graphic>
              <a:graphicData uri="http://schemas.openxmlformats.org/drawingml/2006/picture">
                <pic:pic>
                  <pic:nvPicPr>
                    <pic:cNvPr descr="media/image10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5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Trabalho cuidadoso e limitações honestas constroem um portfólio e confiança profissional.</w:t>
      </w:r>
    </w:p>
    <w:p>
      <w:pPr>
        <w:pStyle w:val="BodyText"/>
      </w:pPr>
      <w:r>
        <w:t xml:space="preserve">Figura 10. Caminho de analista de TPRM júnior</w:t>
      </w:r>
    </w:p>
    <w:bookmarkEnd w:id="146"/>
    <w:bookmarkStart w:id="147" w:name="títulos-comuns"/>
    <w:p>
      <w:pPr>
        <w:pStyle w:val="Heading1"/>
      </w:pPr>
      <w:r>
        <w:t xml:space="preserve"># 26.1 Títulos comuns</w:t>
      </w:r>
    </w:p>
    <w:p>
      <w:pPr>
        <w:pStyle w:val="FirstParagraph"/>
      </w:pPr>
      <w:r>
        <w:t xml:space="preserve">Analista de Riscos de Terceiros</w:t>
      </w:r>
    </w:p>
    <w:p>
      <w:pPr>
        <w:pStyle w:val="BodyText"/>
      </w:pPr>
      <w:r>
        <w:t xml:space="preserve">Analista de Risco do Fornecedor</w:t>
      </w:r>
    </w:p>
    <w:p>
      <w:pPr>
        <w:pStyle w:val="BodyText"/>
      </w:pPr>
      <w:r>
        <w:t xml:space="preserve">Analisador de cadeia de abastecimento cibernético</w:t>
      </w:r>
    </w:p>
    <w:p>
      <w:pPr>
        <w:pStyle w:val="BodyText"/>
      </w:pPr>
      <w:r>
        <w:t xml:space="preserve">GRC Analisador</w:t>
      </w:r>
    </w:p>
    <w:p>
      <w:pPr>
        <w:pStyle w:val="BodyText"/>
      </w:pPr>
      <w:r>
        <w:t xml:space="preserve">Analista de Garantia de Segurança</w:t>
      </w:r>
    </w:p>
    <w:p>
      <w:pPr>
        <w:pStyle w:val="BodyText"/>
      </w:pPr>
      <w:r>
        <w:t xml:space="preserve">Análise de risco ou conformidade de TI</w:t>
      </w:r>
    </w:p>
    <w:p>
      <w:pPr>
        <w:pStyle w:val="BodyText"/>
      </w:pPr>
      <w:r>
        <w:t xml:space="preserve">Analista de Segurança do Fornecedor</w:t>
      </w:r>
    </w:p>
    <w:p>
      <w:pPr>
        <w:pStyle w:val="BodyText"/>
      </w:pPr>
      <w:r>
        <w:t xml:space="preserve">Analisador de cadeia de fornecimento de software</w:t>
      </w:r>
    </w:p>
    <w:bookmarkEnd w:id="147"/>
    <w:bookmarkStart w:id="149" w:name="trabalho-júnior-típico"/>
    <w:p>
      <w:pPr>
        <w:pStyle w:val="Heading1"/>
      </w:pPr>
      <w:r>
        <w:t xml:space="preserve"># 26.2 Trabalho júnior típico</w:t>
      </w:r>
    </w:p>
    <w:p>
      <w:pPr>
        <w:pStyle w:val="FirstParagraph"/>
      </w:pPr>
      <w:r>
        <w:t xml:space="preserve">Reveja formulários de admissão e concilie inventários de fornecedores.</w:t>
      </w:r>
    </w:p>
    <w:p>
      <w:pPr>
        <w:pStyle w:val="BodyText"/>
      </w:pPr>
      <w:r>
        <w:t xml:space="preserve">Classificar fornecedores utilizando critérios aprovados e intensificar fatos de alto risco não claros.</w:t>
      </w:r>
    </w:p>
    <w:p>
      <w:pPr>
        <w:pStyle w:val="BodyText"/>
      </w:pPr>
      <w:r>
        <w:t xml:space="preserve">Solicitar, rastrear e organizar provas sem alterar os registos de origem.</w:t>
      </w:r>
    </w:p>
    <w:p>
      <w:pPr>
        <w:pStyle w:val="BodyText"/>
      </w:pPr>
      <w:r>
        <w:t xml:space="preserve">Leia relatórios SOC 2, certificados, políticas, diagramas, resumos de testes e evidências de resiliência.</w:t>
      </w:r>
    </w:p>
    <w:p>
      <w:pPr>
        <w:pStyle w:val="BodyText"/>
      </w:pPr>
      <w:r>
        <w:t xml:space="preserve">Escrever os resultados dos critérios-condição-risco-ação e corrigir o seguimento através do reteste.</w:t>
      </w:r>
    </w:p>
    <w:p>
      <w:pPr>
        <w:pStyle w:val="BodyText"/>
      </w:pPr>
      <w:r>
        <w:t xml:space="preserve">Manter o requisito de contrato, subprocessador, contato incidente, reavaliação, renovação e registros de saída.</w:t>
      </w:r>
    </w:p>
    <w:p>
      <w:pPr>
        <w:pStyle w:val="BodyText"/>
      </w:pPr>
      <w:r>
        <w:t xml:space="preserve">Use ferramentas autorizadas em laboratórios ou ambientes aprovados e explique limitações.</w:t>
      </w:r>
    </w:p>
    <w:p>
      <w:pPr>
        <w:pStyle w:val="BodyText"/>
      </w:pPr>
      <w:r>
        <w:t xml:space="preserve">Preparar resumos claros do gestor sem reivindicar certeza para além dos elementos de prova.</w:t>
      </w:r>
    </w:p>
    <w:bookmarkStart w:id="148" w:name="competência-comprovação-de-portfólio"/>
    <w:p>
      <w:pPr>
        <w:pStyle w:val="Heading2"/>
      </w:pPr>
      <w:r>
        <w:t xml:space="preserve">Competência** Comprovação de Portfólio**</w:t>
      </w:r>
    </w:p>
    <w:p>
      <w:pPr>
        <w:pStyle w:val="FirstParagraph"/>
      </w:pPr>
      <w:r>
        <w:t xml:space="preserve">□ Ciclo de vida □ Registro do fornecedor da ingestão através da saída □</w:t>
      </w:r>
      <w:r>
        <w:t xml:space="preserve"> </w:t>
      </w:r>
      <w:r>
        <w:t xml:space="preserve">□ Provas</w:t>
      </w:r>
      <w:r>
        <w:t xml:space="preserve"> </w:t>
      </w:r>
      <w:r>
        <w:t xml:space="preserve">Risco Três avaliações baseadas em cenários com incerteza</w:t>
      </w:r>
      <w:r>
        <w:t xml:space="preserve"> </w:t>
      </w:r>
      <w:r>
        <w:t xml:space="preserve">• Alfabetização técnica; análise de vulnerabilidade de um projecto de formação;</w:t>
      </w:r>
      <w:r>
        <w:t xml:space="preserve"> </w:t>
      </w:r>
      <w:r>
        <w:t xml:space="preserve">□ Escrita □ Encontrando, resumo do gerente, lacuna do contrato, e reteste memorando</w:t>
      </w:r>
      <w:r>
        <w:t xml:space="preserve"> </w:t>
      </w:r>
      <w:r>
        <w:t xml:space="preserve">Os dados do painel com populações e cálculos definidos</w:t>
      </w:r>
      <w:r>
        <w:t xml:space="preserve"> </w:t>
      </w:r>
      <w:r>
        <w:t xml:space="preserve">Ético, autorização escrita, dados sintéticos, redação e limitações honestas</w:t>
      </w:r>
    </w:p>
    <w:bookmarkEnd w:id="148"/>
    <w:bookmarkEnd w:id="149"/>
    <w:bookmarkStart w:id="150" w:name="laboratório-fictício-e-portfólio"/>
    <w:p>
      <w:pPr>
        <w:pStyle w:val="Heading1"/>
      </w:pPr>
      <w:r>
        <w:t xml:space="preserve">27. Laboratório Fictício e Portfólio</w:t>
      </w:r>
    </w:p>
    <w:p>
      <w:pPr>
        <w:numPr>
          <w:ilvl w:val="0"/>
          <w:numId w:val="1040"/>
        </w:numPr>
        <w:pStyle w:val="Compact"/>
      </w:pPr>
      <w:r>
        <w:t xml:space="preserve">Construir um portfólio seguro com uma empresa fictícia, fornecedores sintéticos e laboratórios técnicos isolados.*</w:t>
      </w:r>
    </w:p>
    <w:p>
      <w:pPr>
        <w:pStyle w:val="FirstParagraph"/>
      </w:pPr>
      <w:r>
        <w:t xml:space="preserve">Regra do laboratório:** Nunca escaneie ou teste alvos públicos, empregadores, fornecedores ou contas sem autorização escrita. Utilizar dados sintéticos e sistemas de formação intencionalmente vulneráveis. Não publicar segredos ou resultados sensíveis.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–</w:t>
      </w:r>
    </w:p>
    <w:p>
      <w:pPr>
        <w:numPr>
          <w:ilvl w:val="0"/>
          <w:numId w:val="1041"/>
        </w:numPr>
      </w:pPr>
      <w:r>
        <w:t xml:space="preserve">Crie uma empresa fictícia de 75 pessoas com dados de clientes, serviços de nuvem, equipe remota, uma função de pagamento e um piloto de IA.</w:t>
      </w:r>
    </w:p>
    <w:p>
      <w:pPr>
        <w:numPr>
          <w:ilvl w:val="0"/>
          <w:numId w:val="1041"/>
        </w:numPr>
      </w:pPr>
      <w:r>
        <w:t xml:space="preserve">Crie dez fornecedores fictícios e um inventário completo com proprietários, dados, acesso, dependências, datas de contrato e níveis.</w:t>
      </w:r>
    </w:p>
    <w:p>
      <w:pPr>
        <w:numPr>
          <w:ilvl w:val="0"/>
          <w:numId w:val="1041"/>
        </w:numPr>
      </w:pPr>
      <w:r>
        <w:t xml:space="preserve">Escreva os registros de entrada e de risco inerente para um CRM em nuvem, provedor de TI gerenciado, serviço de folha de pagamento, biblioteca de software e assistente de IA.</w:t>
      </w:r>
    </w:p>
    <w:p>
      <w:pPr>
        <w:numPr>
          <w:ilvl w:val="0"/>
          <w:numId w:val="1041"/>
        </w:numPr>
      </w:pPr>
      <w:r>
        <w:t xml:space="preserve">Criar SOC sintético 2, certificado ISO, resumo caneta-teste, política, fluxo de dados e fatos de recuperação-teste; escopo do documento e lacunas.</w:t>
      </w:r>
    </w:p>
    <w:p>
      <w:pPr>
        <w:numPr>
          <w:ilvl w:val="0"/>
          <w:numId w:val="1041"/>
        </w:numPr>
      </w:pPr>
      <w:r>
        <w:t xml:space="preserve">Escreva três avaliações de due-diligence usando os cinco componentes NIST SP 1326.</w:t>
      </w:r>
    </w:p>
    <w:p>
      <w:pPr>
        <w:numPr>
          <w:ilvl w:val="0"/>
          <w:numId w:val="1041"/>
        </w:numPr>
      </w:pPr>
      <w:r>
        <w:t xml:space="preserve">Construa um registro de risco, planos de tratamento, exceção, checklist de contrato, checklist de integração e calendário de monitoramento.</w:t>
      </w:r>
    </w:p>
    <w:p>
      <w:pPr>
        <w:numPr>
          <w:ilvl w:val="0"/>
          <w:numId w:val="1041"/>
        </w:numPr>
      </w:pPr>
      <w:r>
        <w:t xml:space="preserve">Gerar um SBOM para um projeto de treinamento autorizado com Syft ou CycloneDX; analisá-lo com Grype, Trivy, OSV-Scanner, ou Dependência-Track.</w:t>
      </w:r>
    </w:p>
    <w:p>
      <w:pPr>
        <w:numPr>
          <w:ilvl w:val="0"/>
          <w:numId w:val="1041"/>
        </w:numPr>
      </w:pPr>
      <w:r>
        <w:t xml:space="preserve">Crie um mapa de concentração de quarta parte e uma matriz de responsabilidade compartilhada na nuvem.</w:t>
      </w:r>
    </w:p>
    <w:p>
      <w:pPr>
        <w:numPr>
          <w:ilvl w:val="0"/>
          <w:numId w:val="1041"/>
        </w:numPr>
      </w:pPr>
      <w:r>
        <w:t xml:space="preserve">Execute uma mesa de quebra de fornecedor e um exercício de interrupção/saída do fornecedor.</w:t>
      </w:r>
    </w:p>
    <w:p>
      <w:pPr>
        <w:numPr>
          <w:ilvl w:val="0"/>
          <w:numId w:val="1041"/>
        </w:numPr>
      </w:pPr>
      <w:r>
        <w:t xml:space="preserve">Publicar trabalhos higiénicos, um painel, e um relatório de gerente de uma página claramente rotulado de ficção e educacional.</w:t>
      </w:r>
    </w:p>
    <w:p>
      <w:pPr>
        <w:pStyle w:val="FirstParagraph"/>
      </w:pPr>
      <w:r>
        <w:t xml:space="preserve">Artifacto** Artifacto** O que demonstra**</w:t>
      </w:r>
      <w:r>
        <w:t xml:space="preserve"> </w:t>
      </w:r>
      <w:r>
        <w:t xml:space="preserve">(————————</w:t>
      </w:r>
      <w:r>
        <w:t xml:space="preserve"> </w:t>
      </w:r>
      <w:r>
        <w:t xml:space="preserve">Inventário do fornecedor e nivelamento</w:t>
      </w:r>
      <w:r>
        <w:t xml:space="preserve"> </w:t>
      </w:r>
      <w:r>
        <w:t xml:space="preserve">□ Memo de Due-diligence; Investigação, qualidade de evidência e decisão fundamentada;</w:t>
      </w:r>
      <w:r>
        <w:t xml:space="preserve"> </w:t>
      </w:r>
      <w:r>
        <w:t xml:space="preserve">• Revisão do seguro □ Âmbito, período, exceções, CUECs e limitações</w:t>
      </w:r>
      <w:r>
        <w:t xml:space="preserve"> </w:t>
      </w:r>
      <w:r>
        <w:t xml:space="preserve">□ Registro de risco / encontrar □ Cenário, critérios, ação, proprietário e reteste</w:t>
      </w:r>
      <w:r>
        <w:t xml:space="preserve"> </w:t>
      </w:r>
      <w:r>
        <w:t xml:space="preserve">Lista de verificação do contrato .. Tradução do risco para requisitos aplicáveis .</w:t>
      </w:r>
      <w:r>
        <w:t xml:space="preserve"> </w:t>
      </w:r>
      <w:r>
        <w:t xml:space="preserve">Laboratório da SBOM componente de software e alfabetização de vulnerabilidade</w:t>
      </w:r>
      <w:r>
        <w:t xml:space="preserve"> </w:t>
      </w:r>
      <w:r>
        <w:t xml:space="preserve">□ Incidente mesa topo □ Funções, fatos, comunicação e melhoria</w:t>
      </w:r>
      <w:r>
        <w:t xml:space="preserve"> </w:t>
      </w:r>
      <w:r>
        <w:t xml:space="preserve">□ Sair do teste □ Resiliência, portabilidade, revogação e exclusão</w:t>
      </w:r>
      <w:r>
        <w:t xml:space="preserve"> </w:t>
      </w:r>
      <w:r>
        <w:t xml:space="preserve">Painel do gerenciador . Limpar métricas, problemas graves, incerteza e ação .</w:t>
      </w:r>
    </w:p>
    <w:bookmarkEnd w:id="150"/>
    <w:bookmarkStart w:id="152" w:name="plano-de-aprendizagem-de-trinta-dias"/>
    <w:p>
      <w:pPr>
        <w:pStyle w:val="Heading1"/>
      </w:pPr>
      <w:r>
        <w:t xml:space="preserve">28. Plano de Aprendizagem de Trinta Dias</w:t>
      </w:r>
    </w:p>
    <w:p>
      <w:pPr>
        <w:numPr>
          <w:ilvl w:val="0"/>
          <w:numId w:val="1042"/>
        </w:numPr>
      </w:pPr>
      <w:r>
        <w:t xml:space="preserve">Um mês focado pode construir uma capacidade de nível de entrada útil.*</w:t>
      </w:r>
    </w:p>
    <w:p>
      <w:pPr>
        <w:numPr>
          <w:ilvl w:val="0"/>
          <w:numId w:val="1042"/>
        </w:numPr>
        <w:pStyle w:val="Heading2"/>
      </w:pPr>
      <w:bookmarkStart w:id="151" w:name="dias-foco-entrega"/>
      <w:r>
        <w:t xml:space="preserve">Dias** * Foco** * Entrega**</w:t>
      </w:r>
      <w:bookmarkEnd w:id="151"/>
    </w:p>
    <w:p>
      <w:pPr>
        <w:numPr>
          <w:ilvl w:val="0"/>
          <w:numId w:val="1000"/>
        </w:numPr>
      </w:pPr>
      <w:r>
        <w:t xml:space="preserve">1–3 termos TPRM/C-SCRM, ciclo de vida, funções . Mapa de conceito e registro de ciclo de vida .</w:t>
      </w:r>
      <w:r>
        <w:t xml:space="preserve"> </w:t>
      </w:r>
      <w:r>
        <w:t xml:space="preserve">Inventário, criticidade, nivelamento, risco inerente</w:t>
      </w:r>
      <w:r>
        <w:t xml:space="preserve"> </w:t>
      </w:r>
      <w:r>
        <w:t xml:space="preserve">• 7–10 • Due diligence e NIST SP 1326 • Três avaliações baseadas em investigação</w:t>
      </w:r>
      <w:r>
        <w:t xml:space="preserve"> </w:t>
      </w:r>
      <w:r>
        <w:t xml:space="preserve">SOC 2, ISO, teste de caneta, política, diagramas .</w:t>
      </w:r>
      <w:r>
        <w:t xml:space="preserve"> </w:t>
      </w:r>
      <w:r>
        <w:t xml:space="preserve">Risco, resultados, tratamento, excepções .</w:t>
      </w:r>
      <w:r>
        <w:t xml:space="preserve"> </w:t>
      </w:r>
      <w:r>
        <w:t xml:space="preserve">17–19 Contratos, onboarding, monitoring</w:t>
      </w:r>
      <w:r>
        <w:t xml:space="preserve"> </w:t>
      </w:r>
      <w:r>
        <w:t xml:space="preserve">• 20–22 • Incidentes, resiliência, saída</w:t>
      </w:r>
      <w:r>
        <w:t xml:space="preserve"> </w:t>
      </w:r>
      <w:r>
        <w:t xml:space="preserve">Na nuvem, na cadeia de suprimentos de software, na IA, três avaliações focadas</w:t>
      </w:r>
      <w:r>
        <w:t xml:space="preserve"> </w:t>
      </w:r>
      <w:r>
        <w:t xml:space="preserve">• 26–27; • Laboratório de ferramentas de código aberto;</w:t>
      </w:r>
      <w:r>
        <w:t xml:space="preserve"> </w:t>
      </w:r>
      <w:r>
        <w:t xml:space="preserve">28–30 Metrics, portfolio, entreviste o Dashboard, memo do gerente, cinco histórias do STAR</w:t>
      </w:r>
    </w:p>
    <w:p>
      <w:pPr>
        <w:numPr>
          <w:ilvl w:val="0"/>
          <w:numId w:val="1043"/>
        </w:numPr>
        <w:pStyle w:val="Compact"/>
      </w:pPr>
      <w:r>
        <w:t xml:space="preserve">Preparação da entrevista</w:t>
      </w:r>
    </w:p>
    <w:p>
      <w:pPr>
        <w:numPr>
          <w:ilvl w:val="0"/>
          <w:numId w:val="1044"/>
        </w:numPr>
        <w:pStyle w:val="Compact"/>
      </w:pPr>
      <w:r>
        <w:t xml:space="preserve">As respostas de entrevista devem ser curtas, precisas e ligadas a exemplos.*</w:t>
      </w:r>
    </w:p>
    <w:bookmarkEnd w:id="152"/>
    <w:bookmarkStart w:id="153" w:name="o-que-é-tprm"/>
    <w:p>
      <w:pPr>
        <w:pStyle w:val="Heading1"/>
      </w:pPr>
      <w:r>
        <w:t xml:space="preserve"># 29.1 O que é TPRM?</w:t>
      </w:r>
    </w:p>
    <w:p>
      <w:pPr>
        <w:pStyle w:val="FirstParagraph"/>
      </w:pPr>
      <w:r>
        <w:t xml:space="preserve">Um processo de ciclo de vida para identificar, avaliar, contratar, monitorar, responder e sair dos riscos de organizações, produtos, pessoas e serviços externos.</w:t>
      </w:r>
    </w:p>
    <w:bookmarkEnd w:id="153"/>
    <w:bookmarkStart w:id="154" w:name="tprm-versus-c-scrm"/>
    <w:p>
      <w:pPr>
        <w:pStyle w:val="Heading1"/>
      </w:pPr>
      <w:r>
        <w:t xml:space="preserve"># 29,2 TPRM versus C-SCRM?</w:t>
      </w:r>
    </w:p>
    <w:p>
      <w:pPr>
        <w:pStyle w:val="FirstParagraph"/>
      </w:pPr>
      <w:r>
        <w:t xml:space="preserve">TPRM gerencia relações externas amplamente. O C-SCRM se concentra no risco de segurança cibernética em toda a cadeia de suprimentos de tecnologia e no ciclo de vida do produto ou serviço.</w:t>
      </w:r>
    </w:p>
    <w:bookmarkEnd w:id="154"/>
    <w:bookmarkStart w:id="161" w:name="risco-inerente-versus-residual"/>
    <w:p>
      <w:pPr>
        <w:pStyle w:val="Heading1"/>
      </w:pPr>
      <w:r>
        <w:t xml:space="preserve"># 29.3 Risco inerente versus residual?</w:t>
      </w:r>
    </w:p>
    <w:p>
      <w:pPr>
        <w:pStyle w:val="FirstParagraph"/>
      </w:pPr>
      <w:r>
        <w:t xml:space="preserve">O risco inerente existe antes dos controlos. O risco residual permanece após controles e tratamento verificados.</w:t>
      </w:r>
    </w:p>
    <w:bookmarkStart w:id="155" w:name="como-se-classifica-um-fornecedor"/>
    <w:p>
      <w:pPr>
        <w:pStyle w:val="Heading2"/>
      </w:pPr>
      <w:r>
        <w:t xml:space="preserve">29.4 Como se classifica um fornecedor?</w:t>
      </w:r>
    </w:p>
    <w:p>
      <w:pPr>
        <w:pStyle w:val="FirstParagraph"/>
      </w:pPr>
      <w:r>
        <w:t xml:space="preserve">Use fatores de impacto documentados como dados, privilégios, disponibilidade, autoridade de mudança, substituibilidade, alcance, geografia e dependências a jusante.</w:t>
      </w:r>
    </w:p>
    <w:bookmarkEnd w:id="155"/>
    <w:bookmarkStart w:id="156" w:name="como-você-revê-um-relatório-soc-2"/>
    <w:p>
      <w:pPr>
        <w:pStyle w:val="Heading2"/>
      </w:pPr>
      <w:r>
        <w:t xml:space="preserve">29.5 Como você revê um relatório SOC 2?</w:t>
      </w:r>
    </w:p>
    <w:p>
      <w:pPr>
        <w:pStyle w:val="FirstParagraph"/>
      </w:pPr>
      <w:r>
        <w:t xml:space="preserve">Verifique a entidade e sistema exatos, critérios, período, opinião, testes, exceções, CUECs, organizações de subserviço e eventos subsequentes; em seguida, mapeá-lo para o uso real.</w:t>
      </w:r>
    </w:p>
    <w:bookmarkEnd w:id="156"/>
    <w:bookmarkStart w:id="157" w:name="limitação-do-questionário"/>
    <w:p>
      <w:pPr>
        <w:pStyle w:val="Heading2"/>
      </w:pPr>
      <w:r>
        <w:t xml:space="preserve">29.6 Limitação do questionário?</w:t>
      </w:r>
    </w:p>
    <w:p>
      <w:pPr>
        <w:pStyle w:val="FirstParagraph"/>
      </w:pPr>
      <w:r>
        <w:t xml:space="preserve">É uma afirmação de fornecedor. Valido respostas importantes com evidências relevantes, atuais, confiáveis e lacunas de registro.</w:t>
      </w:r>
    </w:p>
    <w:bookmarkEnd w:id="157"/>
    <w:bookmarkStart w:id="158" w:name="o-que-é-uma-sbom"/>
    <w:p>
      <w:pPr>
        <w:pStyle w:val="Heading2"/>
      </w:pPr>
      <w:r>
        <w:t xml:space="preserve">29.7 O que é uma SBOM?</w:t>
      </w:r>
    </w:p>
    <w:p>
      <w:pPr>
        <w:pStyle w:val="FirstParagraph"/>
      </w:pPr>
      <w:r>
        <w:t xml:space="preserve">Um inventário estruturado de componentes de software e relacionamentos. Ele melhora a visibilidade, mas não prova segurança ou vulnerabilidade aplicabilidade.</w:t>
      </w:r>
    </w:p>
    <w:bookmarkEnd w:id="158"/>
    <w:bookmarkStart w:id="159" w:name="como-se-fecha-uma-descoberta"/>
    <w:p>
      <w:pPr>
        <w:pStyle w:val="Heading2"/>
      </w:pPr>
      <w:r>
        <w:t xml:space="preserve">29.8 Como se fecha uma descoberta?</w:t>
      </w:r>
    </w:p>
    <w:p>
      <w:pPr>
        <w:pStyle w:val="FirstParagraph"/>
      </w:pPr>
      <w:r>
        <w:t xml:space="preserve">Reteste o controle corrigido usando critérios definidos e evidências confiáveis; não feche apenas porque o fornecedor diz que é fixo.</w:t>
      </w:r>
    </w:p>
    <w:bookmarkEnd w:id="159"/>
    <w:bookmarkStart w:id="160" w:name="Xd9085b9990fbedf9e4d32e1c3938c350a126f3f"/>
    <w:p>
      <w:pPr>
        <w:pStyle w:val="Heading2"/>
      </w:pPr>
      <w:r>
        <w:t xml:space="preserve">29.9 E se um fornecedor crítico recusar provas?</w:t>
      </w:r>
    </w:p>
    <w:p>
      <w:pPr>
        <w:pStyle w:val="FirstParagraph"/>
      </w:pPr>
      <w:r>
        <w:t xml:space="preserve">Registre a lacuna, use provas independentes disponíveis, considere opções de design e contrato, avalie incerteza e risco e aumente para o tomador de decisão autorizado.</w:t>
      </w:r>
    </w:p>
    <w:bookmarkEnd w:id="160"/>
    <w:bookmarkEnd w:id="161"/>
    <w:bookmarkStart w:id="162" w:name="o-que-faz-um-bom-analista-júnior"/>
    <w:p>
      <w:pPr>
        <w:pStyle w:val="Heading1"/>
      </w:pPr>
      <w:r>
        <w:t xml:space="preserve"># 29.10 O que faz um bom analista júnior?</w:t>
      </w:r>
    </w:p>
    <w:p>
      <w:pPr>
        <w:pStyle w:val="FirstParagraph"/>
      </w:pPr>
      <w:r>
        <w:t xml:space="preserve">Escopo cuidadoso, registros completos, ceticismo de evidência, escrita clara, acompanhamento respeitoso, manipulação segura e conclusões honestas.</w:t>
      </w:r>
    </w:p>
    <w:bookmarkEnd w:id="162"/>
    <w:bookmarkStart w:id="163" w:name="perguntas-para-fazer-ao-empregador"/>
    <w:p>
      <w:pPr>
        <w:pStyle w:val="Heading1"/>
      </w:pPr>
      <w:r>
        <w:t xml:space="preserve"># 29.11 Perguntas para fazer ao empregador</w:t>
      </w:r>
    </w:p>
    <w:p>
      <w:pPr>
        <w:pStyle w:val="FirstParagraph"/>
      </w:pPr>
      <w:r>
        <w:t xml:space="preserve">Quais fornecedores e riscos são mais importantes para o programa?</w:t>
      </w:r>
    </w:p>
    <w:p>
      <w:pPr>
        <w:pStyle w:val="BodyText"/>
      </w:pPr>
      <w:r>
        <w:t xml:space="preserve">Como os inventários são reconciliados com os registros de compras, finanças, identidade, rede e aplicativos?</w:t>
      </w:r>
    </w:p>
    <w:p>
      <w:pPr>
        <w:pStyle w:val="BodyText"/>
      </w:pPr>
      <w:r>
        <w:t xml:space="preserve">Que provas e normas contratuais são utilizadas por nível?</w:t>
      </w:r>
    </w:p>
    <w:p>
      <w:pPr>
        <w:pStyle w:val="BodyText"/>
      </w:pPr>
      <w:r>
        <w:t xml:space="preserve">Como se agravam as graves descobertas, exceções, incidentes e renovações?</w:t>
      </w:r>
    </w:p>
    <w:p>
      <w:pPr>
        <w:pStyle w:val="BodyText"/>
      </w:pPr>
      <w:r>
        <w:t xml:space="preserve">Quais ferramentas são aprovadas, e como é analisado o trabalho do analista?</w:t>
      </w:r>
    </w:p>
    <w:p>
      <w:pPr>
        <w:pStyle w:val="BodyText"/>
      </w:pPr>
      <w:r>
        <w:t xml:space="preserve">Como seria o sucesso nos primeiros 90 dias?</w:t>
      </w:r>
    </w:p>
    <w:bookmarkEnd w:id="163"/>
    <w:bookmarkStart w:id="164" w:name="modelos-glossário-índice-e-referências"/>
    <w:p>
      <w:pPr>
        <w:pStyle w:val="Heading1"/>
      </w:pPr>
      <w:r>
        <w:t xml:space="preserve">30. Modelos, Glossário, Índice e Referências</w:t>
      </w:r>
    </w:p>
    <w:p>
      <w:pPr>
        <w:numPr>
          <w:ilvl w:val="0"/>
          <w:numId w:val="1045"/>
        </w:numPr>
        <w:pStyle w:val="Compact"/>
      </w:pPr>
      <w:r>
        <w:t xml:space="preserve">Estruturas reutilizáveis, termos-chave, índice de assunto e pontos de partida oficiais.*</w:t>
      </w:r>
    </w:p>
    <w:bookmarkEnd w:id="164"/>
    <w:bookmarkStart w:id="166" w:name="registro-de-inventário-do-fornecedor"/>
    <w:p>
      <w:pPr>
        <w:pStyle w:val="Heading1"/>
      </w:pPr>
      <w:r>
        <w:t xml:space="preserve"># 30.1 Registro de inventário do fornecedor</w:t>
      </w:r>
    </w:p>
    <w:p>
      <w:pPr>
        <w:numPr>
          <w:ilvl w:val="0"/>
          <w:numId w:val="1046"/>
        </w:numPr>
        <w:pStyle w:val="Heading2"/>
      </w:pPr>
      <w:bookmarkStart w:id="165" w:name="campo-entrada"/>
      <w:r>
        <w:t xml:space="preserve">Campo** * Entrada**</w:t>
      </w:r>
      <w:bookmarkEnd w:id="165"/>
    </w:p>
    <w:p>
      <w:pPr>
        <w:numPr>
          <w:ilvl w:val="0"/>
          <w:numId w:val="1000"/>
        </w:numPr>
        <w:pStyle w:val="Compact"/>
      </w:pPr>
      <w:r>
        <w:t xml:space="preserve">Nome jurídico / serviço</w:t>
      </w:r>
      <w:r>
        <w:t xml:space="preserve"> </w:t>
      </w:r>
      <w:r>
        <w:t xml:space="preserve">Os donos de empresas e técnicos</w:t>
      </w:r>
      <w:r>
        <w:t xml:space="preserve"> </w:t>
      </w:r>
      <w:r>
        <w:t xml:space="preserve">O objectivo e os processos críticos</w:t>
      </w:r>
      <w:r>
        <w:t xml:space="preserve"> </w:t>
      </w:r>
      <w:r>
        <w:t xml:space="preserve">Dados/localizações/transferências</w:t>
      </w:r>
      <w:r>
        <w:t xml:space="preserve"> </w:t>
      </w:r>
      <w:r>
        <w:t xml:space="preserve">Acesso / integrações / privilégios</w:t>
      </w:r>
      <w:r>
        <w:t xml:space="preserve"> </w:t>
      </w:r>
      <w:r>
        <w:t xml:space="preserve">Quartas partes / concentração</w:t>
      </w:r>
    </w:p>
    <w:p>
      <w:pPr>
        <w:numPr>
          <w:ilvl w:val="0"/>
          <w:numId w:val="1046"/>
        </w:numPr>
        <w:pStyle w:val="Compact"/>
      </w:pPr>
      <w:r>
        <w:t xml:space="preserve">Risco inerente / residual :                                                  </w:t>
      </w:r>
      <w:r>
        <w:t xml:space="preserve"> </w:t>
      </w:r>
      <w:r>
        <w:t xml:space="preserve">Datas do contrato / renovação / anúncio</w:t>
      </w:r>
      <w:r>
        <w:t xml:space="preserve"> </w:t>
      </w:r>
      <w:r>
        <w:t xml:space="preserve">Avaliação / conclusões / excepções</w:t>
      </w:r>
    </w:p>
    <w:p>
      <w:pPr>
        <w:numPr>
          <w:ilvl w:val="0"/>
          <w:numId w:val="1046"/>
        </w:numPr>
        <w:pStyle w:val="Compact"/>
      </w:pPr>
      <w:r>
        <w:t xml:space="preserve">Monitorização / incidente / estado de saída</w:t>
      </w:r>
    </w:p>
    <w:bookmarkEnd w:id="166"/>
    <w:bookmarkStart w:id="168" w:name="papel-de-trabalho-de-dupla-diligencia"/>
    <w:p>
      <w:pPr>
        <w:pStyle w:val="Heading1"/>
      </w:pPr>
      <w:r>
        <w:t xml:space="preserve"># 30.2 Papel de trabalho de dupla diligencia</w:t>
      </w:r>
    </w:p>
    <w:p>
      <w:pPr>
        <w:numPr>
          <w:ilvl w:val="0"/>
          <w:numId w:val="1047"/>
        </w:numPr>
        <w:pStyle w:val="Compact"/>
      </w:pPr>
      <w:r>
        <w:t xml:space="preserve">Campo** * Entrada**</w:t>
      </w:r>
      <w:r>
        <w:t xml:space="preserve"> </w:t>
      </w:r>
      <w:r>
        <w:t xml:space="preserve">□—————————————————————————————————————-</w:t>
      </w:r>
      <w:r>
        <w:t xml:space="preserve"> </w:t>
      </w:r>
      <w:r>
        <w:t xml:space="preserve">Decisão e âmbito de aplicação</w:t>
      </w:r>
      <w:r>
        <w:t xml:space="preserve"> </w:t>
      </w:r>
      <w:r>
        <w:t xml:space="preserve">Fontes / datas / fiabilidade</w:t>
      </w:r>
    </w:p>
    <w:p>
      <w:pPr>
        <w:numPr>
          <w:ilvl w:val="0"/>
          <w:numId w:val="1047"/>
        </w:numPr>
        <w:pStyle w:val="Compact"/>
      </w:pPr>
      <w:r>
        <w:t xml:space="preserve">FOCI *                                                        </w:t>
      </w:r>
      <w:r>
        <w:br/>
      </w:r>
      <w:r>
        <w:t xml:space="preserve">Provas</w:t>
      </w:r>
      <w:r>
        <w:t xml:space="preserve"> </w:t>
      </w:r>
      <w:r>
        <w:t xml:space="preserve">Resiliência</w:t>
      </w:r>
      <w:r>
        <w:t xml:space="preserve"> </w:t>
      </w:r>
      <w:r>
        <w:t xml:space="preserve">• Práticas cibernéticas fundamentais</w:t>
      </w:r>
    </w:p>
    <w:p>
      <w:pPr>
        <w:numPr>
          <w:ilvl w:val="0"/>
          <w:numId w:val="1047"/>
        </w:numPr>
        <w:pStyle w:val="Compact"/>
      </w:pPr>
      <w:r>
        <w:t xml:space="preserve">Listas das cadeias de abastecimento</w:t>
      </w:r>
    </w:p>
    <w:p>
      <w:pPr>
        <w:numPr>
          <w:ilvl w:val="0"/>
          <w:numId w:val="1047"/>
        </w:numPr>
        <w:pStyle w:val="Compact"/>
      </w:pPr>
      <w:r>
        <w:t xml:space="preserve">Gaps/incerteza de provas</w:t>
      </w:r>
      <w:r>
        <w:t xml:space="preserve"> </w:t>
      </w:r>
      <w:r>
        <w:t xml:space="preserve">Cenários de risco / tratamento</w:t>
      </w:r>
      <w:r>
        <w:t xml:space="preserve"> </w:t>
      </w:r>
      <w:r>
        <w:t xml:space="preserve">Conclusão / aprovante / expiração</w:t>
      </w:r>
    </w:p>
    <w:bookmarkStart w:id="167" w:name="revisão-da-garantia"/>
    <w:p>
      <w:pPr>
        <w:pStyle w:val="Heading2"/>
      </w:pPr>
      <w:r>
        <w:t xml:space="preserve">30.3 Revisão da garantia</w:t>
      </w:r>
    </w:p>
    <w:p>
      <w:pPr>
        <w:numPr>
          <w:ilvl w:val="0"/>
          <w:numId w:val="1048"/>
        </w:numPr>
        <w:pStyle w:val="Compact"/>
      </w:pPr>
      <w:r>
        <w:t xml:space="preserve">Campo** * Entrada**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□——————————————————————————————————————————————————————</w:t>
      </w:r>
      <w:r>
        <w:t xml:space="preserve"> </w:t>
      </w:r>
      <w:r>
        <w:t xml:space="preserve">Artigo / emissor / data</w:t>
      </w:r>
      <w:r>
        <w:t xml:space="preserve"> </w:t>
      </w:r>
      <w:r>
        <w:t xml:space="preserve">Entity / system / location scope (Entity / system / location)</w:t>
      </w:r>
      <w:r>
        <w:t xml:space="preserve"> </w:t>
      </w:r>
      <w:r>
        <w:t xml:space="preserve">□ Critérios / padrão / período</w:t>
      </w:r>
      <w:r>
        <w:t xml:space="preserve"> </w:t>
      </w:r>
      <w:r>
        <w:t xml:space="preserve">Opinião ou estatuto</w:t>
      </w:r>
      <w:r>
        <w:t xml:space="preserve"> </w:t>
      </w:r>
      <w:r>
        <w:t xml:space="preserve">Testes/excepções/descobertas</w:t>
      </w:r>
      <w:r>
        <w:t xml:space="preserve"> </w:t>
      </w:r>
      <w:r>
        <w:t xml:space="preserve">• CUEC / deveres dos clientes</w:t>
      </w:r>
      <w:r>
        <w:t xml:space="preserve"> </w:t>
      </w:r>
      <w:r>
        <w:t xml:space="preserve">As organizações subservientes são:</w:t>
      </w:r>
      <w:r>
        <w:t xml:space="preserve"> </w:t>
      </w:r>
      <w:r>
        <w:t xml:space="preserve">□ Eventos posteriores / mudanças</w:t>
      </w:r>
      <w:r>
        <w:t xml:space="preserve"> </w:t>
      </w:r>
      <w:r>
        <w:t xml:space="preserve">Aplicabilidade à nossa utilização</w:t>
      </w:r>
    </w:p>
    <w:p>
      <w:pPr>
        <w:numPr>
          <w:ilvl w:val="0"/>
          <w:numId w:val="1048"/>
        </w:numPr>
        <w:pStyle w:val="Compact"/>
      </w:pPr>
      <w:r>
        <w:t xml:space="preserve">Gaps / action / reteste *                                                   </w:t>
      </w:r>
    </w:p>
    <w:bookmarkEnd w:id="167"/>
    <w:bookmarkEnd w:id="168"/>
    <w:bookmarkStart w:id="170" w:name="registro-de-busca-e-exceção"/>
    <w:p>
      <w:pPr>
        <w:pStyle w:val="Heading1"/>
      </w:pPr>
      <w:r>
        <w:t xml:space="preserve"># 30.4 Registro de busca e exceção</w:t>
      </w:r>
    </w:p>
    <w:p>
      <w:pPr>
        <w:numPr>
          <w:ilvl w:val="0"/>
          <w:numId w:val="1049"/>
        </w:numPr>
        <w:pStyle w:val="Compact"/>
      </w:pPr>
      <w:r>
        <w:t xml:space="preserve">Campo** * Entrada**</w:t>
      </w:r>
      <w:r>
        <w:t xml:space="preserve"> </w:t>
      </w:r>
      <w:r>
        <w:t xml:space="preserve">□————————————————————————————————————————————————-</w:t>
      </w:r>
      <w:r>
        <w:t xml:space="preserve"> </w:t>
      </w:r>
      <w:r>
        <w:t xml:space="preserve">• Critérios:</w:t>
      </w:r>
    </w:p>
    <w:p>
      <w:pPr>
        <w:numPr>
          <w:ilvl w:val="0"/>
          <w:numId w:val="1049"/>
        </w:numPr>
        <w:pStyle w:val="Compact"/>
      </w:pPr>
      <w:r>
        <w:t xml:space="preserve">Condição / população / evidência</w:t>
      </w:r>
    </w:p>
    <w:p>
      <w:pPr>
        <w:numPr>
          <w:ilvl w:val="0"/>
          <w:numId w:val="1049"/>
        </w:numPr>
        <w:pStyle w:val="Compact"/>
      </w:pPr>
      <w:r>
        <w:t xml:space="preserve">Cenário de risco / impacto</w:t>
      </w:r>
      <w:r>
        <w:t xml:space="preserve"> </w:t>
      </w:r>
      <w:r>
        <w:t xml:space="preserve">Causa / incerteza</w:t>
      </w:r>
      <w:r>
        <w:t xml:space="preserve"> </w:t>
      </w:r>
      <w:r>
        <w:t xml:space="preserve">Acção/protecção provisória</w:t>
      </w:r>
      <w:r>
        <w:t xml:space="preserve"> </w:t>
      </w:r>
      <w:r>
        <w:t xml:space="preserve">O proprietário / data de vencimento</w:t>
      </w:r>
      <w:r>
        <w:t xml:space="preserve"> </w:t>
      </w:r>
      <w:r>
        <w:t xml:space="preserve">Aprovador/expirador de excepção</w:t>
      </w:r>
    </w:p>
    <w:p>
      <w:pPr>
        <w:numPr>
          <w:ilvl w:val="0"/>
          <w:numId w:val="1049"/>
        </w:numPr>
        <w:pStyle w:val="Compact"/>
      </w:pPr>
      <w:r>
        <w:t xml:space="preserve">Monitorização / desencadeamento</w:t>
      </w:r>
      <w:r>
        <w:t xml:space="preserve"> </w:t>
      </w:r>
      <w:r>
        <w:t xml:space="preserve">O método de reteste / prova</w:t>
      </w:r>
      <w:r>
        <w:t xml:space="preserve"> </w:t>
      </w:r>
      <w:r>
        <w:t xml:space="preserve">Resultado / data de encerramento</w:t>
      </w:r>
    </w:p>
    <w:bookmarkStart w:id="169" w:name="verificação-de-contrato-e-saída"/>
    <w:p>
      <w:pPr>
        <w:pStyle w:val="Heading2"/>
      </w:pPr>
      <w:r>
        <w:t xml:space="preserve">30.5 Verificação de contrato e saída</w:t>
      </w:r>
    </w:p>
    <w:p>
      <w:pPr>
        <w:pStyle w:val="FirstParagraph"/>
      </w:pPr>
      <w:r>
        <w:t xml:space="preserve">Segurança, privacidade, confidencialidade, acesso, registro, vulnerabilidade, desenvolvimento, uso de dados, treinamento de IA, localização, subprocessador, garantia, auditoria, incidente, resiliência, mudança, seguro/passivo, rescisão, transição, retorno, exclusão e deveres pós-terminação revisados.</w:t>
      </w:r>
    </w:p>
    <w:p>
      <w:pPr>
        <w:pStyle w:val="BodyText"/>
      </w:pPr>
      <w:r>
        <w:t xml:space="preserve">Cada desvio material tem uma decisão de risco documentada e proprietário.</w:t>
      </w:r>
    </w:p>
    <w:p>
      <w:pPr>
        <w:pStyle w:val="BodyText"/>
      </w:pPr>
      <w:r>
        <w:t xml:space="preserve">O inventário de saída abrange dados, contas, chaves, certificados, agentes, rotas, dispositivos, integrações, subprocessadores, backups, logs, artefatos de IA, porões legais e prova de exclusão.</w:t>
      </w:r>
    </w:p>
    <w:bookmarkEnd w:id="169"/>
    <w:bookmarkEnd w:id="170"/>
    <w:bookmarkStart w:id="172" w:name="glossário"/>
    <w:p>
      <w:pPr>
        <w:pStyle w:val="Heading1"/>
      </w:pPr>
      <w:r>
        <w:t xml:space="preserve"># 30.6 Glossário</w:t>
      </w:r>
    </w:p>
    <w:bookmarkStart w:id="171" w:name="section-3"/>
    <w:p>
      <w:pPr>
        <w:pStyle w:val="Heading2"/>
      </w:pPr>
      <w:r>
        <w:t xml:space="preserve">* ** ** ** ** ** ** **</w:t>
      </w:r>
    </w:p>
    <w:p>
      <w:pPr>
        <w:pStyle w:val="FirstParagraph"/>
      </w:pPr>
      <w:r>
        <w:t xml:space="preserve">□ Atestado : Uma declaração ou relatório que fornece garantias sobre determinado assunto.</w:t>
      </w:r>
      <w:r>
        <w:t xml:space="preserve"> </w:t>
      </w:r>
      <w:r>
        <w:t xml:space="preserve">Gestão do risco da cadeia de abastecimento de segurança cibernética.</w:t>
      </w:r>
      <w:r>
        <w:t xml:space="preserve"> </w:t>
      </w:r>
      <w:r>
        <w:t xml:space="preserve">• Risco de concentração • Exposição criada quando vários serviços críticos dependem do mesmo fornecedor, local, tecnologia ou recurso.</w:t>
      </w:r>
      <w:r>
        <w:t xml:space="preserve"> </w:t>
      </w:r>
      <w:r>
        <w:t xml:space="preserve">(CUEC) Controle complementar da entidade do usuário: um controle que o cliente deve realizar para que os objetivos do relatório sejam alcançados. □</w:t>
      </w:r>
      <w:r>
        <w:t xml:space="preserve"> </w:t>
      </w:r>
      <w:r>
        <w:t xml:space="preserve">• Due diligence • Investigação investigativa de informações pertinentes sobre o fornecedor ou produto para uma decisão informada. □</w:t>
      </w:r>
      <w:r>
        <w:t xml:space="preserve"> </w:t>
      </w:r>
      <w:r>
        <w:t xml:space="preserve">Primeiro partido A organização que gere o seu próprio risco.</w:t>
      </w:r>
      <w:r>
        <w:t xml:space="preserve"> </w:t>
      </w:r>
      <w:r>
        <w:t xml:space="preserve">□ FOCI □ Propriedade estrangeira, controle ou influência.</w:t>
      </w:r>
      <w:r>
        <w:t xml:space="preserve"> </w:t>
      </w:r>
      <w:r>
        <w:t xml:space="preserve">□ Quarta parte : Um fornecedor ou dependência utilizado por terceiros da organização. □</w:t>
      </w:r>
      <w:r>
        <w:t xml:space="preserve"> </w:t>
      </w:r>
      <w:r>
        <w:t xml:space="preserve">- Risco inerente - Risco antes de considerar controles ou tratamento. □</w:t>
      </w:r>
      <w:r>
        <w:t xml:space="preserve"> </w:t>
      </w:r>
      <w:r>
        <w:t xml:space="preserve">□ Provencia □ Origem rastreável e histórico de um produto, componente, código, dados, ou processo.</w:t>
      </w:r>
      <w:r>
        <w:t xml:space="preserve"> </w:t>
      </w:r>
      <w:r>
        <w:t xml:space="preserve">Risco residual . Risco remanescente após o tratamento.</w:t>
      </w:r>
      <w:r>
        <w:t xml:space="preserve"> </w:t>
      </w:r>
      <w:r>
        <w:t xml:space="preserve">□ Apetece-se ao risco □ Quantidade e tipo de risco que uma organização está disposta a perseguir ou reter. □</w:t>
      </w:r>
      <w:r>
        <w:t xml:space="preserve"> </w:t>
      </w:r>
      <w:r>
        <w:t xml:space="preserve">O projeto de lei de software de materiais: um inventário de componentes estruturados.</w:t>
      </w:r>
      <w:r>
        <w:t xml:space="preserve"> </w:t>
      </w:r>
      <w:r>
        <w:t xml:space="preserve">□ Subprocessador; Uma parte envolvida por um processador para processar dados pessoais. □</w:t>
      </w:r>
      <w:r>
        <w:t xml:space="preserve"> </w:t>
      </w:r>
      <w:r>
        <w:t xml:space="preserve">□ Terceiros Uma organização externa, produto, serviço ou pessoa que apoia a organização. □</w:t>
      </w:r>
      <w:r>
        <w:t xml:space="preserve"> </w:t>
      </w:r>
      <w:r>
        <w:t xml:space="preserve">Gestão de riscos de terceiros ao longo do ciclo de vida da relação.</w:t>
      </w:r>
    </w:p>
    <w:bookmarkEnd w:id="171"/>
    <w:bookmarkEnd w:id="172"/>
    <w:bookmarkStart w:id="186" w:name="índice-de-assunto"/>
    <w:p>
      <w:pPr>
        <w:pStyle w:val="Heading1"/>
      </w:pPr>
      <w:r>
        <w:t xml:space="preserve"># 30.7 Índice de assunto</w:t>
      </w:r>
    </w:p>
    <w:bookmarkStart w:id="173" w:name="sujeito-capítulo"/>
    <w:p>
      <w:pPr>
        <w:pStyle w:val="Heading2"/>
      </w:pPr>
      <w:r>
        <w:rPr>
          <w:bCs/>
          <w:b/>
        </w:rPr>
        <w:t xml:space="preserve">Sujeito</w:t>
      </w:r>
      <w:r>
        <w:t xml:space="preserve"> </w:t>
      </w:r>
      <w:r>
        <w:rPr>
          <w:bCs/>
          <w:b/>
        </w:rPr>
        <w:t xml:space="preserve">Capítulo</w:t>
      </w:r>
    </w:p>
    <w:p>
      <w:pPr>
        <w:pStyle w:val="FirstParagraph"/>
      </w:pPr>
      <w:r>
        <w:t xml:space="preserve">Os fornecedores de IA</w:t>
      </w:r>
      <w:r>
        <w:t xml:space="preserve"> </w:t>
      </w:r>
      <w:r>
        <w:t xml:space="preserve">Nuvem / SaaS 15</w:t>
      </w:r>
      <w:r>
        <w:t xml:space="preserve"> </w:t>
      </w:r>
      <w:r>
        <w:t xml:space="preserve">• Concentração</w:t>
      </w:r>
      <w:r>
        <w:t xml:space="preserve"> </w:t>
      </w:r>
      <w:r>
        <w:t xml:space="preserve">Contratos , 9, 30 ,</w:t>
      </w:r>
      <w:r>
        <w:t xml:space="preserve"> </w:t>
      </w:r>
      <w:r>
        <w:t xml:space="preserve">□ Due diligence 6, 21, 30</w:t>
      </w:r>
      <w:r>
        <w:t xml:space="preserve"> </w:t>
      </w:r>
      <w:r>
        <w:t xml:space="preserve">□ Evidências</w:t>
      </w:r>
      <w:r>
        <w:t xml:space="preserve"> </w:t>
      </w:r>
      <w:r>
        <w:t xml:space="preserve">Saída 19, 30</w:t>
      </w:r>
      <w:r>
        <w:t xml:space="preserve"> </w:t>
      </w:r>
      <w:r>
        <w:t xml:space="preserve">4 partidos 14</w:t>
      </w:r>
      <w:r>
        <w:t xml:space="preserve"> </w:t>
      </w:r>
      <w:r>
        <w:t xml:space="preserve">Incidentes</w:t>
      </w:r>
      <w:r>
        <w:t xml:space="preserve"> </w:t>
      </w:r>
      <w:r>
        <w:t xml:space="preserve">Inventário / nivelamento</w:t>
      </w:r>
      <w:r>
        <w:t xml:space="preserve"> </w:t>
      </w:r>
      <w:r>
        <w:t xml:space="preserve">Analistas júnior</w:t>
      </w:r>
      <w:r>
        <w:t xml:space="preserve"> </w:t>
      </w:r>
      <w:r>
        <w:t xml:space="preserve">□ Métricas 23, 25</w:t>
      </w:r>
      <w:r>
        <w:t xml:space="preserve"> </w:t>
      </w:r>
      <w:r>
        <w:t xml:space="preserve">NIST CSF GV.SC .</w:t>
      </w:r>
      <w:r>
        <w:t xml:space="preserve"> </w:t>
      </w:r>
      <w:r>
        <w:t xml:space="preserve">NIST SP 1326, 21</w:t>
      </w:r>
      <w:r>
        <w:t xml:space="preserve"> </w:t>
      </w:r>
      <w:r>
        <w:t xml:space="preserve">• Ferramentas de código aberto</w:t>
      </w:r>
      <w:r>
        <w:t xml:space="preserve"> </w:t>
      </w:r>
      <w:r>
        <w:t xml:space="preserve">Privacidade 18</w:t>
      </w:r>
      <w:r>
        <w:t xml:space="preserve"> </w:t>
      </w:r>
      <w:r>
        <w:t xml:space="preserve">• Pontuação de risco</w:t>
      </w:r>
      <w:r>
        <w:t xml:space="preserve"> </w:t>
      </w:r>
      <w:r>
        <w:t xml:space="preserve">* SBOM / software * 16, 24 *</w:t>
      </w:r>
      <w:r>
        <w:t xml:space="preserve"> </w:t>
      </w:r>
      <w:r>
        <w:t xml:space="preserve">SOC 2 / ISO evidência</w:t>
      </w:r>
      <w:r>
        <w:t xml:space="preserve"> </w:t>
      </w:r>
      <w:r>
        <w:t xml:space="preserve">Monitoramento do fornecedor .. 11 .</w:t>
      </w:r>
    </w:p>
    <w:bookmarkEnd w:id="173"/>
    <w:bookmarkStart w:id="184" w:name="referências-oficiais"/>
    <w:p>
      <w:pPr>
        <w:pStyle w:val="Heading2"/>
      </w:pPr>
      <w:r>
        <w:t xml:space="preserve">30.8 Referências oficiais</w:t>
      </w:r>
    </w:p>
    <w:p>
      <w:pPr>
        <w:pStyle w:val="FirstParagraph"/>
      </w:pPr>
      <w:hyperlink r:id="rId174">
        <w:r>
          <w:rPr>
            <w:rStyle w:val="Hyperlink"/>
          </w:rPr>
          <w:t xml:space="preserve">NIST SP 1326 — Guia de Avaliação da Diligência Dude Quick-Start</w:t>
        </w:r>
      </w:hyperlink>
    </w:p>
    <w:p>
      <w:pPr>
        <w:pStyle w:val="BodyText"/>
      </w:pPr>
      <w:hyperlink r:id="rId175">
        <w:r>
          <w:rPr>
            <w:rStyle w:val="Hyperlink"/>
          </w:rPr>
          <w:t xml:space="preserve">NIST SP 800-18 Rev. 2 — Segurança do Sistema, Privacidade e Planos C-SCRM</w:t>
        </w:r>
      </w:hyperlink>
    </w:p>
    <w:p>
      <w:pPr>
        <w:pStyle w:val="BodyText"/>
      </w:pPr>
      <w:hyperlink r:id="rId176">
        <w:r>
          <w:rPr>
            <w:rStyle w:val="Hyperlink"/>
          </w:rPr>
          <w:t xml:space="preserve">NIST SP 800-161 Rev. 1 Actualização 1 — Práticas C-SCRM</w:t>
        </w:r>
      </w:hyperlink>
    </w:p>
    <w:p>
      <w:pPr>
        <w:pStyle w:val="BodyText"/>
      </w:pPr>
      <w:hyperlink r:id="rId177">
        <w:r>
          <w:rPr>
            <w:rStyle w:val="Hyperlink"/>
          </w:rPr>
          <w:t xml:space="preserve">NIST SP 1305 — CSF 2.0 C-SCRM Guia de Início Rápido</w:t>
        </w:r>
      </w:hyperlink>
    </w:p>
    <w:p>
      <w:pPr>
        <w:pStyle w:val="BodyText"/>
      </w:pPr>
      <w:hyperlink r:id="rId178">
        <w:r>
          <w:rPr>
            <w:rStyle w:val="Hyperlink"/>
          </w:rPr>
          <w:t xml:space="preserve">NIST Cybersecurity Framework 2.0</w:t>
        </w:r>
      </w:hyperlink>
    </w:p>
    <w:p>
      <w:pPr>
        <w:pStyle w:val="BodyText"/>
      </w:pPr>
      <w:hyperlink r:id="rId179">
        <w:r>
          <w:rPr>
            <w:rStyle w:val="Hyperlink"/>
          </w:rPr>
          <w:t xml:space="preserve">NIST C-SCRM Publications</w:t>
        </w:r>
      </w:hyperlink>
    </w:p>
    <w:p>
      <w:pPr>
        <w:pStyle w:val="BodyText"/>
      </w:pPr>
      <w:hyperlink r:id="rId180">
        <w:r>
          <w:rPr>
            <w:rStyle w:val="Hyperlink"/>
          </w:rPr>
          <w:t xml:space="preserve">CISA ICT Supply Chain Resource Library</w:t>
        </w:r>
      </w:hyperlink>
    </w:p>
    <w:p>
      <w:pPr>
        <w:pStyle w:val="BodyText"/>
      </w:pPr>
      <w:hyperlink r:id="rId181">
        <w:r>
          <w:rPr>
            <w:rStyle w:val="Hyperlink"/>
          </w:rPr>
          <w:t xml:space="preserve">CISA ICT SCRM Task Force</w:t>
        </w:r>
      </w:hyperlink>
    </w:p>
    <w:p>
      <w:pPr>
        <w:pStyle w:val="BodyText"/>
      </w:pPr>
      <w:r>
        <w:t xml:space="preserve">[</w:t>
      </w:r>
      <w:r>
        <w:t xml:space="preserve"> </w:t>
      </w:r>
      <w:r>
        <w:t xml:space="preserve">Modelo de Questionário SCRM do Fornecedor CISA</w:t>
      </w:r>
      <w:r>
        <w:t xml:space="preserve">] (https://www.cisa.gov/resources-tools/resources/vendor-supply-chain-risk-management-scrm-template)</w:t>
      </w:r>
    </w:p>
    <w:p>
      <w:pPr>
        <w:pStyle w:val="BodyText"/>
      </w:pPr>
      <w:r>
        <w:t xml:space="preserve">(https://www.cisa.gov/ict-scrm-small-and-medium-sized-businesses-resource-hub)</w:t>
      </w:r>
    </w:p>
    <w:p>
      <w:pPr>
        <w:pStyle w:val="BodyText"/>
      </w:pPr>
      <w:hyperlink r:id="rId182">
        <w:r>
          <w:rPr>
            <w:rStyle w:val="Hyperlink"/>
          </w:rPr>
          <w:t xml:space="preserve">OWASP Software Component Verification Standard</w:t>
        </w:r>
      </w:hyperlink>
    </w:p>
    <w:p>
      <w:pPr>
        <w:pStyle w:val="BodyText"/>
      </w:pPr>
      <w:hyperlink r:id="rId183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Melhores práticas do OpenSSF</w:t>
        </w:r>
      </w:hyperlink>
    </w:p>
    <w:bookmarkEnd w:id="184"/>
    <w:bookmarkStart w:id="185" w:name="X3fc763f32871b302217f7620206116c0e53a941"/>
    <w:p>
      <w:pPr>
        <w:pStyle w:val="Heading2"/>
      </w:pPr>
      <w:r>
        <w:rPr>
          <w:bCs/>
          <w:b/>
        </w:rPr>
        <w:t xml:space="preserve">Lembramento final:</w:t>
      </w:r>
      <w:r>
        <w:t xml:space="preserve"> </w:t>
      </w:r>
      <w:r>
        <w:t xml:space="preserve">Quadros, orientações, leis, contratos, fornecedores, ameaças, ferramentas, produtos e interpretações oficiais mudam. Confirmar a atual fonte oficial e obrigações aplicáveis antes de uma decisão ou avaliação reais. □</w:t>
      </w:r>
    </w:p>
    <w:bookmarkEnd w:id="185"/>
    <w:bookmarkEnd w:id="1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29">
    <w:nsid w:val="A994129"/>
    <w:multiLevelType w:val="multilevel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2">
    <w:abstractNumId w:val="991"/>
  </w:num>
  <w:num w:numId="1043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143" Target="media/rId143.png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99" Target="media/rId99.png" /><Relationship Type="http://schemas.openxmlformats.org/officeDocument/2006/relationships/hyperlink" Id="rId179" Target="https://csrc.nist.gov/Projects/cyber-supply-chain-risk-management/publications" TargetMode="External" /><Relationship Type="http://schemas.openxmlformats.org/officeDocument/2006/relationships/hyperlink" Id="rId177" Target="https://csrc.nist.gov/pubs/sp/1305/final" TargetMode="External" /><Relationship Type="http://schemas.openxmlformats.org/officeDocument/2006/relationships/hyperlink" Id="rId174" Target="https://csrc.nist.gov/pubs/sp/1326/final" TargetMode="External" /><Relationship Type="http://schemas.openxmlformats.org/officeDocument/2006/relationships/hyperlink" Id="rId176" Target="https://csrc.nist.gov/pubs/sp/800/161/r1/upd1/final" TargetMode="External" /><Relationship Type="http://schemas.openxmlformats.org/officeDocument/2006/relationships/hyperlink" Id="rId175" Target="https://csrc.nist.gov/pubs/sp/800/18/r2/final" TargetMode="External" /><Relationship Type="http://schemas.openxmlformats.org/officeDocument/2006/relationships/hyperlink" Id="rId112" Target="https://cyclonedx.org/" TargetMode="External" /><Relationship Type="http://schemas.openxmlformats.org/officeDocument/2006/relationships/hyperlink" Id="rId110" Target="https://dependencytrack.org/" TargetMode="External" /><Relationship Type="http://schemas.openxmlformats.org/officeDocument/2006/relationships/hyperlink" Id="rId116" Target="https://github.com/anchore/grype" TargetMode="External" /><Relationship Type="http://schemas.openxmlformats.org/officeDocument/2006/relationships/hyperlink" Id="rId113" Target="https://github.com/anchore/syft" TargetMode="External" /><Relationship Type="http://schemas.openxmlformats.org/officeDocument/2006/relationships/hyperlink" Id="rId123" Target="https://google.github.io/osv-scanner/" TargetMode="External" /><Relationship Type="http://schemas.openxmlformats.org/officeDocument/2006/relationships/hyperlink" Id="rId134" Target="https://greenbone.github.io/docs/latest/" TargetMode="External" /><Relationship Type="http://schemas.openxmlformats.org/officeDocument/2006/relationships/hyperlink" Id="rId122" Target="https://guac.sh/" TargetMode="External" /><Relationship Type="http://schemas.openxmlformats.org/officeDocument/2006/relationships/hyperlink" Id="rId108" Target="https://intuitem.github.io/ciso-assistant-community/" TargetMode="External" /><Relationship Type="http://schemas.openxmlformats.org/officeDocument/2006/relationships/hyperlink" Id="rId136" Target="https://nmap.org/" TargetMode="External" /><Relationship Type="http://schemas.openxmlformats.org/officeDocument/2006/relationships/hyperlink" Id="rId120" Target="https://scorecard.dev/" TargetMode="External" /><Relationship Type="http://schemas.openxmlformats.org/officeDocument/2006/relationships/hyperlink" Id="rId182" Target="https://scvs.owasp.org/" TargetMode="External" /><Relationship Type="http://schemas.openxmlformats.org/officeDocument/2006/relationships/hyperlink" Id="rId118" Target="https://trivy.dev/" TargetMode="External" /><Relationship Type="http://schemas.openxmlformats.org/officeDocument/2006/relationships/hyperlink" Id="rId128" Target="https://wazuh.com/" TargetMode="External" /><Relationship Type="http://schemas.openxmlformats.org/officeDocument/2006/relationships/hyperlink" Id="rId183" Target="https://www.bestpractices.dev/" TargetMode="External" /><Relationship Type="http://schemas.openxmlformats.org/officeDocument/2006/relationships/hyperlink" Id="rId180" Target="https://www.cisa.gov/ict-supply-chain-resource-library" TargetMode="External" /><Relationship Type="http://schemas.openxmlformats.org/officeDocument/2006/relationships/hyperlink" Id="rId181" Target="https://www.cisa.gov/resources-tools/groups/ict-supply-chain-risk-management-task-force" TargetMode="External" /><Relationship Type="http://schemas.openxmlformats.org/officeDocument/2006/relationships/hyperlink" Id="rId126" Target="https://www.defectdojo.org/" TargetMode="External" /><Relationship Type="http://schemas.openxmlformats.org/officeDocument/2006/relationships/hyperlink" Id="rId130" Target="https://www.keycloak.org/" TargetMode="External" /><Relationship Type="http://schemas.openxmlformats.org/officeDocument/2006/relationships/hyperlink" Id="rId178" Target="https://www.nist.gov/cyberframework" TargetMode="External" /><Relationship Type="http://schemas.openxmlformats.org/officeDocument/2006/relationships/hyperlink" Id="rId138" Target="https://www.openpolicyagent.org/" TargetMode="External" /><Relationship Type="http://schemas.openxmlformats.org/officeDocument/2006/relationships/hyperlink" Id="rId132" Target="https://www.zaprox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9" Target="https://csrc.nist.gov/Projects/cyber-supply-chain-risk-management/publications" TargetMode="External" /><Relationship Type="http://schemas.openxmlformats.org/officeDocument/2006/relationships/hyperlink" Id="rId177" Target="https://csrc.nist.gov/pubs/sp/1305/final" TargetMode="External" /><Relationship Type="http://schemas.openxmlformats.org/officeDocument/2006/relationships/hyperlink" Id="rId174" Target="https://csrc.nist.gov/pubs/sp/1326/final" TargetMode="External" /><Relationship Type="http://schemas.openxmlformats.org/officeDocument/2006/relationships/hyperlink" Id="rId176" Target="https://csrc.nist.gov/pubs/sp/800/161/r1/upd1/final" TargetMode="External" /><Relationship Type="http://schemas.openxmlformats.org/officeDocument/2006/relationships/hyperlink" Id="rId175" Target="https://csrc.nist.gov/pubs/sp/800/18/r2/final" TargetMode="External" /><Relationship Type="http://schemas.openxmlformats.org/officeDocument/2006/relationships/hyperlink" Id="rId112" Target="https://cyclonedx.org/" TargetMode="External" /><Relationship Type="http://schemas.openxmlformats.org/officeDocument/2006/relationships/hyperlink" Id="rId110" Target="https://dependencytrack.org/" TargetMode="External" /><Relationship Type="http://schemas.openxmlformats.org/officeDocument/2006/relationships/hyperlink" Id="rId116" Target="https://github.com/anchore/grype" TargetMode="External" /><Relationship Type="http://schemas.openxmlformats.org/officeDocument/2006/relationships/hyperlink" Id="rId113" Target="https://github.com/anchore/syft" TargetMode="External" /><Relationship Type="http://schemas.openxmlformats.org/officeDocument/2006/relationships/hyperlink" Id="rId123" Target="https://google.github.io/osv-scanner/" TargetMode="External" /><Relationship Type="http://schemas.openxmlformats.org/officeDocument/2006/relationships/hyperlink" Id="rId134" Target="https://greenbone.github.io/docs/latest/" TargetMode="External" /><Relationship Type="http://schemas.openxmlformats.org/officeDocument/2006/relationships/hyperlink" Id="rId122" Target="https://guac.sh/" TargetMode="External" /><Relationship Type="http://schemas.openxmlformats.org/officeDocument/2006/relationships/hyperlink" Id="rId108" Target="https://intuitem.github.io/ciso-assistant-community/" TargetMode="External" /><Relationship Type="http://schemas.openxmlformats.org/officeDocument/2006/relationships/hyperlink" Id="rId136" Target="https://nmap.org/" TargetMode="External" /><Relationship Type="http://schemas.openxmlformats.org/officeDocument/2006/relationships/hyperlink" Id="rId120" Target="https://scorecard.dev/" TargetMode="External" /><Relationship Type="http://schemas.openxmlformats.org/officeDocument/2006/relationships/hyperlink" Id="rId182" Target="https://scvs.owasp.org/" TargetMode="External" /><Relationship Type="http://schemas.openxmlformats.org/officeDocument/2006/relationships/hyperlink" Id="rId118" Target="https://trivy.dev/" TargetMode="External" /><Relationship Type="http://schemas.openxmlformats.org/officeDocument/2006/relationships/hyperlink" Id="rId128" Target="https://wazuh.com/" TargetMode="External" /><Relationship Type="http://schemas.openxmlformats.org/officeDocument/2006/relationships/hyperlink" Id="rId183" Target="https://www.bestpractices.dev/" TargetMode="External" /><Relationship Type="http://schemas.openxmlformats.org/officeDocument/2006/relationships/hyperlink" Id="rId180" Target="https://www.cisa.gov/ict-supply-chain-resource-library" TargetMode="External" /><Relationship Type="http://schemas.openxmlformats.org/officeDocument/2006/relationships/hyperlink" Id="rId181" Target="https://www.cisa.gov/resources-tools/groups/ict-supply-chain-risk-management-task-force" TargetMode="External" /><Relationship Type="http://schemas.openxmlformats.org/officeDocument/2006/relationships/hyperlink" Id="rId126" Target="https://www.defectdojo.org/" TargetMode="External" /><Relationship Type="http://schemas.openxmlformats.org/officeDocument/2006/relationships/hyperlink" Id="rId130" Target="https://www.keycloak.org/" TargetMode="External" /><Relationship Type="http://schemas.openxmlformats.org/officeDocument/2006/relationships/hyperlink" Id="rId178" Target="https://www.nist.gov/cyberframework" TargetMode="External" /><Relationship Type="http://schemas.openxmlformats.org/officeDocument/2006/relationships/hyperlink" Id="rId138" Target="https://www.openpolicyagent.org/" TargetMode="External" /><Relationship Type="http://schemas.openxmlformats.org/officeDocument/2006/relationships/hyperlink" Id="rId132" Target="https://www.zaprox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2026-07-31T12:53:06Z</dcterms:created>
  <dcterms:modified xsi:type="dcterms:W3CDTF">2026-07-31T12:53:06Z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