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NIST RISK MANAGEMENT FRAMEWORK</w:t>
      </w:r>
    </w:p>
    <w:p>
      <w:pPr>
        <w:pStyle w:val="BodyText"/>
      </w:pPr>
      <w:r>
        <w:rPr>
          <w:b/>
          <w:bCs/>
        </w:rPr>
        <w:t xml:space="preserve">Y SP 800-53 RELEASE 5.2.0</w:t>
      </w:r>
    </w:p>
    <w:p>
      <w:pPr>
        <w:pStyle w:val="BodyText"/>
      </w:pPr>
      <w:r>
        <w:t xml:space="preserve">Manual de Gestor Práctica y Analista Junior</w:t>
      </w:r>
    </w:p>
    <w:p>
      <w:pPr>
        <w:pStyle w:val="BodyText"/>
      </w:pPr>
      <w:r>
        <w:t xml:space="preserve">TEN</w:t>
      </w:r>
      <w:r>
        <w:t xml:space="preserve"> </w:t>
      </w:r>
      <w:r>
        <w:rPr>
          <w:b/>
          <w:bCs/>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
          <w:bCs/>
        </w:rPr>
        <w:t xml:space="preserve">Alberto (Al) Leiva</w:t>
      </w:r>
    </w:p>
    <w:p>
      <w:pPr>
        <w:pStyle w:val="BodyText"/>
      </w:pPr>
      <w:r>
        <w:t xml:space="preserve">Primera edición • Julio 2026</w:t>
      </w:r>
    </w:p>
    <w:bookmarkStart w:id="10"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9"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9"/>
    <w:bookmarkEnd w:id="10"/>
    <w:bookmarkStart w:id="11"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Capítulo</w:t>
            </w:r>
          </w:p>
        </w:tc>
      </w:tr>
      <w:tr>
        <w:tc>
          <w:tcPr/>
          <w:p>
            <w:pPr>
              <w:pStyle w:val="Compact"/>
            </w:pPr>
            <w:r>
              <w:t xml:space="preserve">1</w:t>
            </w:r>
          </w:p>
        </w:tc>
      </w:tr>
      <w:tr>
        <w:tc>
          <w:tcPr/>
          <w:p>
            <w:pPr>
              <w:pStyle w:val="Compact"/>
            </w:pPr>
            <w:r>
              <w:t xml:space="preserve">2</w:t>
            </w:r>
          </w:p>
        </w:tc>
      </w:tr>
      <w:tr>
        <w:tc>
          <w:tcPr/>
          <w:p>
            <w:pPr>
              <w:pStyle w:val="Compact"/>
            </w:pPr>
            <w:r>
              <w:t xml:space="preserve">3</w:t>
            </w:r>
          </w:p>
        </w:tc>
      </w:tr>
      <w:tr>
        <w:tc>
          <w:tcPr/>
          <w:p>
            <w:pPr>
              <w:pStyle w:val="Compact"/>
            </w:pPr>
            <w:r>
              <w:t xml:space="preserve">4</w:t>
            </w:r>
          </w:p>
        </w:tc>
      </w:tr>
      <w:tr>
        <w:tc>
          <w:tcPr/>
          <w:p>
            <w:pPr>
              <w:pStyle w:val="Compact"/>
            </w:pPr>
            <w:r>
              <w:t xml:space="preserve">5</w:t>
            </w:r>
          </w:p>
        </w:tc>
      </w:tr>
      <w:tr>
        <w:tc>
          <w:tcPr/>
          <w:p>
            <w:pPr>
              <w:pStyle w:val="Compact"/>
            </w:pPr>
            <w:r>
              <w:t xml:space="preserve">6</w:t>
            </w:r>
          </w:p>
        </w:tc>
      </w:tr>
      <w:tr>
        <w:tc>
          <w:tcPr/>
          <w:p>
            <w:pPr>
              <w:pStyle w:val="Compact"/>
            </w:pPr>
            <w:r>
              <w:t xml:space="preserve">7</w:t>
            </w:r>
          </w:p>
        </w:tc>
      </w:tr>
      <w:tr>
        <w:tc>
          <w:tcPr/>
          <w:p>
            <w:pPr>
              <w:pStyle w:val="Compact"/>
            </w:pPr>
            <w:r>
              <w:t xml:space="preserve">8</w:t>
            </w:r>
          </w:p>
        </w:tc>
      </w:tr>
      <w:tr>
        <w:tc>
          <w:tcPr/>
          <w:p>
            <w:pPr>
              <w:pStyle w:val="Compact"/>
            </w:pPr>
            <w:r>
              <w:t xml:space="preserve">9</w:t>
            </w:r>
          </w:p>
        </w:tc>
      </w:tr>
      <w:tr>
        <w:tc>
          <w:tcPr/>
          <w:p>
            <w:pPr>
              <w:pStyle w:val="Compact"/>
            </w:pPr>
            <w:r>
              <w:t xml:space="preserve">10 TERRITORIO Assess Controls</w:t>
            </w:r>
          </w:p>
        </w:tc>
      </w:tr>
      <w:tr>
        <w:tc>
          <w:tcPr/>
          <w:p>
            <w:pPr>
              <w:pStyle w:val="Compact"/>
            </w:pPr>
            <w:r>
              <w:t xml:space="preserve">11</w:t>
            </w:r>
          </w:p>
        </w:tc>
      </w:tr>
      <w:tr>
        <w:tc>
          <w:tcPr/>
          <w:p>
            <w:pPr>
              <w:pStyle w:val="Compact"/>
            </w:pPr>
            <w:r>
              <w:t xml:space="preserve">12 Silencioso Monitor</w:t>
            </w:r>
          </w:p>
        </w:tc>
      </w:tr>
      <w:tr>
        <w:tc>
          <w:tcPr/>
          <w:p>
            <w:pPr>
              <w:pStyle w:val="Compact"/>
            </w:pPr>
            <w:r>
              <w:t xml:space="preserve">13 Silenciosos Bases de control y Tailoring</w:t>
            </w:r>
          </w:p>
        </w:tc>
      </w:tr>
      <w:tr>
        <w:tc>
          <w:tcPr/>
          <w:p>
            <w:pPr>
              <w:pStyle w:val="Compact"/>
            </w:pPr>
            <w:r>
              <w:t xml:space="preserve">TEN 14</w:t>
            </w:r>
          </w:p>
        </w:tc>
      </w:tr>
      <w:tr>
        <w:tc>
          <w:tcPr/>
          <w:p>
            <w:pPr>
              <w:pStyle w:val="Compact"/>
            </w:pPr>
            <w:r>
              <w:t xml:space="preserve">15</w:t>
            </w:r>
          </w:p>
        </w:tc>
      </w:tr>
      <w:tr>
        <w:tc>
          <w:tcPr/>
          <w:p>
            <w:pPr>
              <w:pStyle w:val="Compact"/>
            </w:pPr>
            <w:r>
              <w:t xml:space="preserve">16 Silencioso Evaluación Planificación y pruebas</w:t>
            </w:r>
          </w:p>
        </w:tc>
      </w:tr>
      <w:tr>
        <w:tc>
          <w:tcPr/>
          <w:p>
            <w:pPr>
              <w:pStyle w:val="Compact"/>
            </w:pPr>
            <w:r>
              <w:t xml:space="preserve">17 Silencioso paquete de autorización y POA consigoM</w:t>
            </w:r>
          </w:p>
        </w:tc>
      </w:tr>
      <w:tr>
        <w:tc>
          <w:tcPr/>
          <w:p>
            <w:pPr>
              <w:pStyle w:val="Compact"/>
            </w:pPr>
            <w:r>
              <w:t xml:space="preserve">18</w:t>
            </w:r>
          </w:p>
        </w:tc>
      </w:tr>
      <w:tr>
        <w:tc>
          <w:tcPr/>
          <w:p>
            <w:pPr>
              <w:pStyle w:val="Compact"/>
            </w:pPr>
            <w:r>
              <w:t xml:space="preserve">19 Silencioso OSCAL y Automatización</w:t>
            </w:r>
          </w:p>
        </w:tc>
      </w:tr>
      <w:tr>
        <w:tc>
          <w:tcPr/>
          <w:p>
            <w:pPr>
              <w:pStyle w:val="Compact"/>
            </w:pPr>
            <w:r>
              <w:t xml:space="preserve">TEN 20</w:t>
            </w:r>
          </w:p>
        </w:tc>
      </w:tr>
      <w:tr>
        <w:tc>
          <w:tcPr/>
          <w:p>
            <w:pPr>
              <w:pStyle w:val="Compact"/>
            </w:pPr>
            <w:r>
              <w:t xml:space="preserve">TEN 21</w:t>
            </w:r>
          </w:p>
        </w:tc>
      </w:tr>
      <w:tr>
        <w:tc>
          <w:tcPr/>
          <w:p>
            <w:pPr>
              <w:pStyle w:val="Compact"/>
            </w:pPr>
            <w:r>
              <w:t xml:space="preserve">TEN 22</w:t>
            </w:r>
          </w:p>
        </w:tc>
      </w:tr>
      <w:tr>
        <w:tc>
          <w:tcPr/>
          <w:p>
            <w:pPr>
              <w:pStyle w:val="Compact"/>
            </w:pPr>
            <w:r>
              <w:t xml:space="preserve">TEN 23</w:t>
            </w:r>
          </w:p>
        </w:tc>
      </w:tr>
      <w:tr>
        <w:tc>
          <w:tcPr/>
          <w:p>
            <w:pPr>
              <w:pStyle w:val="Compact"/>
            </w:pPr>
            <w:r>
              <w:t xml:space="preserve">24</w:t>
            </w:r>
          </w:p>
        </w:tc>
      </w:tr>
      <w:tr>
        <w:tc>
          <w:tcPr/>
          <w:p>
            <w:pPr>
              <w:pStyle w:val="Compact"/>
            </w:pPr>
            <w:r>
              <w:t xml:space="preserve">TEN 25 TENIDOS Actualizaciones de software, Confiabilidad de parche y liberación 5.2.0 TEN 34</w:t>
            </w:r>
          </w:p>
        </w:tc>
      </w:tr>
      <w:tr>
        <w:tc>
          <w:tcPr/>
          <w:p>
            <w:pPr>
              <w:pStyle w:val="Compact"/>
            </w:pPr>
            <w:r>
              <w:t xml:space="preserve">26</w:t>
            </w:r>
          </w:p>
        </w:tc>
      </w:tr>
      <w:tr>
        <w:tc>
          <w:tcPr/>
          <w:p>
            <w:pPr>
              <w:pStyle w:val="Compact"/>
            </w:pPr>
            <w:r>
              <w:t xml:space="preserve">27 Silencioso Gerente de juegos RMF</w:t>
            </w:r>
          </w:p>
        </w:tc>
      </w:tr>
      <w:tr>
        <w:tc>
          <w:tcPr/>
          <w:p>
            <w:pPr>
              <w:pStyle w:val="Compact"/>
            </w:pPr>
            <w:r>
              <w:t xml:space="preserve">28</w:t>
            </w:r>
          </w:p>
        </w:tc>
      </w:tr>
      <w:tr>
        <w:tc>
          <w:tcPr/>
          <w:p>
            <w:pPr>
              <w:pStyle w:val="Compact"/>
            </w:pPr>
            <w:r>
              <w:t xml:space="preserve">29</w:t>
            </w:r>
          </w:p>
        </w:tc>
      </w:tr>
      <w:tr>
        <w:tc>
          <w:tcPr/>
          <w:p>
            <w:pPr>
              <w:pStyle w:val="Compact"/>
            </w:pPr>
            <w:r>
              <w:t xml:space="preserve">30 TENIDOS Plantillas, Glosario, Índice y Referencias</w:t>
            </w:r>
          </w:p>
        </w:tc>
      </w:tr>
    </w:tbl>
    <w:bookmarkEnd w:id="11"/>
    <w:bookmarkStart w:id="12" w:name="rmf-and-sp-800-53-foundations"/>
    <w:p>
      <w:pPr>
        <w:pStyle w:val="Heading1"/>
      </w:pPr>
      <w:r>
        <w:t xml:space="preserve">1. RMF and SP 800-53 Foundations</w:t>
      </w:r>
    </w:p>
    <w:p>
      <w:pPr>
        <w:pStyle w:val="FirstParagraph"/>
      </w:pPr>
      <w:r>
        <w:rPr>
          <w:i/>
          <w:iCs/>
        </w:rPr>
        <w:t xml:space="preserve">RMF gestiona el riesgo de seguridad y privacidad mediante decisiones responsables del ciclo de vida</w:t>
      </w:r>
      <w:r>
        <w:t xml:space="preserve">.</w:t>
      </w:r>
    </w:p>
    <w:p>
      <w:pPr>
        <w:pStyle w:val="BodyText"/>
      </w:pPr>
      <w:r>
        <w:t xml:space="preserve">■img src=</w:t>
      </w:r>
      <w:r>
        <w:t xml:space="preserve">“media/image1.png”</w:t>
      </w:r>
      <w:r>
        <w:t xml:space="preserve"> </w:t>
      </w:r>
      <w:r>
        <w:t xml:space="preserve">estilo=</w:t>
      </w:r>
      <w:r>
        <w:t xml:space="preserve">“width:6.15in;height:3.39605in”</w:t>
      </w:r>
      <w:r>
        <w:t xml:space="preserve"> </w:t>
      </w:r>
      <w:r>
        <w:t xml:space="preserve">alt=</w:t>
      </w:r>
      <w:r>
        <w:t xml:space="preserve">“Prepare soporta cada paso, y Monitor alimenta nueva información de nuevo en las decisiones de riesgo.”</w:t>
      </w:r>
    </w:p>
    <w:p>
      <w:pPr>
        <w:pStyle w:val="BodyText"/>
      </w:pPr>
      <w:r>
        <w:t xml:space="preserve">Figura 1. Siete pasos RMF</w:t>
      </w:r>
    </w:p>
    <w:p>
      <w:pPr>
        <w:pStyle w:val="BodyText"/>
      </w:pPr>
      <w:r>
        <w:rPr>
          <w:b/>
          <w:bCs/>
        </w:rPr>
        <w:t xml:space="preserve">Item</w:t>
      </w:r>
      <w:r>
        <w:t xml:space="preserve"> </w:t>
      </w:r>
      <w:r>
        <w:t xml:space="preserve">|</w:t>
      </w:r>
      <w:r>
        <w:t xml:space="preserve"> </w:t>
      </w:r>
      <w:r>
        <w:rPr>
          <w:b/>
          <w:bCs/>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
          <w:bCs/>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12"/>
    <w:bookmarkStart w:id="13" w:name="actual-nist-publication-suite"/>
    <w:p>
      <w:pPr>
        <w:pStyle w:val="Heading1"/>
      </w:pPr>
      <w:r>
        <w:t xml:space="preserve">2. Actual NIST Publication Suite</w:t>
      </w:r>
    </w:p>
    <w:p>
      <w:pPr>
        <w:pStyle w:val="FirstParagraph"/>
      </w:pPr>
      <w:r>
        <w:rPr>
          <w:i/>
          <w:iCs/>
        </w:rPr>
        <w:t xml:space="preserve">Utilice la fuente oficial actual y entienda cómo cada publicación apoya el conjunto.</w:t>
      </w:r>
    </w:p>
    <w:p>
      <w:pPr>
        <w:pStyle w:val="BodyText"/>
      </w:pPr>
      <w:r>
        <w:rPr>
          <w:b/>
          <w:bCs/>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pStyle w:val="Compact"/>
        <w:numPr>
          <w:ilvl w:val="0"/>
          <w:numId w:val="1002"/>
        </w:numPr>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13"/>
    <w:bookmarkStart w:id="14" w:name="X8615cd808e7183773b844c0bcb64bc2c43a5ea1"/>
    <w:p>
      <w:pPr>
        <w:pStyle w:val="Heading1"/>
      </w:pPr>
      <w:r>
        <w:t xml:space="preserve">3. Gobernanza, Funciones y Decisiones de Riesgo</w:t>
      </w:r>
    </w:p>
    <w:p>
      <w:pPr>
        <w:pStyle w:val="FirstParagraph"/>
      </w:pPr>
      <w:r>
        <w:rPr>
          <w:i/>
          <w:iCs/>
        </w:rPr>
        <w:t xml:space="preserve">RMF roles separados implementación, evaluación, propiedad y aceptación de riesgos</w:t>
      </w:r>
      <w:r>
        <w:t xml:space="preserve">.</w:t>
      </w:r>
    </w:p>
    <w:p>
      <w:pPr>
        <w:pStyle w:val="BodyText"/>
      </w:pPr>
      <w:r>
        <w:t xml:space="preserve">■img src=</w:t>
      </w:r>
      <w:r>
        <w:t xml:space="preserve">“media/image2.png”</w:t>
      </w:r>
      <w:r>
        <w:t xml:space="preserve"> </w:t>
      </w:r>
      <w:r>
        <w:t xml:space="preserve">estilo=</w:t>
      </w:r>
      <w:r>
        <w:t xml:space="preserve">“width:6.15in;height:3.39605in”</w:t>
      </w:r>
      <w:r>
        <w:t xml:space="preserve"> </w:t>
      </w:r>
      <w:r>
        <w:t xml:space="preserve">alt=</w:t>
      </w:r>
      <w:r>
        <w:t xml:space="preserve">“Enterprise direction, mission/business needs, and system controls must stay connected.”</w:t>
      </w:r>
      <w:r>
        <w:t xml:space="preserve"> </w:t>
      </w:r>
      <w:r>
        <w:t xml:space="preserve">/</w:t>
      </w:r>
    </w:p>
    <w:p>
      <w:pPr>
        <w:pStyle w:val="BodyText"/>
      </w:pPr>
      <w:r>
        <w:t xml:space="preserve">Gráfico 2 Tres niveles de gestión de riesgos</w:t>
      </w:r>
    </w:p>
    <w:p>
      <w:pPr>
        <w:pStyle w:val="BodyText"/>
      </w:pPr>
      <w:r>
        <w:rPr>
          <w:b/>
          <w:bCs/>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14"/>
    <w:bookmarkStart w:id="17" w:name="X1c0e901585621abd373450fd79d361c83a0d1f7"/>
    <w:p>
      <w:pPr>
        <w:pStyle w:val="Heading1"/>
      </w:pPr>
      <w:r>
        <w:t xml:space="preserve">4. Ciclo de vida del sistema, alcance y autorización</w:t>
      </w:r>
    </w:p>
    <w:p>
      <w:pPr>
        <w:pStyle w:val="FirstParagraph"/>
      </w:pPr>
      <w:r>
        <w:rPr>
          <w:i/>
          <w:iCs/>
        </w:rPr>
        <w:t xml:space="preserve">Un límite claro es la base para la categorización, los controles, la evaluación y la autorización.</w:t>
      </w:r>
    </w:p>
    <w:bookmarkStart w:id="15"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
          <w:bCs/>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pStyle w:val="Compact"/>
        <w:numPr>
          <w:ilvl w:val="0"/>
          <w:numId w:val="1004"/>
        </w:numPr>
      </w:pPr>
      <w:r>
        <w:t xml:space="preserve">Prepararse a nivel de organización</w:t>
      </w:r>
    </w:p>
    <w:p>
      <w:pPr>
        <w:pStyle w:val="Compact"/>
        <w:numPr>
          <w:ilvl w:val="0"/>
          <w:numId w:val="1005"/>
        </w:numPr>
      </w:pPr>
      <w:r>
        <w:t xml:space="preserve">Preparación a nivel de organización hace que el sistema RMF funcione de manera coherente y eficiente.*</w:t>
      </w:r>
    </w:p>
    <w:bookmarkEnd w:id="15"/>
    <w:bookmarkStart w:id="16"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
          <w:bCs/>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16"/>
    <w:bookmarkEnd w:id="17"/>
    <w:bookmarkStart w:id="19" w:name="prepárate-en-el-nivel-del-sistema"/>
    <w:p>
      <w:pPr>
        <w:pStyle w:val="Heading1"/>
      </w:pPr>
      <w:r>
        <w:t xml:space="preserve">6. Prepárate en el nivel del sistema</w:t>
      </w:r>
    </w:p>
    <w:p>
      <w:pPr>
        <w:pStyle w:val="FirstParagraph"/>
      </w:pPr>
      <w:r>
        <w:rPr>
          <w:i/>
          <w:iCs/>
        </w:rPr>
        <w:t xml:space="preserve">La preparación a nivel de sistemas define la misión específica, los interesados, los límites, la información y el enfoque</w:t>
      </w:r>
      <w:r>
        <w:t xml:space="preserve">.</w:t>
      </w:r>
    </w:p>
    <w:bookmarkStart w:id="18"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18"/>
    <w:bookmarkEnd w:id="19"/>
    <w:bookmarkStart w:id="21" w:name="categorizar-el-sistema"/>
    <w:p>
      <w:pPr>
        <w:pStyle w:val="Heading1"/>
      </w:pPr>
      <w:r>
        <w:t xml:space="preserve">7. Categorizar el sistema</w:t>
      </w:r>
    </w:p>
    <w:p>
      <w:pPr>
        <w:pStyle w:val="FirstParagraph"/>
      </w:pPr>
      <w:r>
        <w:rPr>
          <w:i/>
          <w:iCs/>
        </w:rPr>
        <w:t xml:space="preserve">Categorization describes the potential impact of the loss of confidentiality, integrity, or availability.</w:t>
      </w:r>
    </w:p>
    <w:p>
      <w:pPr>
        <w:pStyle w:val="BodyText"/>
      </w:pPr>
      <w:r>
        <w:t xml:space="preserve">■img src=</w:t>
      </w:r>
      <w:r>
        <w:t xml:space="preserve">“media/image3.png”</w:t>
      </w:r>
      <w:r>
        <w:t xml:space="preserve"> </w:t>
      </w:r>
      <w:r>
        <w:t xml:space="preserve">style=</w:t>
      </w:r>
      <w:r>
        <w:t xml:space="preserve">“width:6.15in;height:3.39605in”</w:t>
      </w:r>
      <w:r>
        <w:t xml:space="preserve"> </w:t>
      </w:r>
      <w:r>
        <w:t xml:space="preserve">alt=</w:t>
      </w:r>
      <w:r>
        <w:t xml:space="preserve">“La castgorización comienza con el impacto de la información y produce un nivel de impacto del sistema aprobado”</w:t>
      </w:r>
      <w:r>
        <w:t xml:space="preserve">.</w:t>
      </w:r>
    </w:p>
    <w:p>
      <w:pPr>
        <w:pStyle w:val="BodyText"/>
      </w:pPr>
      <w:r>
        <w:t xml:space="preserve">Gráfico 3</w:t>
      </w:r>
    </w:p>
    <w:bookmarkStart w:id="20"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
          <w:bCs/>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20"/>
    <w:bookmarkEnd w:id="21"/>
    <w:bookmarkStart w:id="23" w:name="seleccione-controles"/>
    <w:p>
      <w:pPr>
        <w:pStyle w:val="Heading1"/>
      </w:pPr>
      <w:r>
        <w:t xml:space="preserve">8. Seleccione Controles</w:t>
      </w:r>
    </w:p>
    <w:p>
      <w:pPr>
        <w:pStyle w:val="FirstParagraph"/>
      </w:pPr>
      <w:r>
        <w:rPr>
          <w:i/>
          <w:iCs/>
        </w:rPr>
        <w:t xml:space="preserve">Selection crea un conjunto de controles adaptados que abordan el sistema y el riesgo organizativo.</w:t>
      </w:r>
    </w:p>
    <w:bookmarkStart w:id="22"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22"/>
    <w:bookmarkEnd w:id="23"/>
    <w:bookmarkStart w:id="25" w:name="controles-de-aplicación"/>
    <w:p>
      <w:pPr>
        <w:pStyle w:val="Heading1"/>
      </w:pPr>
      <w:r>
        <w:t xml:space="preserve">9. Controles de aplicación</w:t>
      </w:r>
    </w:p>
    <w:p>
      <w:pPr>
        <w:pStyle w:val="FirstParagraph"/>
      </w:pPr>
      <w:r>
        <w:rPr>
          <w:i/>
          <w:iCs/>
        </w:rPr>
        <w:t xml:space="preserve">La implementación convierte los controles seleccionados en salvaguardias reales, asignadas, configuradas y operadas</w:t>
      </w:r>
      <w:r>
        <w:t xml:space="preserve">.</w:t>
      </w:r>
    </w:p>
    <w:bookmarkStart w:id="24"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24"/>
    <w:bookmarkEnd w:id="25"/>
    <w:bookmarkStart w:id="27" w:name="evaluar-los-controles"/>
    <w:p>
      <w:pPr>
        <w:pStyle w:val="Heading1"/>
      </w:pPr>
      <w:r>
        <w:t xml:space="preserve">10. Evaluar los controles</w:t>
      </w:r>
    </w:p>
    <w:p>
      <w:pPr>
        <w:pStyle w:val="FirstParagraph"/>
      </w:pPr>
      <w:r>
        <w:rPr>
          <w:i/>
          <w:iCs/>
        </w:rPr>
        <w:t xml:space="preserve">La evaluación determina si los controles se aplican correctamente, funcionan según lo previsto y producen el resultado deseado</w:t>
      </w:r>
      <w:r>
        <w:t xml:space="preserve">.</w:t>
      </w:r>
    </w:p>
    <w:bookmarkStart w:id="26"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26"/>
    <w:bookmarkEnd w:id="27"/>
    <w:bookmarkStart w:id="29" w:name="X5d50ba505129005d140a4ac97deb03144b16df9"/>
    <w:p>
      <w:pPr>
        <w:pStyle w:val="Heading1"/>
      </w:pPr>
      <w:r>
        <w:t xml:space="preserve">11. Autorizar el sistema o los controles comunes</w:t>
      </w:r>
    </w:p>
    <w:p>
      <w:pPr>
        <w:pStyle w:val="Compact"/>
        <w:numPr>
          <w:ilvl w:val="0"/>
          <w:numId w:val="1012"/>
        </w:numPr>
      </w:pPr>
      <w:r>
        <w:t xml:space="preserve">La apropiación es una decisión explícita de alto riesgo basada en el conjunto de medidas y el contexto organizativo*.</w:t>
      </w:r>
    </w:p>
    <w:p>
      <w:pPr>
        <w:pStyle w:val="FirstParagraph"/>
      </w:pPr>
      <w:r>
        <w:t xml:space="preserve">■img src=</w:t>
      </w:r>
      <w:r>
        <w:t xml:space="preserve">“media/image4.png”</w:t>
      </w:r>
      <w:r>
        <w:t xml:space="preserve"> </w:t>
      </w:r>
      <w:r>
        <w:t xml:space="preserve">style=</w:t>
      </w:r>
      <w:r>
        <w:t xml:space="preserve">“width:6.15in;height:3.39605in”</w:t>
      </w:r>
      <w:r>
        <w:t xml:space="preserve"> </w:t>
      </w:r>
      <w:r>
        <w:t xml:space="preserve">alt=</w:t>
      </w:r>
      <w:r>
        <w:t xml:space="preserve">“El paquete es compatible con una decisión responsable con alcance definido, condiciones, duración y monitoreo”</w:t>
      </w:r>
      <w:r>
        <w:t xml:space="preserve">.</w:t>
      </w:r>
    </w:p>
    <w:p>
      <w:pPr>
        <w:pStyle w:val="BodyText"/>
      </w:pPr>
      <w:r>
        <w:t xml:space="preserve">Figure 7. Authorization risk decision</w:t>
      </w:r>
    </w:p>
    <w:bookmarkStart w:id="28"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
          <w:bCs/>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
          <w:bCs/>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28"/>
    <w:bookmarkEnd w:id="29"/>
    <w:bookmarkStart w:id="31" w:name="monitor-continuo"/>
    <w:p>
      <w:pPr>
        <w:pStyle w:val="Heading1"/>
      </w:pPr>
      <w:r>
        <w:t xml:space="preserve">12. Monitor continuo</w:t>
      </w:r>
    </w:p>
    <w:p>
      <w:pPr>
        <w:pStyle w:val="FirstParagraph"/>
      </w:pPr>
      <w:r>
        <w:rPr>
          <w:i/>
          <w:iCs/>
        </w:rPr>
        <w:t xml:space="preserve">Monitor controla, cambia el sistema, amenaza, hallazgos y riesgo después de la autorización.</w:t>
      </w:r>
    </w:p>
    <w:bookmarkStart w:id="30"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
          <w:iCs/>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30"/>
    <w:bookmarkEnd w:id="31"/>
    <w:bookmarkStart w:id="33" w:name="bases-de-control-y-adaptación"/>
    <w:p>
      <w:pPr>
        <w:pStyle w:val="Heading1"/>
      </w:pPr>
      <w:r>
        <w:t xml:space="preserve">13. Bases de control y adaptación</w:t>
      </w:r>
    </w:p>
    <w:p>
      <w:pPr>
        <w:pStyle w:val="FirstParagraph"/>
      </w:pPr>
      <w:r>
        <w:rPr>
          <w:i/>
          <w:iCs/>
        </w:rPr>
        <w:t xml:space="preserve">Las líneas de base son puntos de partida; la adaptación las hace apropiadas y defensibles.</w:t>
      </w:r>
    </w:p>
    <w:p>
      <w:pPr>
        <w:pStyle w:val="BodyText"/>
      </w:pPr>
      <w:r>
        <w:t xml:space="preserve">■img src=</w:t>
      </w:r>
      <w:r>
        <w:t xml:space="preserve">“media/image5.png”</w:t>
      </w:r>
      <w:r>
        <w:t xml:space="preserve"> </w:t>
      </w:r>
      <w:r>
        <w:t xml:space="preserve">style=</w:t>
      </w:r>
      <w:r>
        <w:t xml:space="preserve">“width:6.15in;height:3.39605in”</w:t>
      </w:r>
      <w:r>
        <w:t xml:space="preserve"> </w:t>
      </w:r>
      <w:r>
        <w:t xml:space="preserve">alt=</w:t>
      </w:r>
      <w:r>
        <w:t xml:space="preserve">“Tailoring cambia una base inicial en un conjunto de control documentado y basado en el riesgo.”</w:t>
      </w:r>
    </w:p>
    <w:p>
      <w:pPr>
        <w:pStyle w:val="BodyText"/>
      </w:pPr>
      <w:r>
        <w:t xml:space="preserve">Figura 4. Adaptación de control</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Baseline</w:t>
            </w:r>
          </w:p>
        </w:tc>
      </w:tr>
      <w:tr>
        <w:tc>
          <w:tcPr/>
          <w:p>
            <w:pPr>
              <w:pStyle w:val="Compac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32"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32"/>
    <w:bookmarkEnd w:id="33"/>
    <w:bookmarkStart w:id="35" w:name="controles-comunes-híbridos-y-sistémicos"/>
    <w:p>
      <w:pPr>
        <w:pStyle w:val="Heading1"/>
      </w:pPr>
      <w:r>
        <w:t xml:space="preserve">14. Controles comunes, híbridos y sistémicos</w:t>
      </w:r>
    </w:p>
    <w:p>
      <w:pPr>
        <w:pStyle w:val="FirstParagraph"/>
      </w:pPr>
      <w:r>
        <w:rPr>
          <w:i/>
          <w:iCs/>
        </w:rPr>
        <w:t xml:space="preserve">La asignación de control explica quién proporciona cada control y qué parte debe implementar el sistema</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34"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34"/>
    <w:bookmarkEnd w:id="35"/>
    <w:bookmarkStart w:id="37" w:name="X954dbf3c58cdc8934dfb0a3551d6a39016ac79e"/>
    <w:p>
      <w:pPr>
        <w:pStyle w:val="Heading1"/>
      </w:pPr>
      <w:r>
        <w:t xml:space="preserve">15. Redacción de declaraciones de aplicación fuertes</w:t>
      </w:r>
    </w:p>
    <w:p>
      <w:pPr>
        <w:pStyle w:val="FirstParagraph"/>
      </w:pPr>
      <w:r>
        <w:rPr>
          <w:i/>
          <w:iCs/>
        </w:rPr>
        <w:t xml:space="preserve">Una declaración de implementación debe permitir que otra persona entienda y pruebe el control real.</w:t>
      </w:r>
    </w:p>
    <w:p>
      <w:pPr>
        <w:pStyle w:val="BodyText"/>
      </w:pPr>
      <w:r>
        <w:t xml:space="preserve">“Estilo de control: 3.39605in”</w:t>
      </w:r>
      <w:r>
        <w:t xml:space="preserve"> </w:t>
      </w:r>
      <w:r>
        <w:t xml:space="preserve">alt=</w:t>
      </w:r>
      <w:r>
        <w:t xml:space="preserve">“Los identificadores de control son insuficientes; los requisitos de lectura, los parámetros, la discusión y las mejoras juntos.”</w:t>
      </w:r>
      <w:r>
        <w:t xml:space="preserve"> </w:t>
      </w:r>
      <w:r>
        <w:t xml:space="preserve">/</w:t>
      </w:r>
    </w:p>
    <w:p>
      <w:pPr>
        <w:pStyle w:val="BodyText"/>
      </w:pPr>
      <w:r>
        <w:t xml:space="preserve">Figura 5. Anatomía de control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Declaración débil</w:t>
            </w:r>
          </w:p>
        </w:tc>
      </w:tr>
      <w:tr>
        <w:tc>
          <w:tcPr/>
          <w:p>
            <w:pPr>
              <w:pStyle w:val="Compac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36"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36"/>
    <w:bookmarkEnd w:id="37"/>
    <w:bookmarkStart w:id="39" w:name="assessment-planning-and-evidence"/>
    <w:p>
      <w:pPr>
        <w:pStyle w:val="Heading1"/>
      </w:pPr>
      <w:r>
        <w:t xml:space="preserve">16. Assessment Planning and Evidence</w:t>
      </w:r>
    </w:p>
    <w:p>
      <w:pPr>
        <w:pStyle w:val="FirstParagraph"/>
      </w:pPr>
      <w:r>
        <w:rPr>
          <w:i/>
          <w:iCs/>
        </w:rPr>
        <w:t xml:space="preserve">Los procedimientos del SP 800-53A se adaptan a un plan de evaluación aprobado</w:t>
      </w:r>
      <w:r>
        <w:t xml:space="preserve">.</w:t>
      </w:r>
    </w:p>
    <w:p>
      <w:pPr>
        <w:pStyle w:val="BodyText"/>
      </w:pPr>
      <w:r>
        <w:t xml:space="preserve">“Methods, objetos, profundidad y cobertura deben ajustarse al objetivo y al riesgo.”</w:t>
      </w:r>
      <w:r>
        <w:t xml:space="preserve"> </w:t>
      </w:r>
      <w:r>
        <w:t xml:space="preserve">/ título</w:t>
      </w:r>
    </w:p>
    <w:p>
      <w:pPr>
        <w:pStyle w:val="BodyText"/>
      </w:pPr>
      <w:r>
        <w:t xml:space="preserve">Gráfico 6 Estructura del procedimiento de evaluación</w:t>
      </w:r>
    </w:p>
    <w:p>
      <w:pPr>
        <w:pStyle w:val="BodyText"/>
      </w:pPr>
      <w:r>
        <w:rPr>
          <w:b/>
          <w:bCs/>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38"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38"/>
    <w:bookmarkEnd w:id="39"/>
    <w:bookmarkStart w:id="41" w:name="paquete-de-autorización-y-poa-plagam"/>
    <w:p>
      <w:pPr>
        <w:pStyle w:val="Heading1"/>
      </w:pPr>
      <w:r>
        <w:t xml:space="preserve">17. Paquete de Autorización y POA plagaM</w:t>
      </w:r>
    </w:p>
    <w:p>
      <w:pPr>
        <w:pStyle w:val="FirstParagraph"/>
      </w:pPr>
      <w:r>
        <w:rPr>
          <w:i/>
          <w:iCs/>
        </w:rPr>
        <w:t xml:space="preserve">El paquete cuenta la historia de riesgo del propósito del sistema para abrir debilidad y monitoreo.</w:t>
      </w:r>
    </w:p>
    <w:bookmarkStart w:id="40"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“Anchura: 35%”</w:t>
      </w:r>
      <w:r>
        <w:t xml:space="preserve"> </w:t>
      </w:r>
      <w:r>
        <w:t xml:space="preserve">“Anchura: 64%”</w:t>
      </w:r>
      <w:r>
        <w:t xml:space="preserve"> </w:t>
      </w:r>
      <w:r>
        <w:t xml:space="preserve">■/colgroup</w:t>
      </w:r>
      <w:r>
        <w:t xml:space="preserve"> </w:t>
      </w:r>
      <w:r>
        <w:t xml:space="preserve">- No.</w:t>
      </w:r>
      <w:r>
        <w:t xml:space="preserve"> </w:t>
      </w:r>
      <w:r>
        <w:t xml:space="preserve">“Clase de dirección”</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“Clase”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“Clase”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“Clase”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pStyle w:val="Compact"/>
        <w:numPr>
          <w:ilvl w:val="0"/>
          <w:numId w:val="1020"/>
        </w:numPr>
      </w:pPr>
      <w:r>
        <w:t xml:space="preserve">Estrategia de vigilancia continua</w:t>
      </w:r>
    </w:p>
    <w:p>
      <w:pPr>
        <w:pStyle w:val="FirstParagraph"/>
      </w:pPr>
      <w:r>
        <w:rPr>
          <w:i/>
          <w:iCs/>
        </w:rPr>
        <w:t xml:space="preserve">Una estrategia de vigilancia define qué pruebas se recogen, con qué frecuencia y qué decisión sigue</w:t>
      </w:r>
      <w:r>
        <w:t xml:space="preserve">.</w:t>
      </w:r>
    </w:p>
    <w:p>
      <w:pPr>
        <w:pStyle w:val="BodyText"/>
      </w:pPr>
      <w:r>
        <w:t xml:space="preserve">Altura:3.39605in” alt=</w:t>
      </w:r>
      <w:r>
        <w:t xml:space="preserve">“Monitoring cierra el bucle del cambio y la evidencia para corregir las decisiones de riesgo.”</w:t>
      </w:r>
      <w:r>
        <w:t xml:space="preserve"> </w:t>
      </w:r>
      <w:r>
        <w:t xml:space="preserve">/ Propiedad</w:t>
      </w:r>
    </w:p>
    <w:p>
      <w:pPr>
        <w:pStyle w:val="BodyText"/>
      </w:pPr>
      <w:r>
        <w:t xml:space="preserve">Gráfico 8 Supervisión y respuesta continuas</w:t>
      </w:r>
    </w:p>
    <w:p>
      <w:pPr>
        <w:pStyle w:val="BodyText"/>
      </w:pPr>
      <w:r>
        <w:rPr>
          <w:b/>
          <w:bCs/>
        </w:rPr>
        <w:t xml:space="preserve">Field</w:t>
      </w:r>
      <w:r>
        <w:t xml:space="preserve"> </w:t>
      </w:r>
      <w:r>
        <w:t xml:space="preserve">|</w:t>
      </w:r>
      <w:r>
        <w:t xml:space="preserve"> </w:t>
      </w:r>
      <w:r>
        <w:rPr>
          <w:b/>
          <w:bCs/>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40"/>
    <w:bookmarkEnd w:id="41"/>
    <w:bookmarkStart w:id="43" w:name="oscal-and-automation"/>
    <w:p>
      <w:pPr>
        <w:pStyle w:val="Heading1"/>
      </w:pPr>
      <w:r>
        <w:t xml:space="preserve">19. OSCAL and Automation</w:t>
      </w:r>
    </w:p>
    <w:p>
      <w:pPr>
        <w:pStyle w:val="FirstParagraph"/>
      </w:pPr>
      <w:r>
        <w:rPr>
          <w:i/>
          <w:iCs/>
        </w:rPr>
        <w:t xml:space="preserve">OSCAL apoya la información de control, implementación, evaluación y remediación legible por máquina</w:t>
      </w:r>
      <w:r>
        <w:t xml:space="preserve">.</w:t>
      </w:r>
    </w:p>
    <w:p>
      <w:pPr>
        <w:pStyle w:val="BodyText"/>
      </w:pPr>
      <w:r>
        <w:t xml:space="preserve">יimg src=</w:t>
      </w:r>
      <w:r>
        <w:t xml:space="preserve">“media/image9.png”</w:t>
      </w:r>
      <w:r>
        <w:t xml:space="preserve"> </w:t>
      </w:r>
      <w:r>
        <w:t xml:space="preserve">style=</w:t>
      </w:r>
      <w:r>
        <w:t xml:space="preserve">“width:6.15in;height:3.39605in”</w:t>
      </w:r>
      <w:r>
        <w:t xml:space="preserve"> </w:t>
      </w:r>
      <w:r>
        <w:t xml:space="preserve">alt=</w:t>
      </w:r>
      <w:r>
        <w:t xml:space="preserve">“OSCAL modelos conectan lo que se requiere, cómo se implementa, cómo se evalúa, y lo que permanece abierto.”</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42"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42"/>
    <w:bookmarkEnd w:id="43"/>
    <w:bookmarkStart w:id="48" w:name="X5caa4d71b645acca4ad519a3628681453af137b"/>
    <w:p>
      <w:pPr>
        <w:pStyle w:val="Heading1"/>
      </w:pPr>
      <w:r>
        <w:t xml:space="preserve">20. Familias de control: acceso, conciencia, auditoría y evaluación</w:t>
      </w:r>
    </w:p>
    <w:p>
      <w:pPr>
        <w:pStyle w:val="FirstParagraph"/>
      </w:pPr>
      <w:r>
        <w:rPr>
          <w:i/>
          <w:iCs/>
        </w:rPr>
        <w:t xml:space="preserve">Four families establish who may act, how people learn, what is logged, and how assurance decisions are made.</w:t>
      </w:r>
    </w:p>
    <w:bookmarkStart w:id="44"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inventario, roles, aprobaciones, MFA, reglas de acceso, revisiones, revocaciones, registros</w:t>
            </w:r>
          </w:p>
        </w:tc>
      </w:tr>
    </w:tbl>
    <w:bookmarkEnd w:id="44"/>
    <w:bookmarkStart w:id="45"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45"/>
    <w:bookmarkStart w:id="46"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
          <w:bCs/>
        </w:rPr>
        <w:t xml:space="preserve">Implementation focus</w:t>
      </w:r>
      <w:r>
        <w:t xml:space="preserve"> </w:t>
      </w:r>
      <w:r>
        <w:t xml:space="preserve">|</w:t>
      </w:r>
      <w:r>
        <w:t xml:space="preserve"> </w:t>
      </w:r>
      <w:r>
        <w:rPr>
          <w:b/>
          <w:bCs/>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46"/>
    <w:bookmarkStart w:id="47"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
          <w:bCs/>
        </w:rPr>
        <w:t xml:space="preserve">Implementation focus</w:t>
      </w:r>
      <w:r>
        <w:t xml:space="preserve"> </w:t>
      </w:r>
      <w:r>
        <w:t xml:space="preserve">|</w:t>
      </w:r>
      <w:r>
        <w:t xml:space="preserve"> </w:t>
      </w:r>
      <w:r>
        <w:rPr>
          <w:b/>
          <w:bCs/>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47"/>
    <w:bookmarkEnd w:id="48"/>
    <w:bookmarkStart w:id="53" w:name="X0e7d1f60a491b3e8f8b7c9cb8a077cb92739272"/>
    <w:p>
      <w:pPr>
        <w:pStyle w:val="Heading1"/>
      </w:pPr>
      <w:r>
        <w:t xml:space="preserve">21. Familias de control: configuración, contingencia, identidad, incidentes y mantenimiento</w:t>
      </w:r>
    </w:p>
    <w:p>
      <w:pPr>
        <w:pStyle w:val="FirstParagraph"/>
      </w:pPr>
      <w:r>
        <w:rPr>
          <w:i/>
          <w:iCs/>
        </w:rPr>
        <w:t xml:space="preserve">Estas familias aseguran la configuración, resiliencia, identidad, respuesta y mantenimiento controlado.</w:t>
      </w:r>
    </w:p>
    <w:bookmarkStart w:id="49"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 Baselines, inventarios, aprobaciones, pruebas de cambio, escaneos, desviaciones, revisiones</w:t>
            </w:r>
          </w:p>
        </w:tc>
      </w:tr>
    </w:tbl>
    <w:bookmarkEnd w:id="49"/>
    <w:bookmarkStart w:id="50"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50"/>
    <w:bookmarkStart w:id="51"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Plan, roles, libros de juego, casos, evidencia, notificación, ejercicios, lecciones</w:t>
            </w:r>
          </w:p>
        </w:tc>
      </w:tr>
    </w:tbl>
    <w:bookmarkEnd w:id="51"/>
    <w:bookmarkStart w:id="52"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52"/>
    <w:bookmarkEnd w:id="53"/>
    <w:bookmarkStart w:id="58" w:name="X83ee796cc6731b6acf948417de23fc7649c0bec"/>
    <w:p>
      <w:pPr>
        <w:pStyle w:val="Heading1"/>
      </w:pPr>
      <w:r>
        <w:t xml:space="preserve">22. Familias de control: Medios, Física, Planificación, Programa y Personal</w:t>
      </w:r>
    </w:p>
    <w:p>
      <w:pPr>
        <w:pStyle w:val="FirstParagraph"/>
      </w:pPr>
      <w:r>
        <w:rPr>
          <w:i/>
          <w:iCs/>
        </w:rPr>
        <w:t xml:space="preserve">Estas familias protegen medios, instalaciones, planes, programas y personal.</w:t>
      </w:r>
    </w:p>
    <w:bookmarkStart w:id="54"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
          <w:bCs/>
        </w:rPr>
        <w:t xml:space="preserve">Implementation focus</w:t>
      </w:r>
      <w:r>
        <w:t xml:space="preserve"> </w:t>
      </w:r>
      <w:r>
        <w:t xml:space="preserve">|</w:t>
      </w:r>
      <w:r>
        <w:t xml:space="preserve"> </w:t>
      </w:r>
      <w:r>
        <w:rPr>
          <w:b/>
          <w:bCs/>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54"/>
    <w:bookmarkStart w:id="55"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w:t>
            </w:r>
          </w:p>
        </w:tc>
      </w:tr>
    </w:tbl>
    <w:bookmarkEnd w:id="55"/>
    <w:bookmarkStart w:id="56"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56"/>
    <w:bookmarkStart w:id="57"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tención de pruebas, acuerdos, cambios de roles, terminación de acceso, personal de terceros</w:t>
            </w:r>
          </w:p>
        </w:tc>
      </w:tr>
    </w:tbl>
    <w:bookmarkEnd w:id="57"/>
    <w:bookmarkEnd w:id="58"/>
    <w:bookmarkStart w:id="65" w:name="Xed9b6e21312b9288e1973ce0f3ba0b8252117ba"/>
    <w:p>
      <w:pPr>
        <w:pStyle w:val="Heading1"/>
      </w:pPr>
      <w:r>
        <w:t xml:space="preserve">23. Familias de control: Privacidad, Riesgo, Adquisición, Comunicaciones, Integridad y Cadena de Suministro</w:t>
      </w:r>
    </w:p>
    <w:p>
      <w:pPr>
        <w:pStyle w:val="FirstParagraph"/>
      </w:pPr>
      <w:r>
        <w:rPr>
          <w:i/>
          <w:iCs/>
        </w:rPr>
        <w:t xml:space="preserve">Estas familias cubren PII, riesgo, adquisición, arquitectura/comunicaciones, integridad y cadenas de suministro.</w:t>
      </w:r>
    </w:p>
    <w:bookmarkStart w:id="59"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59"/>
    <w:bookmarkStart w:id="60"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w:t>
            </w:r>
          </w:p>
        </w:tc>
      </w:tr>
    </w:tbl>
    <w:bookmarkEnd w:id="60"/>
    <w:bookmarkStart w:id="61"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61"/>
    <w:bookmarkStart w:id="62"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62"/>
    <w:bookmarkStart w:id="63"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63"/>
    <w:bookmarkStart w:id="64"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Implementation focus</w:t>
            </w:r>
          </w:p>
        </w:tc>
      </w:tr>
      <w:tr>
        <w:tc>
          <w:tcPr/>
          <w:p>
            <w:pPr>
              <w:pStyle w:val="Compact"/>
            </w:pPr>
            <w:r>
              <w:t xml:space="preserve">tención Definir el alcance, propietario, requisitos, procedimientos, tecnología, responsabilidades, excepciones y monitoreo. TEN C-SCRM plan, inventario de proveedores, crítica, contratos, procedencia, monitoreo, salida</w:t>
            </w:r>
          </w:p>
        </w:tc>
      </w:tr>
    </w:tbl>
    <w:bookmarkEnd w:id="64"/>
    <w:bookmarkEnd w:id="65"/>
    <w:bookmarkStart w:id="67" w:name="Xcb5297862379a9af9331c9d0dd96f25db783e18"/>
    <w:p>
      <w:pPr>
        <w:pStyle w:val="Heading1"/>
      </w:pPr>
      <w:r>
        <w:t xml:space="preserve">24. Riesgo de privacidad y seguridad – Colaboración de privacidad</w:t>
      </w:r>
    </w:p>
    <w:p>
      <w:pPr>
        <w:pStyle w:val="FirstParagraph"/>
      </w:pPr>
      <w:r>
        <w:rPr>
          <w:i/>
          <w:iCs/>
        </w:rPr>
        <w:t xml:space="preserve">Rev. 5 integra los controles de seguridad y privacidad preservando al mismo tiempo objetivos y métodos de riesgo distintos</w:t>
      </w:r>
      <w:r>
        <w:t xml:space="preserve">.</w:t>
      </w:r>
    </w:p>
    <w:bookmarkStart w:id="66"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
          <w:bCs/>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66"/>
    <w:bookmarkEnd w:id="67"/>
    <w:bookmarkStart w:id="69" w:name="X8528bed6cb766978700edae3575c95c9477fe5a"/>
    <w:p>
      <w:pPr>
        <w:pStyle w:val="Heading1"/>
      </w:pPr>
      <w:r>
        <w:t xml:space="preserve">25. Actualizaciones de software, fiabilidad de parche, y liberación 5.2.0</w:t>
      </w:r>
    </w:p>
    <w:p>
      <w:pPr>
        <w:pStyle w:val="FirstParagraph"/>
      </w:pPr>
      <w:r>
        <w:rPr>
          <w:i/>
          <w:iCs/>
        </w:rPr>
        <w:t xml:space="preserve">Release 5.2.0 fortalece la actualización de software, parche, integridad y cobertura de desarrollo resiliente.</w:t>
      </w:r>
    </w:p>
    <w:p>
      <w:pPr>
        <w:pStyle w:val="BodyText"/>
      </w:pPr>
      <w:r>
        <w:rPr>
          <w:b/>
          <w:bCs/>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68"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68"/>
    <w:bookmarkEnd w:id="69"/>
    <w:bookmarkStart w:id="100" w:name="open-source-tools-and-official-resources"/>
    <w:p>
      <w:pPr>
        <w:pStyle w:val="Heading1"/>
      </w:pPr>
      <w:r>
        <w:t xml:space="preserve">26. Open-Source Tools and Official Resources</w:t>
      </w:r>
    </w:p>
    <w:p>
      <w:pPr>
        <w:pStyle w:val="FirstParagraph"/>
      </w:pPr>
      <w:r>
        <w:rPr>
          <w:i/>
          <w:iCs/>
        </w:rPr>
        <w:t xml:space="preserve">Los recursos oficiales y los instrumentos de código abierto pueden apoyar la autorización, las pruebas, la evaluación y la vigilancia continua.</w:t>
      </w:r>
    </w:p>
    <w:p>
      <w:pPr>
        <w:pStyle w:val="BodyText"/>
      </w:pPr>
      <w:r>
        <w:rPr>
          <w:b/>
          <w:bCs/>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
          <w:bCs/>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70"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0"/>
    <w:bookmarkStart w:id="71"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1"/>
    <w:bookmarkStart w:id="72"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2"/>
    <w:bookmarkStart w:id="74" w:name="lula"/>
    <w:p>
      <w:pPr>
        <w:pStyle w:val="Heading2"/>
      </w:pPr>
      <w:r>
        <w:t xml:space="preserve">26.4 Lula</w:t>
      </w:r>
    </w:p>
    <w:p>
      <w:pPr>
        <w:pStyle w:val="FirstParagraph"/>
      </w:pPr>
      <w:r>
        <w:t xml:space="preserve">Propósito: Evaluar la evidencia de control como código. Proyecto oficial:</w:t>
      </w:r>
      <w:r>
        <w:t xml:space="preserve"> </w:t>
      </w:r>
      <w:hyperlink r:id="rId73">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4"/>
    <w:bookmarkStart w:id="76"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75">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6"/>
    <w:bookmarkStart w:id="78"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77">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78"/>
    <w:bookmarkStart w:id="80"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79">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0"/>
    <w:bookmarkStart w:id="82" w:name="oscal-cli"/>
    <w:p>
      <w:pPr>
        <w:pStyle w:val="Heading2"/>
      </w:pPr>
      <w:r>
        <w:t xml:space="preserve">26.8 OSCAL CLI</w:t>
      </w:r>
    </w:p>
    <w:p>
      <w:pPr>
        <w:pStyle w:val="FirstParagraph"/>
      </w:pPr>
      <w:r>
        <w:t xml:space="preserve">Propósito: Validar y transformar contenido OSCAL. Proyecto oficial:</w:t>
      </w:r>
      <w:r>
        <w:t xml:space="preserve"> </w:t>
      </w:r>
      <w:hyperlink r:id="rId81">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4"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83">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4"/>
    <w:bookmarkStart w:id="86"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85">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6"/>
    <w:bookmarkStart w:id="87"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nmap"/>
    <w:p>
      <w:pPr>
        <w:pStyle w:val="Heading2"/>
      </w:pPr>
      <w:r>
        <w:t xml:space="preserve">26.12 Nmap</w:t>
      </w:r>
    </w:p>
    <w:p>
      <w:pPr>
        <w:pStyle w:val="FirstParagraph"/>
      </w:pPr>
      <w:r>
        <w:t xml:space="preserve">Propósito: Activo autorizado y descubrimiento de servicios. Proyecto oficial:</w:t>
      </w:r>
      <w:r>
        <w:t xml:space="preserve"> </w:t>
      </w:r>
      <w:hyperlink r:id="rId88">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0"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0"/>
    <w:bookmarkStart w:id="92"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91">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2"/>
    <w:bookmarkStart w:id="93"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94">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96">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9"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98">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9"/>
    <w:bookmarkEnd w:id="100"/>
    <w:bookmarkStart w:id="104" w:name="manual-del-rmf-para-gerentes"/>
    <w:p>
      <w:pPr>
        <w:pStyle w:val="Heading1"/>
      </w:pPr>
      <w:r>
        <w:t xml:space="preserve">27. Manual del RMF para gerentes</w:t>
      </w:r>
    </w:p>
    <w:p>
      <w:pPr>
        <w:pStyle w:val="FirstParagraph"/>
      </w:pPr>
      <w:r>
        <w:rPr>
          <w:i/>
          <w:iCs/>
        </w:rPr>
        <w:t xml:space="preserve">Managers keep RMF focused on mission risk, reliable evidence, timely decisions, and correction.</w:t>
      </w:r>
    </w:p>
    <w:p>
      <w:pPr>
        <w:pStyle w:val="BodyText"/>
      </w:pPr>
      <w:r>
        <w:rPr>
          <w:b/>
          <w:bCs/>
        </w:rPr>
        <w:t xml:space="preserve">Area</w:t>
      </w:r>
      <w:r>
        <w:t xml:space="preserve"> </w:t>
      </w:r>
      <w:r>
        <w:t xml:space="preserve">|</w:t>
      </w:r>
      <w:r>
        <w:t xml:space="preserve"> </w:t>
      </w:r>
      <w:r>
        <w:rPr>
          <w:b/>
          <w:bCs/>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01"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pStyle w:val="Compact"/>
        <w:numPr>
          <w:ilvl w:val="0"/>
          <w:numId w:val="1025"/>
        </w:numPr>
      </w:pPr>
      <w:r>
        <w:t xml:space="preserve">Guía de la carrera de analista junior</w:t>
      </w:r>
    </w:p>
    <w:p>
      <w:pPr>
        <w:pStyle w:val="FirstParagraph"/>
      </w:pPr>
      <w:r>
        <w:rPr>
          <w:i/>
          <w:iCs/>
        </w:rPr>
        <w:t xml:space="preserve">Los analistas Junior RMF crean valor a través de límites precisos, mapas, declaraciones, evidencias, hallazgos y seguimiento.</w:t>
      </w:r>
    </w:p>
    <w:p>
      <w:pPr>
        <w:pStyle w:val="BodyText"/>
      </w:pPr>
      <w:r>
        <w:t xml:space="preserve">■img src=</w:t>
      </w:r>
      <w:r>
        <w:t xml:space="preserve">“media/image10.png”</w:t>
      </w:r>
      <w:r>
        <w:t xml:space="preserve"> </w:t>
      </w:r>
      <w:r>
        <w:t xml:space="preserve">estilo=</w:t>
      </w:r>
      <w:r>
        <w:t xml:space="preserve">“width:6.15in;height:3.39605in”</w:t>
      </w:r>
      <w:r>
        <w:t xml:space="preserve"> </w:t>
      </w:r>
      <w:r>
        <w:t xml:space="preserve">alt=</w:t>
      </w:r>
      <w:r>
        <w:t xml:space="preserve">“Trace cada conclusión del requisito a la implementación, evidencia, resultado, riesgo, y acción.”</w:t>
      </w:r>
    </w:p>
    <w:p>
      <w:pPr>
        <w:pStyle w:val="BodyText"/>
      </w:pPr>
      <w:r>
        <w:t xml:space="preserve">Gráfico 10 Júnior RMF vía analista</w:t>
      </w:r>
    </w:p>
    <w:bookmarkEnd w:id="101"/>
    <w:bookmarkStart w:id="102"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02"/>
    <w:bookmarkStart w:id="103"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03"/>
    <w:bookmarkEnd w:id="104"/>
    <w:bookmarkStart w:id="117" w:name="X63f7ead03adb023a9ee2fdd52a700da050674b2"/>
    <w:p>
      <w:pPr>
        <w:pStyle w:val="Heading1"/>
      </w:pPr>
      <w:r>
        <w:t xml:space="preserve">29. Laboratorio Ficcional, Plan de Treinta Días y Preparación de Entrevistas</w:t>
      </w:r>
    </w:p>
    <w:p>
      <w:pPr>
        <w:pStyle w:val="FirstParagraph"/>
      </w:pPr>
      <w:r>
        <w:rPr>
          <w:i/>
          <w:iCs/>
        </w:rPr>
        <w:t xml:space="preserve">Un sistema ficticio y un laboratorio autorizado pueden convertirse en una sólida cartera de nivel de entrada</w:t>
      </w:r>
      <w:r>
        <w:t xml:space="preserve">.</w:t>
      </w:r>
    </w:p>
    <w:p>
      <w:pPr>
        <w:pStyle w:val="Compact"/>
        <w:numPr>
          <w:ilvl w:val="0"/>
          <w:numId w:val="1028"/>
        </w:numPr>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05"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05"/>
    <w:bookmarkStart w:id="106" w:name="plan-de-30-días"/>
    <w:p>
      <w:pPr>
        <w:pStyle w:val="Heading2"/>
      </w:pPr>
      <w:r>
        <w:t xml:space="preserve">29.2 Plan de 30 días</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1–4</w:t>
            </w:r>
          </w:p>
        </w:tc>
      </w:tr>
      <w:tr>
        <w:tc>
          <w:tcPr/>
          <w:p>
            <w:pPr>
              <w:pStyle w:val="Compact"/>
            </w:pPr>
            <w:r>
              <w:t xml:space="preserve">TEN 5–7</w:t>
            </w:r>
          </w:p>
        </w:tc>
      </w:tr>
      <w:tr>
        <w:tc>
          <w:tcPr/>
          <w:p>
            <w:pPr>
              <w:pStyle w:val="Compact"/>
            </w:pPr>
            <w:r>
              <w:t xml:space="preserve">TEN 8–11</w:t>
            </w:r>
          </w:p>
        </w:tc>
      </w:tr>
      <w:tr>
        <w:tc>
          <w:tcPr/>
          <w:p>
            <w:pPr>
              <w:pStyle w:val="Compact"/>
            </w:pPr>
            <w:r>
              <w:t xml:space="preserve">12–15 Silencioso Aplicación y estudio de la familia</w:t>
            </w:r>
          </w:p>
        </w:tc>
      </w:tr>
      <w:tr>
        <w:tc>
          <w:tcPr/>
          <w:p>
            <w:pPr>
              <w:pStyle w:val="Compac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06"/>
    <w:bookmarkStart w:id="107"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07"/>
    <w:bookmarkStart w:id="108"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08"/>
    <w:bookmarkStart w:id="109"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09"/>
    <w:bookmarkStart w:id="110"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10"/>
    <w:bookmarkStart w:id="111"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11"/>
    <w:bookmarkStart w:id="112"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12"/>
    <w:bookmarkStart w:id="113"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13"/>
    <w:bookmarkStart w:id="114"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14"/>
    <w:bookmarkStart w:id="115"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15"/>
    <w:bookmarkStart w:id="116" w:name="qué-es-el-sp-800-53-actual"/>
    <w:p>
      <w:pPr>
        <w:pStyle w:val="Heading2"/>
      </w:pPr>
      <w:r>
        <w:t xml:space="preserve">29.12 ¿Qué es el SP 800-53 actual?</w:t>
      </w:r>
    </w:p>
    <w:p>
      <w:pPr>
        <w:pStyle w:val="FirstParagraph"/>
      </w:pPr>
      <w:r>
        <w:t xml:space="preserve">Revisión 5, Comunicado 5.2.0, emitido en agosto de 2025.</w:t>
      </w:r>
    </w:p>
    <w:bookmarkEnd w:id="116"/>
    <w:bookmarkEnd w:id="117"/>
    <w:bookmarkStart w:id="126" w:name="plantillas-glosario-índice-y-referencias"/>
    <w:p>
      <w:pPr>
        <w:pStyle w:val="Heading1"/>
      </w:pPr>
      <w:r>
        <w:t xml:space="preserve">30. Plantillas, Glosario, Índice y Referencias</w:t>
      </w:r>
    </w:p>
    <w:p>
      <w:pPr>
        <w:pStyle w:val="Compact"/>
        <w:numPr>
          <w:ilvl w:val="0"/>
          <w:numId w:val="1030"/>
        </w:numPr>
      </w:pPr>
      <w:r>
        <w:t xml:space="preserve">Estructuras de trabajo reutilizables, términos clave, índice de sujeto y fuentes oficiales.*</w:t>
      </w:r>
    </w:p>
    <w:bookmarkStart w:id="118"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“Sistema/propietario/misión”</w:t>
      </w:r>
      <w:r>
        <w:t xml:space="preserve"> </w:t>
      </w:r>
      <w:r>
        <w:t xml:space="preserve">“La autorización de la autoridad en la vida”</w:t>
      </w:r>
      <w:r>
        <w:t xml:space="preserve"> </w:t>
      </w:r>
      <w:r>
        <w:t xml:space="preserve">“La información sobre los tipos de información y el flujo de datos son insostenibles”</w:t>
      </w:r>
      <w:r>
        <w:t xml:space="preserve"> </w:t>
      </w:r>
      <w:r>
        <w:t xml:space="preserve">“Antes Arquitectura/interfaces”</w:t>
      </w:r>
      <w:r>
        <w:t xml:space="preserve"> </w:t>
      </w:r>
      <w:r>
        <w:t xml:space="preserve">Los servicios externos/los proveedores de la vida siguen adelante.</w:t>
      </w:r>
      <w:r>
        <w:t xml:space="preserve"> </w:t>
      </w:r>
      <w:r>
        <w:t xml:space="preserve">Controles/herencia comunes en la vida</w:t>
      </w:r>
      <w:r>
        <w:t xml:space="preserve"> </w:t>
      </w:r>
      <w:r>
        <w:t xml:space="preserve">“Dependencias/localizaciones”</w:t>
      </w:r>
      <w:r>
        <w:t xml:space="preserve"> </w:t>
      </w:r>
      <w:r>
        <w:t xml:space="preserve">| Categoría/racional |                              </w:t>
      </w:r>
      <w:r>
        <w:br/>
      </w:r>
      <w:r>
        <w:t xml:space="preserve">“La etapa/cambios del ciclo de vida en la vida”</w:t>
      </w:r>
      <w:r>
        <w:t xml:space="preserve"> </w:t>
      </w:r>
      <w:r>
        <w:t xml:space="preserve">“Aprobaciones/versión en la vida”</w:t>
      </w:r>
    </w:p>
    <w:bookmarkEnd w:id="118"/>
    <w:bookmarkStart w:id="119"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“Asignación/providente en la vida”</w:t>
      </w:r>
      <w:r>
        <w:t xml:space="preserve"> </w:t>
      </w:r>
      <w:r>
        <w:t xml:space="preserve">“La vida escoge/población”</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“Excepción/failure/review”</w:t>
      </w:r>
      <w:r>
        <w:t xml:space="preserve"> </w:t>
      </w:r>
      <w:r>
        <w:t xml:space="preserve">“Prisionista/aprobada/actualizada”</w:t>
      </w:r>
    </w:p>
    <w:bookmarkEnd w:id="119"/>
    <w:bookmarkStart w:id="120"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“Asunto/porque viviste”</w:t>
      </w:r>
      <w:r>
        <w:t xml:space="preserve"> </w:t>
      </w:r>
      <w:r>
        <w:t xml:space="preserve">“Acción/propietario/miles de piedras preciosas”</w:t>
      </w:r>
      <w:r>
        <w:t xml:space="preserve"> </w:t>
      </w:r>
      <w:r>
        <w:t xml:space="preserve">“La protección provisional de la vida”</w:t>
      </w:r>
      <w:r>
        <w:t xml:space="preserve"> </w:t>
      </w:r>
      <w:r>
        <w:t xml:space="preserve">“Retest/closure”</w:t>
      </w:r>
      <w:r>
        <w:t xml:space="preserve"> </w:t>
      </w:r>
      <w:r>
        <w:t xml:space="preserve">(Retest/closure)</w:t>
      </w:r>
      <w:r>
        <w:t xml:space="preserve"> </w:t>
      </w:r>
      <w:r>
        <w:t xml:space="preserve">“Perfecto”</w:t>
      </w:r>
    </w:p>
    <w:bookmarkEnd w:id="120"/>
    <w:bookmarkStart w:id="121"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“La decisión/oficial/termina”</w:t>
      </w:r>
      <w:r>
        <w:t xml:space="preserve"> </w:t>
      </w:r>
      <w:r>
        <w:t xml:space="preserve">“Permiso”</w:t>
      </w:r>
      <w:r>
        <w:t xml:space="preserve"> </w:t>
      </w:r>
      <w:r>
        <w:t xml:space="preserve">Las condiciones de vida/expiración siguen adelante.</w:t>
      </w:r>
      <w:r>
        <w:t xml:space="preserve"> </w:t>
      </w:r>
      <w:r>
        <w:t xml:space="preserve">| POA CENTRO M / graves riesgos |                            </w:t>
      </w:r>
      <w:r>
        <w:br/>
      </w:r>
      <w:r>
        <w:t xml:space="preserve">“Indicadores/fuentes/frecuencias”</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21"/>
    <w:bookmarkStart w:id="122"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22"/>
    <w:bookmarkStart w:id="123"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23"/>
    <w:bookmarkStart w:id="125"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24">
        <w:r>
          <w:rPr>
            <w:rStyle w:val="Hyperlink"/>
          </w:rPr>
          <w:t xml:space="preserve">cursos de introducción de XNIST RMF</w:t>
        </w:r>
      </w:hyperlink>
    </w:p>
    <w:p>
      <w:pPr>
        <w:pStyle w:val="FirstParagraph"/>
      </w:pPr>
      <w:r>
        <w:t xml:space="preserve">tención</w:t>
      </w:r>
      <w:r>
        <w:t xml:space="preserve"> </w:t>
      </w:r>
      <w:r>
        <w:rPr>
          <w:b/>
          <w:bCs/>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4" Target="https://csrc.nist.gov/projects/risk-management/rmf-courses" TargetMode="External" /><Relationship Type="http://schemas.openxmlformats.org/officeDocument/2006/relationships/hyperlink" Id="rId73" Target="https://github.com/defenseunicorns/lula" TargetMode="External" /><Relationship Type="http://schemas.openxmlformats.org/officeDocument/2006/relationships/hyperlink" Id="rId77" Target="https://github.com/mitre/heimdall2" TargetMode="External" /><Relationship Type="http://schemas.openxmlformats.org/officeDocument/2006/relationships/hyperlink" Id="rId79" Target="https://github.com/opencontrol" TargetMode="External" /><Relationship Type="http://schemas.openxmlformats.org/officeDocument/2006/relationships/hyperlink" Id="rId81" Target="https://github.com/usnistgov/oscal-cli" TargetMode="External" /><Relationship Type="http://schemas.openxmlformats.org/officeDocument/2006/relationships/hyperlink" Id="rId75" Target="https://intuitem.github.io/ciso-assistant-community/" TargetMode="External" /><Relationship Type="http://schemas.openxmlformats.org/officeDocument/2006/relationships/hyperlink" Id="rId88" Target="https://nmap.org/" TargetMode="External" /><Relationship Type="http://schemas.openxmlformats.org/officeDocument/2006/relationships/hyperlink" Id="rId91" Target="https://trivy.dev/" TargetMode="External" /><Relationship Type="http://schemas.openxmlformats.org/officeDocument/2006/relationships/hyperlink" Id="rId83" Target="https://wazuh.com/" TargetMode="External" /><Relationship Type="http://schemas.openxmlformats.org/officeDocument/2006/relationships/hyperlink" Id="rId96" Target="https://www.defectdojo.org/" TargetMode="External" /><Relationship Type="http://schemas.openxmlformats.org/officeDocument/2006/relationships/hyperlink" Id="rId94" Target="https://www.keycloak.org/" TargetMode="External" /><Relationship Type="http://schemas.openxmlformats.org/officeDocument/2006/relationships/hyperlink" Id="rId85" Target="https://www.open-scap.org/" TargetMode="External" /><Relationship Type="http://schemas.openxmlformats.org/officeDocument/2006/relationships/hyperlink" Id="rId98"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24" Target="https://csrc.nist.gov/projects/risk-management/rmf-courses" TargetMode="External" /><Relationship Type="http://schemas.openxmlformats.org/officeDocument/2006/relationships/hyperlink" Id="rId73" Target="https://github.com/defenseunicorns/lula" TargetMode="External" /><Relationship Type="http://schemas.openxmlformats.org/officeDocument/2006/relationships/hyperlink" Id="rId77" Target="https://github.com/mitre/heimdall2" TargetMode="External" /><Relationship Type="http://schemas.openxmlformats.org/officeDocument/2006/relationships/hyperlink" Id="rId79" Target="https://github.com/opencontrol" TargetMode="External" /><Relationship Type="http://schemas.openxmlformats.org/officeDocument/2006/relationships/hyperlink" Id="rId81" Target="https://github.com/usnistgov/oscal-cli" TargetMode="External" /><Relationship Type="http://schemas.openxmlformats.org/officeDocument/2006/relationships/hyperlink" Id="rId75" Target="https://intuitem.github.io/ciso-assistant-community/" TargetMode="External" /><Relationship Type="http://schemas.openxmlformats.org/officeDocument/2006/relationships/hyperlink" Id="rId88" Target="https://nmap.org/" TargetMode="External" /><Relationship Type="http://schemas.openxmlformats.org/officeDocument/2006/relationships/hyperlink" Id="rId91" Target="https://trivy.dev/" TargetMode="External" /><Relationship Type="http://schemas.openxmlformats.org/officeDocument/2006/relationships/hyperlink" Id="rId83" Target="https://wazuh.com/" TargetMode="External" /><Relationship Type="http://schemas.openxmlformats.org/officeDocument/2006/relationships/hyperlink" Id="rId96" Target="https://www.defectdojo.org/" TargetMode="External" /><Relationship Type="http://schemas.openxmlformats.org/officeDocument/2006/relationships/hyperlink" Id="rId94" Target="https://www.keycloak.org/" TargetMode="External" /><Relationship Type="http://schemas.openxmlformats.org/officeDocument/2006/relationships/hyperlink" Id="rId85" Target="https://www.open-scap.org/" TargetMode="External" /><Relationship Type="http://schemas.openxmlformats.org/officeDocument/2006/relationships/hyperlink" Id="rId98"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2026-07-28T19:58:54Z</dcterms:created>
  <dcterms:modified xsi:type="dcterms:W3CDTF">2026-07-28T19:58:54Z</dcterms:modified>
</cp:coreProperties>
</file>

<file path=docProps/custom.xml><?xml version="1.0" encoding="utf-8"?>
<Properties xmlns="http://schemas.openxmlformats.org/officeDocument/2006/custom-properties" xmlns:vt="http://schemas.openxmlformats.org/officeDocument/2006/docPropsVTypes"/>
</file>