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ISO/IEC 27001:2022 " ISO/IEC 27002:2022</w:t>
      </w:r>
    </w:p>
    <w:p>
      <w:pPr>
        <w:pStyle w:val="BodyText"/>
      </w:pPr>
      <w:r>
        <w:t xml:space="preserve">** ISMS práctico, riesgos, auditorías, controles y herramientas de código abierto**</w:t>
      </w:r>
    </w:p>
    <w:p>
      <w:pPr>
        <w:pStyle w:val="BodyText"/>
      </w:pPr>
      <w:r>
        <w:rPr>
          <w:i/>
          <w:iCs/>
        </w:rPr>
        <w:t xml:space="preserve">Un manual de trabajo para administradores, analistas juniores, estudiantes, cambiadores de carrera, auditores internos y equipos de seguridad</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10"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9"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9"/>
    <w:bookmarkEnd w:id="10"/>
    <w:bookmarkStart w:id="11" w:name="prefacio"/>
    <w:p>
      <w:pPr>
        <w:pStyle w:val="Heading1"/>
      </w:pPr>
      <w:r>
        <w:t xml:space="preserve">Prefacio</w:t>
      </w:r>
    </w:p>
    <w:p>
      <w:pPr>
        <w:pStyle w:val="FirstParagraph"/>
      </w:pPr>
      <w:r>
        <w:rPr>
          <w:i/>
          <w:iCs/>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11"/>
    <w:bookmarkStart w:id="12"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12"/>
    <w:bookmarkStart w:id="13" w:name="isoiec-27001-y-27002-foundations"/>
    <w:p>
      <w:pPr>
        <w:pStyle w:val="Heading1"/>
      </w:pPr>
      <w:r>
        <w:t xml:space="preserve">1. ISO/IEC 27001 y 27002 Foundations</w:t>
      </w:r>
    </w:p>
    <w:p>
      <w:pPr>
        <w:pStyle w:val="FirstParagraph"/>
      </w:pPr>
      <w:r>
        <w:rPr>
          <w:i/>
          <w:iCs/>
        </w:rPr>
        <w:t xml:space="preserve">Ediciones actuales, propósito, relación y limitaciones importantes.</w:t>
      </w:r>
    </w:p>
    <w:p>
      <w:pPr>
        <w:pStyle w:val="BodyText"/>
      </w:pPr>
      <w:r>
        <w:t xml:space="preserve">لimg src=</w:t>
      </w:r>
      <w:r>
        <w:t xml:space="preserve">“media/image1.png”</w:t>
      </w:r>
      <w:r>
        <w:t xml:space="preserve"> </w:t>
      </w:r>
      <w:r>
        <w:t xml:space="preserve">style=</w:t>
      </w:r>
      <w:r>
        <w:t xml:space="preserve">“width:6.15in;height:3.39605in”</w:t>
      </w:r>
      <w:r>
        <w:t xml:space="preserve"> </w:t>
      </w:r>
      <w:r>
        <w:t xml:space="preserve">alt=</w:t>
      </w:r>
      <w:r>
        <w:t xml:space="preserve">“Context and risk drive planning, implementation, evaluation, and improvement.”</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pStyle w:val="Compact"/>
        <w:numPr>
          <w:ilvl w:val="0"/>
          <w:numId w:val="1002"/>
        </w:numPr>
      </w:pPr>
      <w:r>
        <w:t xml:space="preserve">ISMS Scope and Interested Parties</w:t>
      </w:r>
    </w:p>
    <w:p>
      <w:pPr>
        <w:pStyle w:val="FirstParagraph"/>
      </w:pPr>
      <w:r>
        <w:rPr>
          <w:i/>
          <w:iCs/>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13"/>
    <w:bookmarkStart w:id="14" w:name="Xf38315ed87a8112d4a12ff34085e41899658b2d"/>
    <w:p>
      <w:pPr>
        <w:pStyle w:val="Heading1"/>
      </w:pPr>
      <w:r>
        <w:t xml:space="preserve">3. Evaluación de riesgos y tratamiento de riesgos</w:t>
      </w:r>
    </w:p>
    <w:p>
      <w:pPr>
        <w:pStyle w:val="FirstParagraph"/>
      </w:pPr>
      <w:r>
        <w:rPr>
          <w:i/>
          <w:iCs/>
        </w:rPr>
        <w:t xml:space="preserve">Un método repetible que conecta el riesgo empresarial para controlar las decisiones</w:t>
      </w:r>
      <w:r>
        <w:t xml:space="preserve">.</w:t>
      </w:r>
    </w:p>
    <w:p>
      <w:pPr>
        <w:pStyle w:val="BodyText"/>
      </w:pPr>
      <w:r>
        <w:t xml:space="preserve">El estilo</w:t>
      </w:r>
      <w:r>
        <w:t xml:space="preserve"> </w:t>
      </w:r>
      <w:r>
        <w:t xml:space="preserve">“png”</w:t>
      </w:r>
      <w:r>
        <w:t xml:space="preserve">=</w:t>
      </w:r>
      <w:r>
        <w:t xml:space="preserve">“width:6.15in;height:3.39605in”</w:t>
      </w:r>
      <w:r>
        <w:t xml:space="preserve"> </w:t>
      </w:r>
      <w:r>
        <w:t xml:space="preserve">alt=</w:t>
      </w:r>
      <w:r>
        <w:t xml:space="preserve">“Los dueños de Risk evalúan escenarios, tratamiento y riesgo residual utilizando criterios definidos”</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
          <w:bCs/>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14"/>
    <w:bookmarkStart w:id="15" w:name="declaración-de-aplicabilidad"/>
    <w:p>
      <w:pPr>
        <w:pStyle w:val="Heading1"/>
      </w:pPr>
      <w:r>
        <w:t xml:space="preserve">4. Declaración de aplicabilidad</w:t>
      </w:r>
    </w:p>
    <w:p>
      <w:pPr>
        <w:pStyle w:val="FirstParagraph"/>
      </w:pPr>
      <w:r>
        <w:rPr>
          <w:i/>
          <w:iCs/>
        </w:rPr>
        <w:t xml:space="preserve">El puente entre el tratamiento del riesgo, el anexo A, otros controles y pruebas de auditoría</w:t>
      </w:r>
      <w:r>
        <w:t xml:space="preserve">.</w:t>
      </w:r>
    </w:p>
    <w:p>
      <w:pPr>
        <w:pStyle w:val="BodyText"/>
      </w:pPr>
      <w:r>
        <w:t xml:space="preserve">■img src=</w:t>
      </w:r>
      <w:r>
        <w:t xml:space="preserve">“media/image3.png”</w:t>
      </w:r>
      <w:r>
        <w:t xml:space="preserve"> </w:t>
      </w:r>
      <w:r>
        <w:t xml:space="preserve">style=</w:t>
      </w:r>
      <w:r>
        <w:t xml:space="preserve">“width:6.15in;height:3.39605in”</w:t>
      </w:r>
      <w:r>
        <w:t xml:space="preserve"> </w:t>
      </w:r>
      <w:r>
        <w:t xml:space="preserve">alt=</w:t>
      </w:r>
      <w:r>
        <w:t xml:space="preserve">“The SoA records reasoned control selection and implementation status.”</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
          <w:bCs/>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15"/>
    <w:bookmarkStart w:id="16" w:name="documentación-y-evidencia"/>
    <w:p>
      <w:pPr>
        <w:pStyle w:val="Heading1"/>
      </w:pPr>
      <w:r>
        <w:t xml:space="preserve">5. Documentación y evidencia</w:t>
      </w:r>
    </w:p>
    <w:p>
      <w:pPr>
        <w:pStyle w:val="FirstParagraph"/>
      </w:pPr>
      <w:r>
        <w:rPr>
          <w:i/>
          <w:iCs/>
        </w:rPr>
        <w:t xml:space="preserve">Cómo mantener información documentada útil sin crear burocracia</w:t>
      </w:r>
      <w:r>
        <w:t xml:space="preserve">.</w:t>
      </w:r>
    </w:p>
    <w:p>
      <w:pPr>
        <w:pStyle w:val="BodyText"/>
      </w:pPr>
      <w:r>
        <w:t xml:space="preserve">■img src=</w:t>
      </w:r>
      <w:r>
        <w:t xml:space="preserve">“media/image4.png”</w:t>
      </w:r>
      <w:r>
        <w:t xml:space="preserve"> </w:t>
      </w:r>
      <w:r>
        <w:t xml:space="preserve">style=</w:t>
      </w:r>
      <w:r>
        <w:t xml:space="preserve">“width:6.15in;height:3.29079in”</w:t>
      </w:r>
      <w:r>
        <w:t xml:space="preserve"> </w:t>
      </w:r>
      <w:r>
        <w:t xml:space="preserve">alt=</w:t>
      </w:r>
      <w:r>
        <w:t xml:space="preserve">“La evidencia debe apoyar el diseño, operación, excepciones, corrección, y retest.”</w:t>
      </w:r>
    </w:p>
    <w:p>
      <w:pPr>
        <w:pStyle w:val="BodyText"/>
      </w:pPr>
      <w:r>
        <w:t xml:space="preserve">Figure 4. Requirement-to-evidence chain</w:t>
      </w:r>
    </w:p>
    <w:p>
      <w:pPr>
        <w:pStyle w:val="BodyText"/>
      </w:pPr>
      <w:r>
        <w:rPr>
          <w:b/>
          <w:bCs/>
        </w:rPr>
        <w:t xml:space="preserve">Documento o registro</w:t>
      </w:r>
      <w:r>
        <w:t xml:space="preserve"> </w:t>
      </w:r>
      <w:r>
        <w:t xml:space="preserve">|</w:t>
      </w:r>
      <w:r>
        <w:t xml:space="preserve"> </w:t>
      </w:r>
      <w:r>
        <w:rPr>
          <w:b/>
          <w:bCs/>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
          <w:iCs/>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
          <w:bCs/>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pStyle w:val="Compact"/>
        <w:numPr>
          <w:ilvl w:val="0"/>
          <w:numId w:val="1005"/>
        </w:numPr>
      </w:pPr>
      <w:r>
        <w:t xml:space="preserve">Cláusula 5 - Liderazgo</w:t>
      </w:r>
    </w:p>
    <w:p>
      <w:pPr>
        <w:pStyle w:val="FirstParagraph"/>
      </w:pPr>
      <w:r>
        <w:rPr>
          <w:i/>
          <w:iCs/>
        </w:rPr>
        <w:t xml:space="preserve">Requisitos de idiomas, enfoque de verificación y pruebas de ejemplo</w:t>
      </w:r>
      <w:r>
        <w:t xml:space="preserve">.</w:t>
      </w:r>
    </w:p>
    <w:p>
      <w:pPr>
        <w:pStyle w:val="BodyText"/>
      </w:pPr>
      <w:r>
        <w:rPr>
          <w:b/>
          <w:bCs/>
        </w:rPr>
        <w:t xml:space="preserve">Propósito de uso:</w:t>
      </w:r>
      <w:r>
        <w:t xml:space="preserve"> </w:t>
      </w:r>
      <w:r>
        <w:t xml:space="preserve">Liderazgo</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r>
        <w:tc>
          <w:tcPr/>
          <w:p>
            <w:pPr>
              <w:pStyle w:val="Compact"/>
            </w:pPr>
            <w:r>
              <w:t xml:space="preserve">tención 5.1</w:t>
            </w:r>
          </w:p>
        </w:tc>
      </w:tr>
      <w:tr>
        <w:tc>
          <w:tcPr/>
          <w:p>
            <w:pPr>
              <w:pStyle w:val="Compact"/>
            </w:pPr>
            <w:r>
              <w:t xml:space="preserve">TEN 5.2</w:t>
            </w:r>
          </w:p>
        </w:tc>
      </w:tr>
      <w:tr>
        <w:tc>
          <w:tcPr/>
          <w:p>
            <w:pPr>
              <w:pStyle w:val="Compac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pStyle w:val="Compact"/>
        <w:numPr>
          <w:ilvl w:val="0"/>
          <w:numId w:val="1006"/>
        </w:numPr>
      </w:pPr>
      <w:r>
        <w:t xml:space="preserve">Cláusula 6 - Planificación</w:t>
      </w:r>
    </w:p>
    <w:p>
      <w:pPr>
        <w:pStyle w:val="FirstParagraph"/>
      </w:pPr>
      <w:r>
        <w:rPr>
          <w:i/>
          <w:iCs/>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r>
        <w:tc>
          <w:tcPr/>
          <w:p>
            <w:pPr>
              <w:pStyle w:val="Compact"/>
            </w:pPr>
            <w:r>
              <w:t xml:space="preserve">tención 6.1.1</w:t>
            </w:r>
          </w:p>
        </w:tc>
      </w:tr>
      <w:tr>
        <w:tc>
          <w:tcPr/>
          <w:p>
            <w:pPr>
              <w:pStyle w:val="Compact"/>
            </w:pPr>
            <w:r>
              <w:t xml:space="preserve">tención 6.1.2</w:t>
            </w:r>
          </w:p>
        </w:tc>
      </w:tr>
      <w:tr>
        <w:tc>
          <w:tcPr/>
          <w:p>
            <w:pPr>
              <w:pStyle w:val="Compact"/>
            </w:pPr>
            <w:r>
              <w:t xml:space="preserve">TEN 6.1.3</w:t>
            </w:r>
          </w:p>
        </w:tc>
      </w:tr>
      <w:tr>
        <w:tc>
          <w:tcPr/>
          <w:p>
            <w:pPr>
              <w:pStyle w:val="Compac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Compact"/>
        <w:numPr>
          <w:ilvl w:val="0"/>
          <w:numId w:val="1007"/>
        </w:numPr>
      </w:pPr>
      <w:r>
        <w:t xml:space="preserve">Cláusula 7 - Apoyo</w:t>
      </w:r>
    </w:p>
    <w:p>
      <w:pPr>
        <w:pStyle w:val="FirstParagraph"/>
      </w:pPr>
      <w:r>
        <w:rPr>
          <w:i/>
          <w:iCs/>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r>
        <w:tc>
          <w:tcPr/>
          <w:p>
            <w:pPr>
              <w:pStyle w:val="Compact"/>
            </w:pPr>
            <w:r>
              <w:t xml:space="preserve">tención 7.1</w:t>
            </w:r>
          </w:p>
        </w:tc>
      </w:tr>
      <w:tr>
        <w:tc>
          <w:tcPr/>
          <w:p>
            <w:pPr>
              <w:pStyle w:val="Compact"/>
            </w:pPr>
            <w:r>
              <w:t xml:space="preserve">tención 7.2</w:t>
            </w:r>
          </w:p>
        </w:tc>
      </w:tr>
      <w:tr>
        <w:tc>
          <w:tcPr/>
          <w:p>
            <w:pPr>
              <w:pStyle w:val="Compact"/>
            </w:pPr>
            <w:r>
              <w:t xml:space="preserve">tención 7.3</w:t>
            </w:r>
          </w:p>
        </w:tc>
      </w:tr>
      <w:tr>
        <w:tc>
          <w:tcPr/>
          <w:p>
            <w:pPr>
              <w:pStyle w:val="Compact"/>
            </w:pPr>
            <w:r>
              <w:t xml:space="preserve">TEN 7.4</w:t>
            </w:r>
          </w:p>
        </w:tc>
      </w:tr>
      <w:tr>
        <w:tc>
          <w:tcPr/>
          <w:p>
            <w:pPr>
              <w:pStyle w:val="Compac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
          <w:iCs/>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
          <w:bCs/>
        </w:rPr>
        <w:t xml:space="preserve">Cláusula</w:t>
      </w:r>
      <w:r>
        <w:t xml:space="preserve"> </w:t>
      </w:r>
      <w:r>
        <w:t xml:space="preserve">|</w:t>
      </w:r>
      <w:r>
        <w:t xml:space="preserve"> </w:t>
      </w:r>
      <w:r>
        <w:rPr>
          <w:b/>
          <w:bCs/>
        </w:rPr>
        <w:t xml:space="preserve">Significado claro</w:t>
      </w:r>
      <w:r>
        <w:t xml:space="preserve"> </w:t>
      </w:r>
      <w:r>
        <w:t xml:space="preserve">|</w:t>
      </w:r>
      <w:r>
        <w:t xml:space="preserve"> </w:t>
      </w:r>
      <w:r>
        <w:rPr>
          <w:b/>
          <w:bCs/>
        </w:rPr>
        <w:t xml:space="preserve">Enfoque de verificación</w:t>
      </w:r>
      <w:r>
        <w:t xml:space="preserve"> </w:t>
      </w:r>
      <w:r>
        <w:t xml:space="preserve">|</w:t>
      </w:r>
      <w:r>
        <w:t xml:space="preserve"> </w:t>
      </w:r>
      <w:r>
        <w:rPr>
          <w:b/>
          <w:bCs/>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Compact"/>
        <w:numPr>
          <w:ilvl w:val="0"/>
          <w:numId w:val="1008"/>
        </w:numPr>
      </w:pPr>
    </w:p>
    <w:p>
      <w:pPr>
        <w:pStyle w:val="Compact"/>
        <w:numPr>
          <w:ilvl w:val="1"/>
          <w:numId w:val="1009"/>
        </w:numPr>
      </w:pPr>
      <w:r>
        <w:t xml:space="preserve">Cláusula 9 - Evaluación del desempeño</w:t>
      </w:r>
    </w:p>
    <w:p>
      <w:pPr>
        <w:pStyle w:val="FirstParagraph"/>
      </w:pPr>
      <w:r>
        <w:rPr>
          <w:i/>
          <w:iCs/>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r>
        <w:tc>
          <w:tcPr/>
          <w:p>
            <w:pPr>
              <w:pStyle w:val="Compact"/>
            </w:pPr>
            <w:r>
              <w:t xml:space="preserve">tención 9.1</w:t>
            </w:r>
          </w:p>
        </w:tc>
      </w:tr>
      <w:tr>
        <w:tc>
          <w:tcPr/>
          <w:p>
            <w:pPr>
              <w:pStyle w:val="Compac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
          <w:iCs/>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“Los 93 controles de referencia se agrupan en temas organizativos, de personas, físicos y tecnológicos.”</w:t>
      </w:r>
      <w:r>
        <w:t xml:space="preserve"> </w:t>
      </w:r>
      <w:r>
        <w:t xml:space="preserve">/ título</w:t>
      </w:r>
    </w:p>
    <w:p>
      <w:pPr>
        <w:pStyle w:val="BodyText"/>
      </w:pPr>
      <w:r>
        <w:t xml:space="preserve">Gráfico 6 Temas de control del anexo A</w:t>
      </w:r>
    </w:p>
    <w:p>
      <w:pPr>
        <w:pStyle w:val="Compact"/>
        <w:numPr>
          <w:ilvl w:val="0"/>
          <w:numId w:val="1010"/>
        </w:numPr>
      </w:pPr>
      <w:r>
        <w:t xml:space="preserve">Anexo A 5 Controles de organización</w:t>
      </w:r>
    </w:p>
    <w:p>
      <w:pPr>
        <w:pStyle w:val="Compact"/>
        <w:numPr>
          <w:ilvl w:val="0"/>
          <w:numId w:val="1011"/>
        </w:numPr>
      </w:pPr>
      <w:r>
        <w:t xml:space="preserve">Resúmenes originales de los controles de referencia, el enfoque de verificación y los ejemplos de pruebas*.</w:t>
      </w:r>
    </w:p>
    <w:p>
      <w:pPr>
        <w:pStyle w:val="FirstParagraph"/>
      </w:pPr>
      <w:r>
        <w:rPr>
          <w:b/>
          <w:bCs/>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pStyle w:val="Compact"/>
        <w:numPr>
          <w:ilvl w:val="0"/>
          <w:numId w:val="1012"/>
        </w:numPr>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“media/image7.png”</w:t>
      </w:r>
      <w:r>
        <w:t xml:space="preserve"> </w:t>
      </w:r>
      <w:r>
        <w:t xml:space="preserve">style=</w:t>
      </w:r>
      <w:r>
        <w:t xml:space="preserve">“width:6.15in;height:3.29657in”</w:t>
      </w:r>
      <w:r>
        <w:t xml:space="preserve"> </w:t>
      </w:r>
      <w:r>
        <w:t xml:space="preserve">alt=</w:t>
      </w:r>
      <w:r>
        <w:t xml:space="preserve">“Prepare, evalúe, responda, preserve evidencia y aprenda de incidentes.”</w:t>
      </w:r>
      <w:r>
        <w:t xml:space="preserve"> </w:t>
      </w:r>
      <w:r>
        <w:t xml:space="preserve">/</w:t>
      </w:r>
    </w:p>
    <w:p>
      <w:pPr>
        <w:pStyle w:val="BodyText"/>
      </w:pPr>
      <w:r>
        <w:t xml:space="preserve">Figure 7. Security-incident management</w:t>
      </w:r>
    </w:p>
    <w:bookmarkEnd w:id="16"/>
    <w:bookmarkStart w:id="17" w:name="annex-a-6-people-controls"/>
    <w:p>
      <w:pPr>
        <w:pStyle w:val="Heading1"/>
      </w:pPr>
      <w:r>
        <w:t xml:space="preserve">14. Annex A 6 People controls</w:t>
      </w:r>
    </w:p>
    <w:p>
      <w:pPr>
        <w:pStyle w:val="Compact"/>
        <w:numPr>
          <w:ilvl w:val="0"/>
          <w:numId w:val="1013"/>
        </w:numPr>
      </w:pPr>
      <w:r>
        <w:t xml:space="preserve">Resúmenes originales de los controles de referencia, el enfoque de verificación y los ejemplos de pruebas*.</w:t>
      </w:r>
    </w:p>
    <w:p>
      <w:pPr>
        <w:pStyle w:val="FirstParagraph"/>
      </w:pPr>
      <w:r>
        <w:rPr>
          <w:b/>
          <w:bCs/>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pStyle w:val="Compact"/>
        <w:numPr>
          <w:ilvl w:val="0"/>
          <w:numId w:val="1014"/>
        </w:numPr>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Compact"/>
        <w:numPr>
          <w:ilvl w:val="0"/>
          <w:numId w:val="1015"/>
        </w:numPr>
      </w:pPr>
      <w:r>
        <w:t xml:space="preserve">Anexo A 7 Controles físicos</w:t>
      </w:r>
    </w:p>
    <w:p>
      <w:pPr>
        <w:pStyle w:val="Compact"/>
        <w:numPr>
          <w:ilvl w:val="0"/>
          <w:numId w:val="1016"/>
        </w:numPr>
      </w:pPr>
      <w:r>
        <w:t xml:space="preserve">Resúmenes originales de los controles de referencia, el enfoque de verificación y los ejemplos de pruebas*.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Control</w:t>
            </w:r>
          </w:p>
        </w:tc>
      </w:tr>
      <w:tr>
        <w:tc>
          <w:tcPr/>
          <w:p>
            <w:pPr>
              <w:pStyle w:val="Compact"/>
            </w:pPr>
            <w:r>
              <w:t xml:space="preserve">TEN 7.1 TENCIÓN Definir y proteger los perímetros de seguridad física. TEN Confirmar riesgo o obligación, diseño, propietario, implementación, operación, excepciones y medición.</w:t>
            </w:r>
          </w:p>
        </w:tc>
      </w:tr>
      <w:tr>
        <w:tc>
          <w:tcPr/>
          <w:p>
            <w:pPr>
              <w:pStyle w:val="Compact"/>
            </w:pPr>
            <w:r>
              <w:t xml:space="preserve">TEN 7.2</w:t>
            </w:r>
          </w:p>
        </w:tc>
      </w:tr>
      <w:tr>
        <w:tc>
          <w:tcPr/>
          <w:p>
            <w:pPr>
              <w:pStyle w:val="Compact"/>
            </w:pPr>
            <w:r>
              <w:t xml:space="preserve">7.3</w:t>
            </w:r>
          </w:p>
        </w:tc>
      </w:tr>
      <w:tr>
        <w:tc>
          <w:tcPr/>
          <w:p>
            <w:pPr>
              <w:pStyle w:val="Compact"/>
            </w:pPr>
            <w:r>
              <w:t xml:space="preserve">tención 7.4 Silenciosos Supervisar locales para el acceso físico no autorizado. TEN Confirmar riesgo o obligación, diseño, propietario, implementación, operación, excepciones y medición.</w:t>
            </w:r>
          </w:p>
        </w:tc>
      </w:tr>
      <w:tr>
        <w:tc>
          <w:tcPr/>
          <w:p>
            <w:pPr>
              <w:pStyle w:val="Compact"/>
            </w:pPr>
            <w:r>
              <w:t xml:space="preserve">7.5</w:t>
            </w:r>
          </w:p>
        </w:tc>
      </w:tr>
      <w:tr>
        <w:tc>
          <w:tcPr/>
          <w:p>
            <w:pPr>
              <w:pStyle w:val="Compact"/>
            </w:pPr>
            <w:r>
              <w:t xml:space="preserve">tención 7.6</w:t>
            </w:r>
          </w:p>
        </w:tc>
      </w:tr>
      <w:tr>
        <w:tc>
          <w:tcPr/>
          <w:p>
            <w:pPr>
              <w:pStyle w:val="Compact"/>
            </w:pPr>
            <w:r>
              <w:t xml:space="preserve">7.7</w:t>
            </w:r>
          </w:p>
        </w:tc>
      </w:tr>
      <w:tr>
        <w:tc>
          <w:tcPr/>
          <w:p>
            <w:pPr>
              <w:pStyle w:val="Compact"/>
            </w:pPr>
            <w:r>
              <w:t xml:space="preserve">TEN 7.8</w:t>
            </w:r>
          </w:p>
        </w:tc>
      </w:tr>
      <w:tr>
        <w:tc>
          <w:tcPr/>
          <w:p>
            <w:pPr>
              <w:pStyle w:val="Compact"/>
            </w:pPr>
            <w:r>
              <w:t xml:space="preserve">tención 7.9</w:t>
            </w:r>
          </w:p>
        </w:tc>
      </w:tr>
      <w:tr>
        <w:tc>
          <w:tcPr/>
          <w:p>
            <w:pPr>
              <w:pStyle w:val="Compact"/>
            </w:pPr>
            <w:r>
              <w:t xml:space="preserve">7.10</w:t>
            </w:r>
          </w:p>
        </w:tc>
      </w:tr>
      <w:tr>
        <w:tc>
          <w:tcPr/>
          <w:p>
            <w:pPr>
              <w:pStyle w:val="Compact"/>
            </w:pPr>
            <w:r>
              <w:t xml:space="preserve">7.11</w:t>
            </w:r>
          </w:p>
        </w:tc>
      </w:tr>
      <w:tr>
        <w:tc>
          <w:tcPr/>
          <w:p>
            <w:pPr>
              <w:pStyle w:val="Compact"/>
            </w:pPr>
            <w:r>
              <w:t xml:space="preserve">7.12</w:t>
            </w:r>
          </w:p>
        </w:tc>
      </w:tr>
      <w:tr>
        <w:tc>
          <w:tcPr/>
          <w:p>
            <w:pPr>
              <w:pStyle w:val="Compact"/>
            </w:pPr>
            <w:r>
              <w:t xml:space="preserve">7.13</w:t>
            </w:r>
          </w:p>
        </w:tc>
      </w:tr>
      <w:tr>
        <w:tc>
          <w:tcPr/>
          <w:p>
            <w:pPr>
              <w:pStyle w:val="Compact"/>
            </w:pPr>
            <w:r>
              <w:t xml:space="preserve">7.14</w:t>
            </w:r>
          </w:p>
        </w:tc>
      </w:tr>
    </w:tbl>
    <w:p>
      <w:pPr>
        <w:pStyle w:val="Compact"/>
        <w:numPr>
          <w:ilvl w:val="0"/>
          <w:numId w:val="1017"/>
        </w:numPr>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Compact"/>
        <w:numPr>
          <w:ilvl w:val="0"/>
          <w:numId w:val="1018"/>
        </w:numPr>
      </w:pPr>
      <w:r>
        <w:t xml:space="preserve">Anexo A 8 Controles tecnológicos</w:t>
      </w:r>
    </w:p>
    <w:p>
      <w:pPr>
        <w:pStyle w:val="Compact"/>
        <w:numPr>
          <w:ilvl w:val="0"/>
          <w:numId w:val="1019"/>
        </w:numPr>
      </w:pPr>
      <w:r>
        <w:t xml:space="preserve">Resúmenes originales de los controles de referencia, el enfoque de verificación y los ejemplos de pruebas*.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Control</w:t>
            </w:r>
          </w:p>
        </w:tc>
      </w:tr>
      <w:tr>
        <w:tc>
          <w:tcPr/>
          <w:p>
            <w:pPr>
              <w:pStyle w:val="Compact"/>
            </w:pPr>
            <w:r>
              <w:t xml:space="preserve">TEN 8.1 TENCIÓN Dispositivos de extremo de usuario seguros. TEN Confirmar riesgo o obligación, diseño, propietario, implementación, operación, excepciones y medición.</w:t>
            </w:r>
          </w:p>
        </w:tc>
      </w:tr>
      <w:tr>
        <w:tc>
          <w:tcPr/>
          <w:p>
            <w:pPr>
              <w:pStyle w:val="Compact"/>
            </w:pPr>
            <w:r>
              <w:t xml:space="preserve">8.2</w:t>
            </w:r>
          </w:p>
        </w:tc>
      </w:tr>
      <w:tr>
        <w:tc>
          <w:tcPr/>
          <w:p>
            <w:pPr>
              <w:pStyle w:val="Compact"/>
            </w:pPr>
            <w:r>
              <w:t xml:space="preserve">8.3</w:t>
            </w:r>
          </w:p>
        </w:tc>
      </w:tr>
      <w:tr>
        <w:tc>
          <w:tcPr/>
          <w:p>
            <w:pPr>
              <w:pStyle w:val="Compact"/>
            </w:pPr>
            <w:r>
              <w:t xml:space="preserve">8.4</w:t>
            </w:r>
          </w:p>
        </w:tc>
      </w:tr>
      <w:tr>
        <w:tc>
          <w:tcPr/>
          <w:p>
            <w:pPr>
              <w:pStyle w:val="Compact"/>
            </w:pPr>
            <w:r>
              <w:t xml:space="preserve">8.5</w:t>
            </w:r>
          </w:p>
        </w:tc>
      </w:tr>
      <w:tr>
        <w:tc>
          <w:tcPr/>
          <w:p>
            <w:pPr>
              <w:pStyle w:val="Compact"/>
            </w:pPr>
            <w:r>
              <w:t xml:space="preserve">8.6</w:t>
            </w:r>
          </w:p>
        </w:tc>
      </w:tr>
      <w:tr>
        <w:tc>
          <w:tcPr/>
          <w:p>
            <w:pPr>
              <w:pStyle w:val="Compact"/>
            </w:pPr>
            <w:r>
              <w:t xml:space="preserve">8.7</w:t>
            </w:r>
          </w:p>
        </w:tc>
      </w:tr>
      <w:tr>
        <w:tc>
          <w:tcPr/>
          <w:p>
            <w:pPr>
              <w:pStyle w:val="Compact"/>
            </w:pPr>
            <w:r>
              <w:t xml:space="preserve">tención 8.8</w:t>
            </w:r>
          </w:p>
        </w:tc>
      </w:tr>
      <w:tr>
        <w:tc>
          <w:tcPr/>
          <w:p>
            <w:pPr>
              <w:pStyle w:val="Compact"/>
            </w:pPr>
            <w:r>
              <w:t xml:space="preserve">8.9</w:t>
            </w:r>
          </w:p>
        </w:tc>
      </w:tr>
      <w:tr>
        <w:tc>
          <w:tcPr/>
          <w:p>
            <w:pPr>
              <w:pStyle w:val="Compact"/>
            </w:pPr>
            <w:r>
              <w:t xml:space="preserve">8.10</w:t>
            </w:r>
          </w:p>
        </w:tc>
      </w:tr>
      <w:tr>
        <w:tc>
          <w:tcPr/>
          <w:p>
            <w:pPr>
              <w:pStyle w:val="Compact"/>
            </w:pPr>
            <w:r>
              <w:t xml:space="preserve">8.11</w:t>
            </w:r>
          </w:p>
        </w:tc>
      </w:tr>
      <w:tr>
        <w:tc>
          <w:tcPr/>
          <w:p>
            <w:pPr>
              <w:pStyle w:val="Compact"/>
            </w:pPr>
            <w:r>
              <w:t xml:space="preserve">8.12</w:t>
            </w:r>
          </w:p>
        </w:tc>
      </w:tr>
      <w:tr>
        <w:tc>
          <w:tcPr/>
          <w:p>
            <w:pPr>
              <w:pStyle w:val="Compact"/>
            </w:pPr>
            <w:r>
              <w:t xml:space="preserve">8.13</w:t>
            </w:r>
          </w:p>
        </w:tc>
      </w:tr>
      <w:tr>
        <w:tc>
          <w:tcPr/>
          <w:p>
            <w:pPr>
              <w:pStyle w:val="Compact"/>
            </w:pPr>
            <w:r>
              <w:t xml:space="preserve">8.14</w:t>
            </w:r>
          </w:p>
        </w:tc>
      </w:tr>
      <w:tr>
        <w:tc>
          <w:tcPr/>
          <w:p>
            <w:pPr>
              <w:pStyle w:val="Compact"/>
            </w:pPr>
            <w:r>
              <w:t xml:space="preserve">8.15</w:t>
            </w:r>
          </w:p>
        </w:tc>
      </w:tr>
      <w:tr>
        <w:tc>
          <w:tcPr/>
          <w:p>
            <w:pPr>
              <w:pStyle w:val="Compact"/>
            </w:pPr>
            <w:r>
              <w:t xml:space="preserve">tención 8.16</w:t>
            </w:r>
          </w:p>
        </w:tc>
      </w:tr>
      <w:tr>
        <w:tc>
          <w:tcPr/>
          <w:p>
            <w:pPr>
              <w:pStyle w:val="Compact"/>
            </w:pPr>
            <w:r>
              <w:t xml:space="preserve">8.17</w:t>
            </w:r>
          </w:p>
        </w:tc>
      </w:tr>
      <w:tr>
        <w:tc>
          <w:tcPr/>
          <w:p>
            <w:pPr>
              <w:pStyle w:val="Compact"/>
            </w:pPr>
            <w:r>
              <w:t xml:space="preserve">8.18</w:t>
            </w:r>
          </w:p>
        </w:tc>
      </w:tr>
      <w:tr>
        <w:tc>
          <w:tcPr/>
          <w:p>
            <w:pPr>
              <w:pStyle w:val="Compact"/>
            </w:pPr>
            <w:r>
              <w:t xml:space="preserve">tención 8.19</w:t>
            </w:r>
          </w:p>
        </w:tc>
      </w:tr>
      <w:tr>
        <w:tc>
          <w:tcPr/>
          <w:p>
            <w:pPr>
              <w:pStyle w:val="Compact"/>
            </w:pPr>
            <w:r>
              <w:t xml:space="preserve">8.20</w:t>
            </w:r>
          </w:p>
        </w:tc>
      </w:tr>
      <w:tr>
        <w:tc>
          <w:tcPr/>
          <w:p>
            <w:pPr>
              <w:pStyle w:val="Compact"/>
            </w:pPr>
            <w:r>
              <w:t xml:space="preserve">8.21</w:t>
            </w:r>
          </w:p>
        </w:tc>
      </w:tr>
      <w:tr>
        <w:tc>
          <w:tcPr/>
          <w:p>
            <w:pPr>
              <w:pStyle w:val="Compact"/>
            </w:pPr>
            <w:r>
              <w:t xml:space="preserve">8.22</w:t>
            </w:r>
          </w:p>
        </w:tc>
      </w:tr>
      <w:tr>
        <w:tc>
          <w:tcPr/>
          <w:p>
            <w:pPr>
              <w:pStyle w:val="Compact"/>
            </w:pPr>
            <w:r>
              <w:t xml:space="preserve">tención 8.23</w:t>
            </w:r>
          </w:p>
        </w:tc>
      </w:tr>
      <w:tr>
        <w:tc>
          <w:tcPr/>
          <w:p>
            <w:pPr>
              <w:pStyle w:val="Compact"/>
            </w:pPr>
            <w:r>
              <w:t xml:space="preserve">TEN 8.24</w:t>
            </w:r>
          </w:p>
        </w:tc>
      </w:tr>
      <w:tr>
        <w:tc>
          <w:tcPr/>
          <w:p>
            <w:pPr>
              <w:pStyle w:val="Compact"/>
            </w:pPr>
            <w:r>
              <w:t xml:space="preserve">8.25</w:t>
            </w:r>
          </w:p>
        </w:tc>
      </w:tr>
      <w:tr>
        <w:tc>
          <w:tcPr/>
          <w:p>
            <w:pPr>
              <w:pStyle w:val="Compact"/>
            </w:pPr>
            <w:r>
              <w:t xml:space="preserve">8.26</w:t>
            </w:r>
          </w:p>
        </w:tc>
      </w:tr>
      <w:tr>
        <w:tc>
          <w:tcPr/>
          <w:p>
            <w:pPr>
              <w:pStyle w:val="Compact"/>
            </w:pPr>
            <w:r>
              <w:t xml:space="preserve">8.27</w:t>
            </w:r>
          </w:p>
        </w:tc>
      </w:tr>
      <w:tr>
        <w:tc>
          <w:tcPr/>
          <w:p>
            <w:pPr>
              <w:pStyle w:val="Compact"/>
            </w:pPr>
            <w:r>
              <w:t xml:space="preserve">TEN 8.28</w:t>
            </w:r>
          </w:p>
        </w:tc>
      </w:tr>
      <w:tr>
        <w:tc>
          <w:tcPr/>
          <w:p>
            <w:pPr>
              <w:pStyle w:val="Compact"/>
            </w:pPr>
            <w:r>
              <w:t xml:space="preserve">TEN 8.29</w:t>
            </w:r>
          </w:p>
        </w:tc>
      </w:tr>
      <w:tr>
        <w:tc>
          <w:tcPr/>
          <w:p>
            <w:pPr>
              <w:pStyle w:val="Compact"/>
            </w:pPr>
            <w:r>
              <w:t xml:space="preserve">8.30</w:t>
            </w:r>
          </w:p>
        </w:tc>
      </w:tr>
      <w:tr>
        <w:tc>
          <w:tcPr/>
          <w:p>
            <w:pPr>
              <w:pStyle w:val="Compact"/>
            </w:pPr>
            <w:r>
              <w:t xml:space="preserve">TEN 8.31 Ø Medios de desarrollo, ensayo y producción separados. TEN Confirmar riesgo o obligación, diseño, propietario, implementación, operación, excepciones y medición.</w:t>
            </w:r>
          </w:p>
        </w:tc>
      </w:tr>
      <w:tr>
        <w:tc>
          <w:tcPr/>
          <w:p>
            <w:pPr>
              <w:pStyle w:val="Compact"/>
            </w:pPr>
            <w:r>
              <w:t xml:space="preserve">8.32</w:t>
            </w:r>
          </w:p>
        </w:tc>
      </w:tr>
      <w:tr>
        <w:tc>
          <w:tcPr/>
          <w:p>
            <w:pPr>
              <w:pStyle w:val="Compact"/>
            </w:pPr>
            <w:r>
              <w:t xml:space="preserve">8.33</w:t>
            </w:r>
          </w:p>
        </w:tc>
      </w:tr>
      <w:tr>
        <w:tc>
          <w:tcPr/>
          <w:p>
            <w:pPr>
              <w:pStyle w:val="Compact"/>
            </w:pPr>
            <w:r>
              <w:t xml:space="preserve">TEN 8.34</w:t>
            </w:r>
          </w:p>
        </w:tc>
      </w:tr>
    </w:tbl>
    <w:p>
      <w:pPr>
        <w:pStyle w:val="Compact"/>
        <w:numPr>
          <w:ilvl w:val="0"/>
          <w:numId w:val="1020"/>
        </w:numPr>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17"/>
    <w:bookmarkStart w:id="18" w:name="Xa1c7ea9acaf5e661029c0fe622eebcda146e7d0"/>
    <w:p>
      <w:pPr>
        <w:pStyle w:val="Heading1"/>
      </w:pPr>
      <w:r>
        <w:t xml:space="preserve">17. Controles de implementación con ISO/IEC 27002</w:t>
      </w:r>
    </w:p>
    <w:p>
      <w:pPr>
        <w:pStyle w:val="FirstParagraph"/>
      </w:pPr>
      <w:r>
        <w:rPr>
          <w:i/>
          <w:iCs/>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
          <w:bCs/>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18"/>
    <w:bookmarkStart w:id="19" w:name="pruebas-de-medición-y-control"/>
    <w:p>
      <w:pPr>
        <w:pStyle w:val="Heading1"/>
      </w:pPr>
      <w:r>
        <w:t xml:space="preserve">18. Pruebas de medición y control</w:t>
      </w:r>
    </w:p>
    <w:p>
      <w:pPr>
        <w:pStyle w:val="FirstParagraph"/>
      </w:pPr>
      <w:r>
        <w:rPr>
          <w:i/>
          <w:iCs/>
        </w:rPr>
        <w:t xml:space="preserve">Cómo verificar si el ISMS y sus controles funcionan.</w:t>
      </w:r>
    </w:p>
    <w:p>
      <w:pPr>
        <w:pStyle w:val="BodyText"/>
      </w:pPr>
      <w:r>
        <w:rPr>
          <w:b/>
          <w:bCs/>
        </w:rPr>
        <w:t xml:space="preserve">Area</w:t>
      </w:r>
      <w:r>
        <w:t xml:space="preserve"> </w:t>
      </w:r>
      <w:r>
        <w:t xml:space="preserve">|</w:t>
      </w:r>
      <w:r>
        <w:t xml:space="preserve"> </w:t>
      </w:r>
      <w:r>
        <w:rPr>
          <w:b/>
          <w:bCs/>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pStyle w:val="Compact"/>
        <w:numPr>
          <w:ilvl w:val="0"/>
          <w:numId w:val="1023"/>
        </w:numPr>
      </w:pPr>
      <w:r>
        <w:t xml:space="preserve">Auditoría interna</w:t>
      </w:r>
    </w:p>
    <w:p>
      <w:pPr>
        <w:pStyle w:val="Compact"/>
        <w:numPr>
          <w:ilvl w:val="0"/>
          <w:numId w:val="1024"/>
        </w:numPr>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Tipo de encuentro</w:t>
            </w:r>
          </w:p>
        </w:tc>
      </w:tr>
      <w:tr>
        <w:tc>
          <w:tcPr/>
          <w:p>
            <w:pPr>
              <w:pStyle w:val="Compac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19"/>
    <w:bookmarkStart w:id="20" w:name="management-review-and-corrective-action"/>
    <w:p>
      <w:pPr>
        <w:pStyle w:val="Heading1"/>
      </w:pPr>
      <w:r>
        <w:t xml:space="preserve">20. Management Review and Corrective Action</w:t>
      </w:r>
    </w:p>
    <w:p>
      <w:pPr>
        <w:pStyle w:val="Compact"/>
        <w:numPr>
          <w:ilvl w:val="0"/>
          <w:numId w:val="1025"/>
        </w:numPr>
      </w:pPr>
      <w:r>
        <w:t xml:space="preserve">Decisiones de liderazgo que mantienen el ISMS adecuado y efectivo.*</w:t>
      </w:r>
    </w:p>
    <w:p>
      <w:pPr>
        <w:pStyle w:val="FirstParagraph"/>
      </w:pPr>
      <w:r>
        <w:rPr>
          <w:b/>
          <w:bCs/>
        </w:rPr>
        <w:t xml:space="preserve">Management-review input</w:t>
      </w:r>
      <w:r>
        <w:rPr>
          <w:b/>
          <w:bCs/>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20"/>
    <w:bookmarkStart w:id="45" w:name="certificación"/>
    <w:p>
      <w:pPr>
        <w:pStyle w:val="Heading1"/>
      </w:pPr>
      <w:r>
        <w:t xml:space="preserve">21. Certificación</w:t>
      </w:r>
    </w:p>
    <w:p>
      <w:pPr>
        <w:pStyle w:val="FirstParagraph"/>
      </w:pPr>
      <w:r>
        <w:rPr>
          <w:i/>
          <w:iCs/>
        </w:rPr>
        <w:t xml:space="preserve">Qué certificación hace, cómo procede generalmente, y lo que no garantiza.</w:t>
      </w:r>
    </w:p>
    <w:p>
      <w:pPr>
        <w:pStyle w:val="BodyText"/>
      </w:pPr>
      <w:r>
        <w:t xml:space="preserve">Altura:3.39605in” alt=</w:t>
      </w:r>
      <w:r>
        <w:t xml:space="preserve">“La sabiduría es seguida por la evaluación de la certificación y las actividades continuas de vigilancia y renovación.”</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pStyle w:val="Compact"/>
        <w:numPr>
          <w:ilvl w:val="0"/>
          <w:numId w:val="1028"/>
        </w:numPr>
      </w:pPr>
      <w:r>
        <w:t xml:space="preserve">Herramientas de código abierto</w:t>
      </w:r>
    </w:p>
    <w:p>
      <w:pPr>
        <w:pStyle w:val="Compact"/>
        <w:numPr>
          <w:ilvl w:val="0"/>
          <w:numId w:val="1029"/>
        </w:numPr>
      </w:pPr>
      <w:r>
        <w:t xml:space="preserve">Enlaces oficiales, inicios rápidos seguros, pruebas y limitaciones.*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Herramienta</w:t>
            </w:r>
          </w:p>
        </w:tc>
      </w:tr>
      <w:tr>
        <w:tc>
          <w:tcPr/>
          <w:p>
            <w:pPr>
              <w:pStyle w:val="Compac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pStyle w:val="Compact"/>
        <w:numPr>
          <w:ilvl w:val="0"/>
          <w:numId w:val="1030"/>
        </w:numPr>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22" w:name="ciso-assistant"/>
    <w:p>
      <w:pPr>
        <w:pStyle w:val="Heading2"/>
      </w:pPr>
      <w:r>
        <w:t xml:space="preserve">22.1 CISO Assistant</w:t>
      </w:r>
    </w:p>
    <w:p>
      <w:pPr>
        <w:pStyle w:val="FirstParagraph"/>
      </w:pPr>
      <w:r>
        <w:t xml:space="preserve">Propósito: ISMS, riesgos, controles, evidencia. Proyecto oficial:</w:t>
      </w:r>
      <w:r>
        <w:t xml:space="preserve"> </w:t>
      </w:r>
      <w:hyperlink r:id="rId21">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22"/>
    <w:bookmarkStart w:id="23"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23"/>
    <w:bookmarkStart w:id="25" w:name="wazuh"/>
    <w:p>
      <w:pPr>
        <w:pStyle w:val="Heading2"/>
      </w:pPr>
      <w:r>
        <w:t xml:space="preserve">22.3 Wazuh</w:t>
      </w:r>
    </w:p>
    <w:p>
      <w:pPr>
        <w:pStyle w:val="FirstParagraph"/>
      </w:pPr>
      <w:r>
        <w:t xml:space="preserve">Propósito: SIEM, monitoreo de puntos finales, FIM. Proyecto oficial:</w:t>
      </w:r>
      <w:r>
        <w:t xml:space="preserve"> </w:t>
      </w:r>
      <w:hyperlink r:id="rId24">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25"/>
    <w:bookmarkStart w:id="26"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26"/>
    <w:bookmarkStart w:id="28" w:name="openscap"/>
    <w:p>
      <w:pPr>
        <w:pStyle w:val="Heading2"/>
      </w:pPr>
      <w:r>
        <w:t xml:space="preserve">22.5 OpenSCAP</w:t>
      </w:r>
    </w:p>
    <w:p>
      <w:pPr>
        <w:pStyle w:val="FirstParagraph"/>
      </w:pPr>
      <w:r>
        <w:t xml:space="preserve">Propósito: Evaluación de configuración de Linux. Proyecto oficial:</w:t>
      </w:r>
      <w:r>
        <w:t xml:space="preserve"> </w:t>
      </w:r>
      <w:hyperlink r:id="rId27">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28"/>
    <w:bookmarkStart w:id="29"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29"/>
    <w:bookmarkStart w:id="31" w:name="nmap"/>
    <w:p>
      <w:pPr>
        <w:pStyle w:val="Heading2"/>
      </w:pPr>
      <w:r>
        <w:t xml:space="preserve">22.7 Nmap</w:t>
      </w:r>
    </w:p>
    <w:p>
      <w:pPr>
        <w:pStyle w:val="FirstParagraph"/>
      </w:pPr>
      <w:r>
        <w:t xml:space="preserve">Propósito: Activo y descubrimiento de servicio. Proyecto oficial:</w:t>
      </w:r>
      <w:r>
        <w:t xml:space="preserve"> </w:t>
      </w:r>
      <w:hyperlink r:id="rId30">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31"/>
    <w:bookmarkStart w:id="33"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32">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keycloak"/>
    <w:p>
      <w:pPr>
        <w:pStyle w:val="Heading2"/>
      </w:pPr>
      <w:r>
        <w:t xml:space="preserve">22.10 Keycloak</w:t>
      </w:r>
    </w:p>
    <w:p>
      <w:pPr>
        <w:pStyle w:val="FirstParagraph"/>
      </w:pPr>
      <w:r>
        <w:t xml:space="preserve">Objetivo: Identidad, MFA, roles y registros. Proyecto oficial:</w:t>
      </w:r>
      <w:r>
        <w:t xml:space="preserve"> </w:t>
      </w:r>
      <w:hyperlink r:id="rId35">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8" w:name="defectodojo"/>
    <w:p>
      <w:pPr>
        <w:pStyle w:val="Heading2"/>
      </w:pPr>
      <w:r>
        <w:t xml:space="preserve">22.11 DefectoDojo</w:t>
      </w:r>
    </w:p>
    <w:p>
      <w:pPr>
        <w:pStyle w:val="FirstParagraph"/>
      </w:pPr>
      <w:r>
        <w:t xml:space="preserve">Propósito: Encontrar ingesta y remediación. Proyecto oficial:</w:t>
      </w:r>
      <w:r>
        <w:t xml:space="preserve"> </w:t>
      </w:r>
      <w:hyperlink r:id="rId37">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38"/>
    <w:bookmarkStart w:id="40" w:name="aide"/>
    <w:p>
      <w:pPr>
        <w:pStyle w:val="Heading2"/>
      </w:pPr>
      <w:r>
        <w:t xml:space="preserve">22.12 AIDE</w:t>
      </w:r>
    </w:p>
    <w:p>
      <w:pPr>
        <w:pStyle w:val="FirstParagraph"/>
      </w:pPr>
      <w:r>
        <w:t xml:space="preserve">Propósito: Monitoreo de la integridad de archivos. Proyecto oficial:</w:t>
      </w:r>
      <w:r>
        <w:t xml:space="preserve"> </w:t>
      </w:r>
      <w:hyperlink r:id="rId39">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lynis"/>
    <w:p>
      <w:pPr>
        <w:pStyle w:val="Heading2"/>
      </w:pPr>
      <w:r>
        <w:t xml:space="preserve">22.13 Lynis</w:t>
      </w:r>
    </w:p>
    <w:p>
      <w:pPr>
        <w:pStyle w:val="FirstParagraph"/>
      </w:pPr>
      <w:r>
        <w:t xml:space="preserve">Propósito: Auditoría de seguridad de Linux. Proyecto oficial:</w:t>
      </w:r>
      <w:r>
        <w:t xml:space="preserve"> </w:t>
      </w:r>
      <w:hyperlink r:id="rId41">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open-policy-agent"/>
    <w:p>
      <w:pPr>
        <w:pStyle w:val="Heading2"/>
      </w:pPr>
      <w:r>
        <w:t xml:space="preserve">22.14 Open Policy Agent</w:t>
      </w:r>
    </w:p>
    <w:p>
      <w:pPr>
        <w:pStyle w:val="FirstParagraph"/>
      </w:pPr>
      <w:r>
        <w:t xml:space="preserve">Propósito: Política como código. Proyecto oficial:</w:t>
      </w:r>
      <w:r>
        <w:t xml:space="preserve"> </w:t>
      </w:r>
      <w:hyperlink r:id="rId43">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44"/>
    <w:bookmarkEnd w:id="45"/>
    <w:bookmarkStart w:id="46" w:name="manual-del-sgsi-para-gerentes"/>
    <w:p>
      <w:pPr>
        <w:pStyle w:val="Heading1"/>
      </w:pPr>
      <w:r>
        <w:t xml:space="preserve">23. Manual del SGSI para gerentes</w:t>
      </w:r>
    </w:p>
    <w:p>
      <w:pPr>
        <w:pStyle w:val="FirstParagraph"/>
      </w:pPr>
      <w:r>
        <w:rPr>
          <w:i/>
          <w:iCs/>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
          <w:bCs/>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46"/>
    <w:bookmarkStart w:id="49" w:name="junior-analyst-career-guide"/>
    <w:p>
      <w:pPr>
        <w:pStyle w:val="Heading1"/>
      </w:pPr>
      <w:r>
        <w:t xml:space="preserve">24. Junior Analyst Career Guide</w:t>
      </w:r>
    </w:p>
    <w:p>
      <w:pPr>
        <w:pStyle w:val="FirstParagraph"/>
      </w:pPr>
      <w:r>
        <w:rPr>
          <w:i/>
          <w:iCs/>
        </w:rPr>
        <w:t xml:space="preserve">Una ruta práctica hacia ISMS, GRC, riesgo, auditoría y cumplimiento.</w:t>
      </w:r>
    </w:p>
    <w:p>
      <w:pPr>
        <w:pStyle w:val="BodyText"/>
      </w:pPr>
      <w:r>
        <w:t xml:space="preserve">■img src=</w:t>
      </w:r>
      <w:r>
        <w:t xml:space="preserve">“media/image9.png”</w:t>
      </w:r>
      <w:r>
        <w:t xml:space="preserve"> </w:t>
      </w:r>
      <w:r>
        <w:t xml:space="preserve">estilo=</w:t>
      </w:r>
      <w:r>
        <w:t xml:space="preserve">“width:6.15in;height:3.075in”</w:t>
      </w:r>
      <w:r>
        <w:t xml:space="preserve"> </w:t>
      </w:r>
      <w:r>
        <w:t xml:space="preserve">alt=</w:t>
      </w:r>
      <w:r>
        <w:t xml:space="preserve">“Aprende el sistema, requisitos de mapa, evidencia de prueba, reporte claramente y construya una cartera honesta”</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47"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47"/>
    <w:bookmarkStart w:id="48"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pStyle w:val="Compact"/>
        <w:numPr>
          <w:ilvl w:val="0"/>
          <w:numId w:val="1032"/>
        </w:numPr>
      </w:pPr>
      <w:r>
        <w:t xml:space="preserve">Laboratorio Ficcional y Portfolio</w:t>
      </w:r>
    </w:p>
    <w:p>
      <w:pPr>
        <w:pStyle w:val="FirstParagraph"/>
      </w:pPr>
      <w:r>
        <w:rPr>
          <w:i/>
          <w:iCs/>
        </w:rPr>
        <w:t xml:space="preserve">Un entorno de prácticas seguras utilizando datos sintéticos y sistemas de laboratorio autorizados</w:t>
      </w:r>
      <w:r>
        <w:t xml:space="preserve">.</w:t>
      </w:r>
    </w:p>
    <w:p>
      <w:pPr>
        <w:pStyle w:val="Compact"/>
        <w:numPr>
          <w:ilvl w:val="0"/>
          <w:numId w:val="1033"/>
        </w:numPr>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
          <w:bCs/>
        </w:rPr>
        <w:t xml:space="preserve">Portfolio artifact</w:t>
      </w:r>
      <w:r>
        <w:t xml:space="preserve"> </w:t>
      </w:r>
      <w:r>
        <w:t xml:space="preserve">|</w:t>
      </w:r>
      <w:r>
        <w:t xml:space="preserve"> </w:t>
      </w:r>
      <w:r>
        <w:rPr>
          <w:b/>
          <w:bCs/>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48"/>
    <w:bookmarkEnd w:id="49"/>
    <w:bookmarkStart w:id="59" w:name="plan-de-aprendizaje-de-30-días"/>
    <w:p>
      <w:pPr>
        <w:pStyle w:val="Heading1"/>
      </w:pPr>
      <w:r>
        <w:t xml:space="preserve">26. Plan de aprendizaje de 30 días</w:t>
      </w:r>
    </w:p>
    <w:p>
      <w:pPr>
        <w:pStyle w:val="FirstParagraph"/>
      </w:pPr>
      <w:r>
        <w:rPr>
          <w:i/>
          <w:iCs/>
        </w:rPr>
        <w:t xml:space="preserve">Un calendario centrado para la creación de capacidad útil de nivel junior</w:t>
      </w:r>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pStyle w:val="Compact"/>
        <w:numPr>
          <w:ilvl w:val="0"/>
          <w:numId w:val="1035"/>
        </w:numPr>
      </w:pPr>
      <w:r>
        <w:t xml:space="preserve">Preparación de entrevistas</w:t>
      </w:r>
    </w:p>
    <w:p>
      <w:pPr>
        <w:pStyle w:val="Compact"/>
        <w:numPr>
          <w:ilvl w:val="0"/>
          <w:numId w:val="1036"/>
        </w:numPr>
      </w:pPr>
      <w:r>
        <w:t xml:space="preserve">Respuestas claras, escenarios prácticos y preguntas para el empleador.*</w:t>
      </w:r>
    </w:p>
    <w:bookmarkStart w:id="50"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50"/>
    <w:bookmarkStart w:id="51"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51"/>
    <w:bookmarkStart w:id="52"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52"/>
    <w:bookmarkStart w:id="53"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53"/>
    <w:bookmarkStart w:id="54"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54"/>
    <w:bookmarkStart w:id="55"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55"/>
    <w:bookmarkStart w:id="56"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56"/>
    <w:bookmarkStart w:id="57"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57"/>
    <w:bookmarkStart w:id="58"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58"/>
    <w:bookmarkEnd w:id="59"/>
    <w:bookmarkStart w:id="67" w:name="plantillas-glosario-índice-y-referencias"/>
    <w:p>
      <w:pPr>
        <w:pStyle w:val="Heading1"/>
      </w:pPr>
      <w:r>
        <w:t xml:space="preserve">28. Plantillas, Glosario, Índice y Referencias</w:t>
      </w:r>
    </w:p>
    <w:p>
      <w:pPr>
        <w:pStyle w:val="Compact"/>
        <w:numPr>
          <w:ilvl w:val="0"/>
          <w:numId w:val="1038"/>
        </w:numPr>
      </w:pPr>
      <w:r>
        <w:t xml:space="preserve">Estructuras de trabajo reutilizables, términos importantes y puntos de partida autorizados.*</w:t>
      </w:r>
    </w:p>
    <w:bookmarkStart w:id="60" w:name="registro-de-riesgo-mínimo"/>
    <w:p>
      <w:pPr>
        <w:pStyle w:val="Heading2"/>
      </w:pPr>
      <w:r>
        <w:t xml:space="preserve">28.1 Registro de riesgo mínimo</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“El evento de la amenaza y la condición de vida”</w:t>
      </w:r>
      <w:r>
        <w:t xml:space="preserve"> </w:t>
      </w:r>
      <w:r>
        <w:t xml:space="preserve">“Consequence”</w:t>
      </w:r>
      <w:r>
        <w:t xml:space="preserve"> </w:t>
      </w:r>
      <w:r>
        <w:t xml:space="preserve">Los controles existentes en la vida son válidos.</w:t>
      </w:r>
      <w:r>
        <w:t xml:space="preserve"> </w:t>
      </w:r>
      <w:r>
        <w:t xml:space="preserve">“La probabilidad y el impacto en la vida”</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“El riesgo residual y la aceptación…”</w:t>
      </w:r>
      <w:r>
        <w:t xml:space="preserve"> </w:t>
      </w:r>
      <w:r>
        <w:t xml:space="preserve">, la fecha de revisión de la vida, es la siguiente.</w:t>
      </w:r>
    </w:p>
    <w:bookmarkEnd w:id="60"/>
    <w:bookmarkStart w:id="61"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“Escopia y período de vida”</w:t>
      </w:r>
      <w:r>
        <w:t xml:space="preserve"> </w:t>
      </w:r>
      <w:r>
        <w:t xml:space="preserve">“Principal y sistemas de vida”</w:t>
      </w:r>
      <w:r>
        <w:t xml:space="preserve"> </w:t>
      </w:r>
      <w:r>
        <w:t xml:space="preserve">⋅ Population and completeness check Н                            </w:t>
      </w:r>
      <w:r>
        <w:br/>
      </w:r>
      <w:r>
        <w:t xml:space="preserve">“Sensacionalidad y racionalidad”</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“Conclusión y limitación de la vida”</w:t>
      </w:r>
      <w:r>
        <w:t xml:space="preserve"> </w:t>
      </w:r>
      <w:r>
        <w:t xml:space="preserve">Corrección y prueba de vida</w:t>
      </w:r>
    </w:p>
    <w:bookmarkEnd w:id="61"/>
    <w:bookmarkStart w:id="62"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62"/>
    <w:bookmarkStart w:id="63"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63"/>
    <w:bookmarkStart w:id="66"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64">
        <w:r>
          <w:rPr>
            <w:rStyle w:val="Hyperlink"/>
          </w:rPr>
          <w:t xml:space="preserve">Nota de cambio climático</w:t>
        </w:r>
      </w:hyperlink>
    </w:p>
    <w:p>
      <w:pPr>
        <w:pStyle w:val="BodyText"/>
      </w:pPr>
      <w:hyperlink r:id="rId65">
        <w:r>
          <w:rPr>
            <w:rStyle w:val="Hyperlink"/>
          </w:rPr>
          <w:t xml:space="preserve">Según la descripción de la certificación efectuada</w:t>
        </w:r>
      </w:hyperlink>
    </w:p>
    <w:p>
      <w:pPr>
        <w:pStyle w:val="BodyText"/>
      </w:pPr>
      <w:r>
        <w:t xml:space="preserve">[ ]](https://www.iso.org/standard/iso-iec-27000-family)</w:t>
      </w:r>
    </w:p>
    <w:p>
      <w:pPr>
        <w:pStyle w:val="BodyText"/>
      </w:pPr>
      <w:r>
        <w:rPr>
          <w:b/>
          <w:bCs/>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aide.github.io/" TargetMode="External" /><Relationship Type="http://schemas.openxmlformats.org/officeDocument/2006/relationships/hyperlink" Id="rId41" Target="https://cisofy.com/lynis/" TargetMode="External" /><Relationship Type="http://schemas.openxmlformats.org/officeDocument/2006/relationships/hyperlink" Id="rId64" Target="https://iaf.nu/iaf_system/uploads/documents/Joint_ISO-IAF_Communique_re_Climate_Change_Amds_to_ISO_MSS_Feb_2024_Final.pdf" TargetMode="External" /><Relationship Type="http://schemas.openxmlformats.org/officeDocument/2006/relationships/hyperlink" Id="rId21" Target="https://intuitem.github.io/ciso-assistant-community/" TargetMode="External" /><Relationship Type="http://schemas.openxmlformats.org/officeDocument/2006/relationships/hyperlink" Id="rId30" Target="https://nmap.org/" TargetMode="External" /><Relationship Type="http://schemas.openxmlformats.org/officeDocument/2006/relationships/hyperlink" Id="rId32" Target="https://trivy.dev/" TargetMode="External" /><Relationship Type="http://schemas.openxmlformats.org/officeDocument/2006/relationships/hyperlink" Id="rId24" Target="https://wazuh.com/" TargetMode="External" /><Relationship Type="http://schemas.openxmlformats.org/officeDocument/2006/relationships/hyperlink" Id="rId37" Target="https://www.defectdojo.org/" TargetMode="External" /><Relationship Type="http://schemas.openxmlformats.org/officeDocument/2006/relationships/hyperlink" Id="rId65" Target="https://www.iso.org/certification.html" TargetMode="External" /><Relationship Type="http://schemas.openxmlformats.org/officeDocument/2006/relationships/hyperlink" Id="rId35" Target="https://www.keycloak.org/" TargetMode="External" /><Relationship Type="http://schemas.openxmlformats.org/officeDocument/2006/relationships/hyperlink" Id="rId27" Target="https://www.open-scap.org/" TargetMode="External" /><Relationship Type="http://schemas.openxmlformats.org/officeDocument/2006/relationships/hyperlink" Id="rId4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39" Target="https://aide.github.io/" TargetMode="External" /><Relationship Type="http://schemas.openxmlformats.org/officeDocument/2006/relationships/hyperlink" Id="rId41" Target="https://cisofy.com/lynis/" TargetMode="External" /><Relationship Type="http://schemas.openxmlformats.org/officeDocument/2006/relationships/hyperlink" Id="rId64" Target="https://iaf.nu/iaf_system/uploads/documents/Joint_ISO-IAF_Communique_re_Climate_Change_Amds_to_ISO_MSS_Feb_2024_Final.pdf" TargetMode="External" /><Relationship Type="http://schemas.openxmlformats.org/officeDocument/2006/relationships/hyperlink" Id="rId21" Target="https://intuitem.github.io/ciso-assistant-community/" TargetMode="External" /><Relationship Type="http://schemas.openxmlformats.org/officeDocument/2006/relationships/hyperlink" Id="rId30" Target="https://nmap.org/" TargetMode="External" /><Relationship Type="http://schemas.openxmlformats.org/officeDocument/2006/relationships/hyperlink" Id="rId32" Target="https://trivy.dev/" TargetMode="External" /><Relationship Type="http://schemas.openxmlformats.org/officeDocument/2006/relationships/hyperlink" Id="rId24" Target="https://wazuh.com/" TargetMode="External" /><Relationship Type="http://schemas.openxmlformats.org/officeDocument/2006/relationships/hyperlink" Id="rId37" Target="https://www.defectdojo.org/" TargetMode="External" /><Relationship Type="http://schemas.openxmlformats.org/officeDocument/2006/relationships/hyperlink" Id="rId65" Target="https://www.iso.org/certification.html" TargetMode="External" /><Relationship Type="http://schemas.openxmlformats.org/officeDocument/2006/relationships/hyperlink" Id="rId35" Target="https://www.keycloak.org/" TargetMode="External" /><Relationship Type="http://schemas.openxmlformats.org/officeDocument/2006/relationships/hyperlink" Id="rId27" Target="https://www.open-scap.org/" TargetMode="External" /><Relationship Type="http://schemas.openxmlformats.org/officeDocument/2006/relationships/hyperlink" Id="rId4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2026-07-28T19:58:56Z</dcterms:created>
  <dcterms:modified xsi:type="dcterms:W3CDTF">2026-07-28T19:58:56Z</dcterms:modified>
</cp:coreProperties>
</file>

<file path=docProps/custom.xml><?xml version="1.0" encoding="utf-8"?>
<Properties xmlns="http://schemas.openxmlformats.org/officeDocument/2006/custom-properties" xmlns:vt="http://schemas.openxmlformats.org/officeDocument/2006/docPropsVTypes"/>
</file>