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/>
          <w:bCs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/>
          <w:bCs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pStyle w:val="Compact"/>
        <w:numPr>
          <w:ilvl w:val="0"/>
          <w:numId w:val="1001"/>
        </w:numPr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9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9"/>
    <w:bookmarkStart w:id="12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10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pStyle w:val="Compact"/>
        <w:numPr>
          <w:ilvl w:val="0"/>
          <w:numId w:val="1002"/>
        </w:numPr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10"/>
    <w:bookmarkStart w:id="11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11"/>
    <w:bookmarkEnd w:id="12"/>
    <w:bookmarkStart w:id="15" w:name="isoiec-27001-e-27002-fundações"/>
    <w:p>
      <w:pPr>
        <w:pStyle w:val="Heading1"/>
      </w:pPr>
      <w:r>
        <w:t xml:space="preserve">1. ISO/IEC 27001 e 27002 Fundações</w:t>
      </w:r>
    </w:p>
    <w:p>
      <w:pPr>
        <w:pStyle w:val="Compact"/>
        <w:numPr>
          <w:ilvl w:val="0"/>
          <w:numId w:val="1003"/>
        </w:numPr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14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rPr>
          <w:b/>
          <w:bCs/>
        </w:rPr>
        <w:t xml:space="preserve">Função</w:t>
      </w:r>
      <w:r>
        <w:t xml:space="preserve"> </w:t>
      </w:r>
      <w:r>
        <w:rPr>
          <w:b/>
          <w:bCs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pStyle w:val="Compact"/>
        <w:numPr>
          <w:ilvl w:val="0"/>
          <w:numId w:val="1005"/>
        </w:numPr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pStyle w:val="Heading2"/>
        <w:numPr>
          <w:ilvl w:val="0"/>
          <w:numId w:val="1006"/>
        </w:numPr>
      </w:pPr>
      <w:bookmarkStart w:id="13" w:name="X6cf7bf4031c4143229ada689888c56631ec5db9"/>
      <w:r>
        <w:t xml:space="preserve">** Teste de escopo** ** Pergunta gerencial** ** Evidência**</w:t>
      </w:r>
      <w:bookmarkEnd w:id="13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14"/>
    <w:bookmarkEnd w:id="15"/>
    <w:bookmarkStart w:id="17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pStyle w:val="Compact"/>
        <w:numPr>
          <w:ilvl w:val="0"/>
          <w:numId w:val="1007"/>
        </w:numPr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pStyle w:val="Heading2"/>
        <w:numPr>
          <w:ilvl w:val="0"/>
          <w:numId w:val="1008"/>
        </w:numPr>
      </w:pPr>
      <w:bookmarkStart w:id="16" w:name="campo-exemplo-de-conteúdo"/>
      <w:r>
        <w:t xml:space="preserve">** Campo**</w:t>
      </w:r>
      <w:r>
        <w:t xml:space="preserve"> </w:t>
      </w:r>
      <w:r>
        <w:rPr>
          <w:b/>
          <w:bCs/>
        </w:rPr>
        <w:t xml:space="preserve">Exemplo de conteúdo</w:t>
      </w:r>
      <w:bookmarkEnd w:id="16"/>
    </w:p>
    <w:p>
      <w:pPr>
        <w:pStyle w:val="Compact"/>
        <w:numPr>
          <w:ilvl w:val="0"/>
          <w:numId w:val="1000"/>
        </w:numPr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pStyle w:val="Compact"/>
        <w:numPr>
          <w:ilvl w:val="0"/>
          <w:numId w:val="1008"/>
        </w:numPr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pStyle w:val="Compact"/>
        <w:numPr>
          <w:ilvl w:val="0"/>
          <w:numId w:val="1008"/>
        </w:numPr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17"/>
    <w:bookmarkStart w:id="19" w:name="declaração-de-aplicabilidade"/>
    <w:p>
      <w:pPr>
        <w:pStyle w:val="Heading1"/>
      </w:pPr>
      <w:r>
        <w:t xml:space="preserve">4. Declaração de Aplicabilidade</w:t>
      </w:r>
    </w:p>
    <w:p>
      <w:pPr>
        <w:pStyle w:val="Compact"/>
        <w:numPr>
          <w:ilvl w:val="0"/>
          <w:numId w:val="1009"/>
        </w:numPr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1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18"/>
    <w:bookmarkEnd w:id="19"/>
    <w:bookmarkStart w:id="21" w:name="documentação-e-evidência"/>
    <w:p>
      <w:pPr>
        <w:pStyle w:val="Heading1"/>
      </w:pPr>
      <w:r>
        <w:t xml:space="preserve">5. Documentação e Evidência</w:t>
      </w:r>
    </w:p>
    <w:p>
      <w:pPr>
        <w:pStyle w:val="Compact"/>
        <w:numPr>
          <w:ilvl w:val="0"/>
          <w:numId w:val="1011"/>
        </w:numPr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20" w:name="documento-ou-registo-purpose-controle"/>
    <w:p>
      <w:pPr>
        <w:pStyle w:val="Heading2"/>
      </w:pPr>
      <w:r>
        <w:rPr>
          <w:b/>
          <w:bCs/>
        </w:rPr>
        <w:t xml:space="preserve">Documento ou registo</w:t>
      </w:r>
      <w:r>
        <w:t xml:space="preserve"> </w:t>
      </w:r>
      <w:r>
        <w:rPr>
          <w:b/>
          <w:bCs/>
        </w:rPr>
        <w:t xml:space="preserve">Purpose</w:t>
      </w:r>
      <w:r>
        <w:t xml:space="preserve"> </w:t>
      </w:r>
      <w:r>
        <w:rPr>
          <w:b/>
          <w:bCs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20"/>
    <w:bookmarkEnd w:id="21"/>
    <w:bookmarkStart w:id="23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pStyle w:val="Compact"/>
        <w:numPr>
          <w:ilvl w:val="0"/>
          <w:numId w:val="1012"/>
        </w:numPr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22" w:name="X1c849def24eef0f33ad5f34d8e75ffca5136528"/>
    <w:p>
      <w:pPr>
        <w:pStyle w:val="Heading2"/>
      </w:pPr>
      <w:r>
        <w:t xml:space="preserve">*Cláusula</w:t>
      </w:r>
      <w:r>
        <w:rPr>
          <w:b/>
          <w:bCs/>
        </w:rPr>
        <w:t xml:space="preserve"> </w:t>
      </w:r>
      <w:r>
        <w:t xml:space="preserve">Plain signification</w:t>
      </w:r>
      <w:r>
        <w:rPr>
          <w:b/>
          <w:bCs/>
        </w:rPr>
        <w:t xml:space="preserve"> </w:t>
      </w:r>
      <w:r>
        <w:t xml:space="preserve"> </w:t>
      </w:r>
      <w:r>
        <w:rPr>
          <w:b/>
          <w:bCs/>
        </w:rPr>
        <w:t xml:space="preserve">Verificação de foco</w:t>
      </w:r>
      <w:r>
        <w:t xml:space="preserve"> </w:t>
      </w:r>
      <w:r>
        <w:rPr>
          <w:b/>
          <w:bCs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22"/>
    <w:bookmarkEnd w:id="23"/>
    <w:bookmarkStart w:id="25" w:name="cláusula-5-liderança"/>
    <w:p>
      <w:pPr>
        <w:pStyle w:val="Heading1"/>
      </w:pPr>
      <w:r>
        <w:t xml:space="preserve">7. Cláusula 5 — Liderança</w:t>
      </w:r>
    </w:p>
    <w:p>
      <w:pPr>
        <w:pStyle w:val="Compact"/>
        <w:numPr>
          <w:ilvl w:val="0"/>
          <w:numId w:val="1013"/>
        </w:numPr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24" w:name="Xaa6479fe29681ab632e4ebd768efe1b358b9200"/>
    <w:p>
      <w:pPr>
        <w:pStyle w:val="Heading2"/>
      </w:pPr>
      <w:r>
        <w:t xml:space="preserve">*Cláusula</w:t>
      </w:r>
      <w:r>
        <w:rPr>
          <w:b/>
          <w:bCs/>
        </w:rPr>
        <w:t xml:space="preserve"> </w:t>
      </w:r>
      <w:r>
        <w:t xml:space="preserve">Plain signification</w:t>
      </w:r>
      <w:r>
        <w:rPr>
          <w:b/>
          <w:bCs/>
        </w:rPr>
        <w:t xml:space="preserve"> </w:t>
      </w:r>
      <w:r>
        <w:t xml:space="preserve"> </w:t>
      </w:r>
      <w:r>
        <w:rPr>
          <w:b/>
          <w:bCs/>
        </w:rPr>
        <w:t xml:space="preserve">Verificação de foco</w:t>
      </w:r>
      <w:r>
        <w:t xml:space="preserve"> </w:t>
      </w:r>
      <w:r>
        <w:rPr>
          <w:b/>
          <w:bCs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24"/>
    <w:bookmarkEnd w:id="25"/>
    <w:bookmarkStart w:id="28" w:name="cláusula-6-planejamento"/>
    <w:p>
      <w:pPr>
        <w:pStyle w:val="Heading1"/>
      </w:pPr>
      <w:r>
        <w:t xml:space="preserve">8. Cláusula 6 — Planejamento</w:t>
      </w:r>
    </w:p>
    <w:p>
      <w:pPr>
        <w:pStyle w:val="Compact"/>
        <w:numPr>
          <w:ilvl w:val="0"/>
          <w:numId w:val="1014"/>
        </w:numPr>
      </w:pPr>
      <w:r>
        <w:t xml:space="preserve">Requisitos em linguagem plana, foco de verificação e evidência de exemplo.*</w:t>
      </w:r>
    </w:p>
    <w:bookmarkStart w:id="26" w:name="finalidade-da-clausa-planeamento"/>
    <w:p>
      <w:pPr>
        <w:pStyle w:val="Heading2"/>
      </w:pPr>
      <w:r>
        <w:t xml:space="preserve">□ ** Finalidade da clausa: ** Planeamento</w:t>
      </w:r>
    </w:p>
    <w:bookmarkEnd w:id="26"/>
    <w:bookmarkStart w:id="27" w:name="X5764a8f9d95430a353ef6161bae8a526d8dd964"/>
    <w:p>
      <w:pPr>
        <w:pStyle w:val="Heading2"/>
      </w:pPr>
      <w:r>
        <w:t xml:space="preserve">*Cláusula</w:t>
      </w:r>
      <w:r>
        <w:rPr>
          <w:b/>
          <w:bCs/>
        </w:rPr>
        <w:t xml:space="preserve"> </w:t>
      </w:r>
      <w:r>
        <w:t xml:space="preserve">Plain signification</w:t>
      </w:r>
      <w:r>
        <w:rPr>
          <w:b/>
          <w:bCs/>
        </w:rPr>
        <w:t xml:space="preserve"> </w:t>
      </w:r>
      <w:r>
        <w:t xml:space="preserve"> </w:t>
      </w:r>
      <w:r>
        <w:rPr>
          <w:b/>
          <w:bCs/>
        </w:rPr>
        <w:t xml:space="preserve">Verificação de foco</w:t>
      </w:r>
      <w:r>
        <w:t xml:space="preserve"> </w:t>
      </w:r>
      <w:r>
        <w:rPr>
          <w:b/>
          <w:bCs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27"/>
    <w:bookmarkEnd w:id="28"/>
    <w:bookmarkStart w:id="31" w:name="cláusula-7-apoio"/>
    <w:p>
      <w:pPr>
        <w:pStyle w:val="Heading1"/>
      </w:pPr>
      <w:r>
        <w:t xml:space="preserve">9. Cláusula 7 — Apoio</w:t>
      </w:r>
    </w:p>
    <w:p>
      <w:pPr>
        <w:pStyle w:val="Compact"/>
        <w:numPr>
          <w:ilvl w:val="0"/>
          <w:numId w:val="1015"/>
        </w:numPr>
      </w:pPr>
      <w:r>
        <w:t xml:space="preserve">Requisitos em linguagem plana, foco de verificação e evidência de exemplo.*</w:t>
      </w:r>
    </w:p>
    <w:bookmarkStart w:id="29" w:name="finalidade-da-clausa-suporte"/>
    <w:p>
      <w:pPr>
        <w:pStyle w:val="Heading2"/>
      </w:pPr>
      <w:r>
        <w:t xml:space="preserve">□ ** Finalidade da clausa: ** Suporte</w:t>
      </w:r>
    </w:p>
    <w:bookmarkEnd w:id="29"/>
    <w:bookmarkStart w:id="30" w:name="X99c1588b6a405bab7c04ab8b0bd8fad50142806"/>
    <w:p>
      <w:pPr>
        <w:pStyle w:val="Heading2"/>
      </w:pPr>
      <w:r>
        <w:t xml:space="preserve">*Cláusula</w:t>
      </w:r>
      <w:r>
        <w:rPr>
          <w:b/>
          <w:bCs/>
        </w:rPr>
        <w:t xml:space="preserve"> </w:t>
      </w:r>
      <w:r>
        <w:t xml:space="preserve">Plain signification</w:t>
      </w:r>
      <w:r>
        <w:rPr>
          <w:b/>
          <w:bCs/>
        </w:rPr>
        <w:t xml:space="preserve"> </w:t>
      </w:r>
      <w:r>
        <w:t xml:space="preserve"> </w:t>
      </w:r>
      <w:r>
        <w:rPr>
          <w:b/>
          <w:bCs/>
        </w:rPr>
        <w:t xml:space="preserve">Verificação de foco</w:t>
      </w:r>
      <w:r>
        <w:t xml:space="preserve"> </w:t>
      </w:r>
      <w:r>
        <w:rPr>
          <w:b/>
          <w:bCs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0"/>
    <w:bookmarkEnd w:id="31"/>
    <w:bookmarkStart w:id="34" w:name="cláusula-8-operação"/>
    <w:p>
      <w:pPr>
        <w:pStyle w:val="Heading1"/>
      </w:pPr>
      <w:r>
        <w:t xml:space="preserve">10. Cláusula 8 — Operação</w:t>
      </w:r>
    </w:p>
    <w:p>
      <w:pPr>
        <w:pStyle w:val="Compact"/>
        <w:numPr>
          <w:ilvl w:val="0"/>
          <w:numId w:val="1016"/>
        </w:numPr>
      </w:pPr>
      <w:r>
        <w:t xml:space="preserve">Requisitos em linguagem plana, foco de verificação e evidência de exemplo.*</w:t>
      </w:r>
    </w:p>
    <w:bookmarkStart w:id="32" w:name="finalidade-da-clausa-funcionamento"/>
    <w:p>
      <w:pPr>
        <w:pStyle w:val="Heading2"/>
      </w:pPr>
      <w:r>
        <w:t xml:space="preserve">□ ** Finalidade da clausa: ** Funcionamento</w:t>
      </w:r>
    </w:p>
    <w:bookmarkEnd w:id="32"/>
    <w:bookmarkStart w:id="33" w:name="X4807fe7596e81d95cd25c1b699c80f1de2d542c"/>
    <w:p>
      <w:pPr>
        <w:pStyle w:val="Heading2"/>
      </w:pPr>
      <w:r>
        <w:t xml:space="preserve">*Cláusula</w:t>
      </w:r>
      <w:r>
        <w:rPr>
          <w:b/>
          <w:bCs/>
        </w:rPr>
        <w:t xml:space="preserve"> </w:t>
      </w:r>
      <w:r>
        <w:t xml:space="preserve">Plain signification</w:t>
      </w:r>
      <w:r>
        <w:rPr>
          <w:b/>
          <w:bCs/>
        </w:rPr>
        <w:t xml:space="preserve"> </w:t>
      </w:r>
      <w:r>
        <w:t xml:space="preserve"> </w:t>
      </w:r>
      <w:r>
        <w:rPr>
          <w:b/>
          <w:bCs/>
        </w:rPr>
        <w:t xml:space="preserve">Verificação de foco</w:t>
      </w:r>
      <w:r>
        <w:t xml:space="preserve"> </w:t>
      </w:r>
      <w:r>
        <w:rPr>
          <w:b/>
          <w:bCs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3"/>
    <w:bookmarkEnd w:id="34"/>
    <w:bookmarkStart w:id="37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pStyle w:val="Compact"/>
        <w:numPr>
          <w:ilvl w:val="0"/>
          <w:numId w:val="1017"/>
        </w:numPr>
      </w:pPr>
      <w:r>
        <w:t xml:space="preserve">Requisitos em linguagem plana, foco de verificação e evidência de exemplo.*</w:t>
      </w:r>
    </w:p>
    <w:bookmarkStart w:id="35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35"/>
    <w:bookmarkStart w:id="36" w:name="X94d0fa55c795f02d2b3641f656fedad4b021328"/>
    <w:p>
      <w:pPr>
        <w:pStyle w:val="Heading2"/>
      </w:pPr>
      <w:r>
        <w:t xml:space="preserve">*Cláusula</w:t>
      </w:r>
      <w:r>
        <w:rPr>
          <w:b/>
          <w:bCs/>
        </w:rPr>
        <w:t xml:space="preserve"> </w:t>
      </w:r>
      <w:r>
        <w:t xml:space="preserve">Plain signification</w:t>
      </w:r>
      <w:r>
        <w:rPr>
          <w:b/>
          <w:bCs/>
        </w:rPr>
        <w:t xml:space="preserve"> </w:t>
      </w:r>
      <w:r>
        <w:t xml:space="preserve"> </w:t>
      </w:r>
      <w:r>
        <w:rPr>
          <w:b/>
          <w:bCs/>
        </w:rPr>
        <w:t xml:space="preserve">Verificação de foco</w:t>
      </w:r>
      <w:r>
        <w:t xml:space="preserve"> </w:t>
      </w:r>
      <w:r>
        <w:rPr>
          <w:b/>
          <w:bCs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36"/>
    <w:bookmarkEnd w:id="37"/>
    <w:bookmarkStart w:id="39" w:name="cláusula-10-melhoria"/>
    <w:p>
      <w:pPr>
        <w:pStyle w:val="Heading1"/>
      </w:pPr>
      <w:r>
        <w:t xml:space="preserve">12. Cláusula 10 — Melhoria</w:t>
      </w:r>
    </w:p>
    <w:p>
      <w:pPr>
        <w:pStyle w:val="Compact"/>
        <w:numPr>
          <w:ilvl w:val="0"/>
          <w:numId w:val="1018"/>
        </w:numPr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38" w:name="X0ddb8ff69d765fa40c38070237c501861aa15ee"/>
    <w:p>
      <w:pPr>
        <w:pStyle w:val="Heading2"/>
      </w:pPr>
      <w:r>
        <w:t xml:space="preserve">*Cláusula</w:t>
      </w:r>
      <w:r>
        <w:rPr>
          <w:b/>
          <w:bCs/>
        </w:rPr>
        <w:t xml:space="preserve"> </w:t>
      </w:r>
      <w:r>
        <w:t xml:space="preserve">Plain signification</w:t>
      </w:r>
      <w:r>
        <w:rPr>
          <w:b/>
          <w:bCs/>
        </w:rPr>
        <w:t xml:space="preserve"> </w:t>
      </w:r>
      <w:r>
        <w:t xml:space="preserve"> </w:t>
      </w:r>
      <w:r>
        <w:rPr>
          <w:b/>
          <w:bCs/>
        </w:rPr>
        <w:t xml:space="preserve">Verificação de foco</w:t>
      </w:r>
      <w:r>
        <w:t xml:space="preserve"> </w:t>
      </w:r>
      <w:r>
        <w:rPr>
          <w:b/>
          <w:bCs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38"/>
    <w:bookmarkEnd w:id="39"/>
    <w:bookmarkStart w:id="42" w:name="anexo-a-5-controlos-organizacionais"/>
    <w:p>
      <w:pPr>
        <w:pStyle w:val="Heading1"/>
      </w:pPr>
      <w:r>
        <w:t xml:space="preserve">13. Anexo A 5 Controlos organizacionais</w:t>
      </w:r>
    </w:p>
    <w:p>
      <w:pPr>
        <w:pStyle w:val="Compact"/>
        <w:numPr>
          <w:ilvl w:val="0"/>
          <w:numId w:val="1019"/>
        </w:numPr>
      </w:pPr>
      <w:r>
        <w:t xml:space="preserve">Resumos originais dos controlos de referência, foco de verificação e exemplos de provas.*</w:t>
      </w:r>
    </w:p>
    <w:bookmarkStart w:id="40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/>
          <w:bCs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40"/>
    <w:bookmarkStart w:id="41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41"/>
    <w:bookmarkEnd w:id="42"/>
    <w:bookmarkStart w:id="45" w:name="anexo-a-6-as-pessoas-controlam"/>
    <w:p>
      <w:pPr>
        <w:pStyle w:val="Heading1"/>
      </w:pPr>
      <w:r>
        <w:t xml:space="preserve">14. Anexo A 6 As pessoas controlam</w:t>
      </w:r>
    </w:p>
    <w:p>
      <w:pPr>
        <w:pStyle w:val="Compact"/>
        <w:numPr>
          <w:ilvl w:val="0"/>
          <w:numId w:val="1020"/>
        </w:numPr>
      </w:pPr>
      <w:r>
        <w:t xml:space="preserve">Resumos originais dos controlos de referência, foco de verificação e exemplos de provas.*</w:t>
      </w:r>
    </w:p>
    <w:bookmarkStart w:id="43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/>
          <w:bCs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43"/>
    <w:bookmarkStart w:id="44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44"/>
    <w:bookmarkEnd w:id="45"/>
    <w:bookmarkStart w:id="50" w:name="anexo-a-7-controlos-físicos"/>
    <w:p>
      <w:pPr>
        <w:pStyle w:val="Heading1"/>
      </w:pPr>
      <w:r>
        <w:t xml:space="preserve">15. Anexo A 7 Controlos físicos</w:t>
      </w:r>
    </w:p>
    <w:p>
      <w:pPr>
        <w:pStyle w:val="Compact"/>
        <w:numPr>
          <w:ilvl w:val="0"/>
          <w:numId w:val="1021"/>
        </w:numPr>
      </w:pPr>
      <w:r>
        <w:t xml:space="preserve">Resumos originais dos controlos de referência, foco de verificação e exemplos de provas.*</w:t>
      </w:r>
    </w:p>
    <w:bookmarkStart w:id="46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/>
          <w:bCs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46"/>
    <w:bookmarkStart w:id="47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ompact"/>
        <w:numPr>
          <w:ilvl w:val="0"/>
          <w:numId w:val="1022"/>
        </w:numPr>
      </w:pPr>
      <w:r>
        <w:t xml:space="preserve">Anexo A 8 Controlos tecnológicos</w:t>
      </w:r>
    </w:p>
    <w:p>
      <w:pPr>
        <w:pStyle w:val="Compact"/>
        <w:numPr>
          <w:ilvl w:val="0"/>
          <w:numId w:val="1023"/>
        </w:numPr>
      </w:pPr>
      <w:r>
        <w:t xml:space="preserve">Resumos originais dos controlos de referência, foco de verificação e exemplos de provas.*</w:t>
      </w:r>
    </w:p>
    <w:bookmarkEnd w:id="47"/>
    <w:bookmarkStart w:id="48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/>
          <w:bCs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48"/>
    <w:bookmarkStart w:id="49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49"/>
    <w:bookmarkEnd w:id="50"/>
    <w:bookmarkStart w:id="51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pStyle w:val="Compact"/>
        <w:numPr>
          <w:ilvl w:val="0"/>
          <w:numId w:val="1024"/>
        </w:numPr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51"/>
    <w:bookmarkStart w:id="52" w:name="métricas-e-testes-de-controle"/>
    <w:p>
      <w:pPr>
        <w:pStyle w:val="Heading1"/>
      </w:pPr>
      <w:r>
        <w:t xml:space="preserve">18. Métricas e Testes de Controle</w:t>
      </w:r>
    </w:p>
    <w:p>
      <w:pPr>
        <w:pStyle w:val="Compact"/>
        <w:numPr>
          <w:ilvl w:val="0"/>
          <w:numId w:val="1026"/>
        </w:numPr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52"/>
    <w:bookmarkStart w:id="54" w:name="auditoria-interna"/>
    <w:p>
      <w:pPr>
        <w:pStyle w:val="Heading1"/>
      </w:pPr>
      <w:r>
        <w:t xml:space="preserve">19. Auditoria Interna</w:t>
      </w:r>
    </w:p>
    <w:p>
      <w:pPr>
        <w:pStyle w:val="Compact"/>
        <w:numPr>
          <w:ilvl w:val="0"/>
          <w:numId w:val="1028"/>
        </w:numPr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53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53"/>
    <w:bookmarkEnd w:id="54"/>
    <w:bookmarkStart w:id="55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pStyle w:val="Compact"/>
        <w:numPr>
          <w:ilvl w:val="0"/>
          <w:numId w:val="1029"/>
        </w:numPr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55"/>
    <w:bookmarkStart w:id="57" w:name="preparação-da-certificação"/>
    <w:p>
      <w:pPr>
        <w:pStyle w:val="Heading1"/>
      </w:pPr>
      <w:r>
        <w:t xml:space="preserve">21. Preparação da certificação</w:t>
      </w:r>
    </w:p>
    <w:p>
      <w:pPr>
        <w:pStyle w:val="Compact"/>
        <w:numPr>
          <w:ilvl w:val="0"/>
          <w:numId w:val="1031"/>
        </w:numPr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56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56"/>
    <w:bookmarkEnd w:id="57"/>
    <w:bookmarkStart w:id="59" w:name="ferramentas-de-código-aberto"/>
    <w:p>
      <w:pPr>
        <w:pStyle w:val="Heading1"/>
      </w:pPr>
      <w:r>
        <w:t xml:space="preserve">22. Ferramentas de Código Aberto</w:t>
      </w:r>
    </w:p>
    <w:p>
      <w:pPr>
        <w:pStyle w:val="Compact"/>
        <w:numPr>
          <w:ilvl w:val="0"/>
          <w:numId w:val="1032"/>
        </w:numPr>
      </w:pPr>
      <w:r>
        <w:t xml:space="preserve">Links oficiais, inícios rápidos seguros, evidências e limitações.*</w:t>
      </w:r>
    </w:p>
    <w:bookmarkStart w:id="58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/>
          <w:bCs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/>
          <w:bCs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/>
          <w:bCs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8"/>
    <w:bookmarkEnd w:id="59"/>
    <w:bookmarkStart w:id="61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60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61"/>
    <w:bookmarkStart w:id="63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62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63"/>
    <w:bookmarkStart w:id="65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6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65"/>
    <w:bookmarkStart w:id="67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6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67"/>
    <w:bookmarkStart w:id="71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6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70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69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0"/>
    <w:bookmarkEnd w:id="71"/>
    <w:bookmarkStart w:id="75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72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74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73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End w:id="75"/>
    <w:bookmarkStart w:id="83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76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78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77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0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7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0"/>
    <w:bookmarkStart w:id="82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81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2"/>
    <w:bookmarkEnd w:id="83"/>
    <w:bookmarkStart w:id="85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84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Start w:id="87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86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7"/>
    <w:bookmarkStart w:id="89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/>
          <w:iCs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88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88"/>
    <w:bookmarkEnd w:id="89"/>
    <w:bookmarkStart w:id="90" w:name="guia-de-carreira-do-analista-júnior"/>
    <w:p>
      <w:pPr>
        <w:pStyle w:val="Heading1"/>
      </w:pPr>
      <w:r>
        <w:t xml:space="preserve">24. Guia de Carreira do Analista Júnior</w:t>
      </w:r>
    </w:p>
    <w:p>
      <w:pPr>
        <w:pStyle w:val="Compact"/>
        <w:numPr>
          <w:ilvl w:val="0"/>
          <w:numId w:val="1033"/>
        </w:numPr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90"/>
    <w:bookmarkStart w:id="91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91"/>
    <w:bookmarkStart w:id="92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92"/>
    <w:bookmarkStart w:id="93" w:name="laboratório-fictício-e-portfólio"/>
    <w:p>
      <w:pPr>
        <w:pStyle w:val="Heading1"/>
      </w:pPr>
      <w:r>
        <w:t xml:space="preserve">25. Laboratório Fictício e Portfólio</w:t>
      </w:r>
    </w:p>
    <w:p>
      <w:pPr>
        <w:pStyle w:val="Compact"/>
        <w:numPr>
          <w:ilvl w:val="0"/>
          <w:numId w:val="1035"/>
        </w:numPr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93"/>
    <w:bookmarkStart w:id="95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pStyle w:val="Heading2"/>
        <w:numPr>
          <w:ilvl w:val="0"/>
          <w:numId w:val="1037"/>
        </w:numPr>
      </w:pPr>
      <w:bookmarkStart w:id="94" w:name="dias-foco-entrega"/>
      <w:r>
        <w:t xml:space="preserve">Dias** * Foco** * Entrega**</w:t>
      </w:r>
      <w:bookmarkEnd w:id="94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95"/>
    <w:bookmarkStart w:id="97" w:name="preparação-da-entrevista"/>
    <w:p>
      <w:pPr>
        <w:pStyle w:val="Heading1"/>
      </w:pPr>
      <w:r>
        <w:t xml:space="preserve">27. Preparação da entrevista</w:t>
      </w:r>
    </w:p>
    <w:p>
      <w:pPr>
        <w:pStyle w:val="Compact"/>
        <w:numPr>
          <w:ilvl w:val="0"/>
          <w:numId w:val="1038"/>
        </w:numPr>
      </w:pPr>
      <w:r>
        <w:t xml:space="preserve">Respostas claras, cenários práticos e perguntas para o empregador.*</w:t>
      </w:r>
    </w:p>
    <w:bookmarkStart w:id="96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96"/>
    <w:bookmarkEnd w:id="97"/>
    <w:bookmarkStart w:id="98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98"/>
    <w:bookmarkStart w:id="100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99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99"/>
    <w:bookmarkEnd w:id="100"/>
    <w:bookmarkStart w:id="101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01"/>
    <w:bookmarkStart w:id="102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02"/>
    <w:bookmarkStart w:id="103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03"/>
    <w:bookmarkStart w:id="104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04"/>
    <w:bookmarkStart w:id="105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05"/>
    <w:bookmarkStart w:id="106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pStyle w:val="Compact"/>
        <w:numPr>
          <w:ilvl w:val="0"/>
          <w:numId w:val="1040"/>
        </w:numPr>
      </w:pPr>
      <w:r>
        <w:t xml:space="preserve">Estruturas de trabalho reutilizáveis, termos importantes e pontos de partida autoritários.*</w:t>
      </w:r>
    </w:p>
    <w:bookmarkEnd w:id="106"/>
    <w:bookmarkStart w:id="108" w:name="registro-de-risco-mínimo"/>
    <w:p>
      <w:pPr>
        <w:pStyle w:val="Heading1"/>
      </w:pPr>
      <w:r>
        <w:t xml:space="preserve"># 28.1 Registro de risco mínimo</w:t>
      </w:r>
    </w:p>
    <w:p>
      <w:pPr>
        <w:pStyle w:val="Heading2"/>
        <w:numPr>
          <w:ilvl w:val="0"/>
          <w:numId w:val="1041"/>
        </w:numPr>
      </w:pPr>
      <w:bookmarkStart w:id="107" w:name="campo-entrada"/>
      <w:r>
        <w:t xml:space="preserve">Campo** * Entrada**</w:t>
      </w:r>
      <w:bookmarkEnd w:id="107"/>
    </w:p>
    <w:p>
      <w:pPr>
        <w:pStyle w:val="Compact"/>
        <w:numPr>
          <w:ilvl w:val="0"/>
          <w:numId w:val="1000"/>
        </w:numPr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“Evento e condição de ameaça”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pStyle w:val="Compact"/>
        <w:numPr>
          <w:ilvl w:val="0"/>
          <w:numId w:val="1041"/>
        </w:numPr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08"/>
    <w:bookmarkStart w:id="110" w:name="papel-de-teste-de-controle"/>
    <w:p>
      <w:pPr>
        <w:pStyle w:val="Heading1"/>
      </w:pPr>
      <w:r>
        <w:t xml:space="preserve"># 28.2 Papel de teste de controle</w:t>
      </w:r>
    </w:p>
    <w:p>
      <w:pPr>
        <w:pStyle w:val="Heading2"/>
        <w:numPr>
          <w:ilvl w:val="0"/>
          <w:numId w:val="1042"/>
        </w:numPr>
      </w:pPr>
      <w:bookmarkStart w:id="109" w:name="campo-entrada-1"/>
      <w:r>
        <w:t xml:space="preserve">Campo** * Entrada**</w:t>
      </w:r>
      <w:bookmarkEnd w:id="109"/>
    </w:p>
    <w:p>
      <w:pPr>
        <w:pStyle w:val="Compact"/>
        <w:numPr>
          <w:ilvl w:val="0"/>
          <w:numId w:val="1000"/>
        </w:numPr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pStyle w:val="Compact"/>
        <w:numPr>
          <w:ilvl w:val="0"/>
          <w:numId w:val="1042"/>
        </w:numPr>
      </w:pPr>
      <w:r>
        <w:t xml:space="preserve">Correcção e reteste</w:t>
      </w:r>
    </w:p>
    <w:bookmarkEnd w:id="110"/>
    <w:bookmarkStart w:id="112" w:name="glossário"/>
    <w:p>
      <w:pPr>
        <w:pStyle w:val="Heading1"/>
      </w:pPr>
      <w:r>
        <w:t xml:space="preserve"># 28.3 Glossário</w:t>
      </w:r>
    </w:p>
    <w:bookmarkStart w:id="111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11"/>
    <w:bookmarkEnd w:id="112"/>
    <w:bookmarkStart w:id="114" w:name="índice-de-assuntos"/>
    <w:p>
      <w:pPr>
        <w:pStyle w:val="Heading1"/>
      </w:pPr>
      <w:r>
        <w:t xml:space="preserve"># 28.4 Índice de assuntos</w:t>
      </w:r>
    </w:p>
    <w:bookmarkStart w:id="113" w:name="sujeito-capítulo"/>
    <w:p>
      <w:pPr>
        <w:pStyle w:val="Heading2"/>
      </w:pPr>
      <w:r>
        <w:rPr>
          <w:b/>
          <w:bCs/>
        </w:rPr>
        <w:t xml:space="preserve">Sujeito</w:t>
      </w:r>
      <w:r>
        <w:t xml:space="preserve"> </w:t>
      </w:r>
      <w:r>
        <w:rPr>
          <w:b/>
          <w:bCs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13"/>
    <w:bookmarkEnd w:id="114"/>
    <w:bookmarkStart w:id="121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15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16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17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18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19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20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/>
          <w:bCs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1" Target="https://aide.github.io/" TargetMode="External" /><Relationship Type="http://schemas.openxmlformats.org/officeDocument/2006/relationships/hyperlink" Id="rId84" Target="https://cisofy.com/lynis/" TargetMode="External" /><Relationship Type="http://schemas.openxmlformats.org/officeDocument/2006/relationships/hyperlink" Id="rId69" Target="https://greenbone.github.io/docs/latest/" TargetMode="External" /><Relationship Type="http://schemas.openxmlformats.org/officeDocument/2006/relationships/hyperlink" Id="rId118" Target="https://iaf.nu/iaf_system/uploads/documents/Joint_ISO-IAF_Communique_re_Climate_Change_Amds_to_ISO_MSS_Feb_2024_Final.pdf" TargetMode="External" /><Relationship Type="http://schemas.openxmlformats.org/officeDocument/2006/relationships/hyperlink" Id="rId60" Target="https://intuitem.github.io/ciso-assistant-community/" TargetMode="External" /><Relationship Type="http://schemas.openxmlformats.org/officeDocument/2006/relationships/hyperlink" Id="rId72" Target="https://nmap.org/" TargetMode="External" /><Relationship Type="http://schemas.openxmlformats.org/officeDocument/2006/relationships/hyperlink" Id="rId73" Target="https://trivy.dev/" TargetMode="External" /><Relationship Type="http://schemas.openxmlformats.org/officeDocument/2006/relationships/hyperlink" Id="rId64" Target="https://wazuh.com/" TargetMode="External" /><Relationship Type="http://schemas.openxmlformats.org/officeDocument/2006/relationships/hyperlink" Id="rId79" Target="https://www.defectdojo.org/" TargetMode="External" /><Relationship Type="http://schemas.openxmlformats.org/officeDocument/2006/relationships/hyperlink" Id="rId119" Target="https://www.iso.org/certification.html" TargetMode="External" /><Relationship Type="http://schemas.openxmlformats.org/officeDocument/2006/relationships/hyperlink" Id="rId115" Target="https://www.iso.org/standard/27001" TargetMode="External" /><Relationship Type="http://schemas.openxmlformats.org/officeDocument/2006/relationships/hyperlink" Id="rId117" Target="https://www.iso.org/standard/75652.html" TargetMode="External" /><Relationship Type="http://schemas.openxmlformats.org/officeDocument/2006/relationships/hyperlink" Id="rId116" Target="https://www.iso.org/standard/88435.html" TargetMode="External" /><Relationship Type="http://schemas.openxmlformats.org/officeDocument/2006/relationships/hyperlink" Id="rId120" Target="https://www.iso.org/standard/iso-iec-27000-family" TargetMode="External" /><Relationship Type="http://schemas.openxmlformats.org/officeDocument/2006/relationships/hyperlink" Id="rId77" Target="https://www.keycloak.org/" TargetMode="External" /><Relationship Type="http://schemas.openxmlformats.org/officeDocument/2006/relationships/hyperlink" Id="rId68" Target="https://www.open-scap.org/" TargetMode="External" /><Relationship Type="http://schemas.openxmlformats.org/officeDocument/2006/relationships/hyperlink" Id="rId86" Target="https://www.openpolicyagent.org/" TargetMode="External" /><Relationship Type="http://schemas.openxmlformats.org/officeDocument/2006/relationships/hyperlink" Id="rId66" Target="https://www.osquery.io/" TargetMode="External" /><Relationship Type="http://schemas.openxmlformats.org/officeDocument/2006/relationships/hyperlink" Id="rId62" Target="https://www.simplerisk.com/" TargetMode="External" /><Relationship Type="http://schemas.openxmlformats.org/officeDocument/2006/relationships/hyperlink" Id="rId76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https://aide.github.io/" TargetMode="External" /><Relationship Type="http://schemas.openxmlformats.org/officeDocument/2006/relationships/hyperlink" Id="rId84" Target="https://cisofy.com/lynis/" TargetMode="External" /><Relationship Type="http://schemas.openxmlformats.org/officeDocument/2006/relationships/hyperlink" Id="rId69" Target="https://greenbone.github.io/docs/latest/" TargetMode="External" /><Relationship Type="http://schemas.openxmlformats.org/officeDocument/2006/relationships/hyperlink" Id="rId118" Target="https://iaf.nu/iaf_system/uploads/documents/Joint_ISO-IAF_Communique_re_Climate_Change_Amds_to_ISO_MSS_Feb_2024_Final.pdf" TargetMode="External" /><Relationship Type="http://schemas.openxmlformats.org/officeDocument/2006/relationships/hyperlink" Id="rId60" Target="https://intuitem.github.io/ciso-assistant-community/" TargetMode="External" /><Relationship Type="http://schemas.openxmlformats.org/officeDocument/2006/relationships/hyperlink" Id="rId72" Target="https://nmap.org/" TargetMode="External" /><Relationship Type="http://schemas.openxmlformats.org/officeDocument/2006/relationships/hyperlink" Id="rId73" Target="https://trivy.dev/" TargetMode="External" /><Relationship Type="http://schemas.openxmlformats.org/officeDocument/2006/relationships/hyperlink" Id="rId64" Target="https://wazuh.com/" TargetMode="External" /><Relationship Type="http://schemas.openxmlformats.org/officeDocument/2006/relationships/hyperlink" Id="rId79" Target="https://www.defectdojo.org/" TargetMode="External" /><Relationship Type="http://schemas.openxmlformats.org/officeDocument/2006/relationships/hyperlink" Id="rId119" Target="https://www.iso.org/certification.html" TargetMode="External" /><Relationship Type="http://schemas.openxmlformats.org/officeDocument/2006/relationships/hyperlink" Id="rId115" Target="https://www.iso.org/standard/27001" TargetMode="External" /><Relationship Type="http://schemas.openxmlformats.org/officeDocument/2006/relationships/hyperlink" Id="rId117" Target="https://www.iso.org/standard/75652.html" TargetMode="External" /><Relationship Type="http://schemas.openxmlformats.org/officeDocument/2006/relationships/hyperlink" Id="rId116" Target="https://www.iso.org/standard/88435.html" TargetMode="External" /><Relationship Type="http://schemas.openxmlformats.org/officeDocument/2006/relationships/hyperlink" Id="rId120" Target="https://www.iso.org/standard/iso-iec-27000-family" TargetMode="External" /><Relationship Type="http://schemas.openxmlformats.org/officeDocument/2006/relationships/hyperlink" Id="rId77" Target="https://www.keycloak.org/" TargetMode="External" /><Relationship Type="http://schemas.openxmlformats.org/officeDocument/2006/relationships/hyperlink" Id="rId68" Target="https://www.open-scap.org/" TargetMode="External" /><Relationship Type="http://schemas.openxmlformats.org/officeDocument/2006/relationships/hyperlink" Id="rId86" Target="https://www.openpolicyagent.org/" TargetMode="External" /><Relationship Type="http://schemas.openxmlformats.org/officeDocument/2006/relationships/hyperlink" Id="rId66" Target="https://www.osquery.io/" TargetMode="External" /><Relationship Type="http://schemas.openxmlformats.org/officeDocument/2006/relationships/hyperlink" Id="rId62" Target="https://www.simplerisk.com/" TargetMode="External" /><Relationship Type="http://schemas.openxmlformats.org/officeDocument/2006/relationships/hyperlink" Id="rId76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2026-07-28T19:58:56Z</dcterms:created>
  <dcterms:modified xsi:type="dcterms:W3CDTF">2026-07-28T19:58:56Z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