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Prático</w:t>
      </w:r>
      <w:r>
        <w:t xml:space="preserve"> </w:t>
      </w:r>
      <w:r>
        <w:t xml:space="preserve">de</w:t>
      </w:r>
      <w:r>
        <w:t xml:space="preserve"> </w:t>
      </w:r>
      <w:r>
        <w:t xml:space="preserve">Mapeamento</w:t>
      </w:r>
      <w:r>
        <w:t xml:space="preserve"> </w:t>
      </w:r>
      <w:r>
        <w:t xml:space="preserve">de</w:t>
      </w:r>
      <w:r>
        <w:t xml:space="preserve"> </w:t>
      </w:r>
      <w:r>
        <w:t xml:space="preserve">Controles</w:t>
      </w:r>
      <w:r>
        <w:t xml:space="preserve"> </w:t>
      </w:r>
      <w:r>
        <w:t xml:space="preserve">e</w:t>
      </w:r>
      <w:r>
        <w:t xml:space="preserve"> </w:t>
      </w:r>
      <w:r>
        <w:t xml:space="preserve">Crosswalks</w:t>
      </w:r>
    </w:p>
    <w:p>
      <w:pPr>
        <w:pStyle w:val="Author"/>
      </w:pPr>
      <w:r>
        <w:t xml:space="preserve">Alberto Al Leiva</w:t>
      </w:r>
    </w:p>
    <w:p>
      <w:pPr>
        <w:pStyle w:val="Date"/>
      </w:pPr>
      <w:r>
        <w:t xml:space="preserve">1</w:t>
      </w:r>
      <w:r>
        <w:t xml:space="preserve"> </w:t>
      </w:r>
      <w:r>
        <w:t xml:space="preserve">de</w:t>
      </w:r>
      <w:r>
        <w:t xml:space="preserve"> </w:t>
      </w: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d96f8775e7e33b9c139f4c74dc3d1e2417cdc82"/>
    <w:p>
      <w:pPr>
        <w:pStyle w:val="Heading1"/>
      </w:pPr>
      <w:r>
        <w:t xml:space="preserve">Manual prático de mapeamento de controle e caminhada</w:t>
      </w:r>
    </w:p>
    <w:p>
      <w:pPr>
        <w:pStyle w:val="BlockText"/>
      </w:pPr>
      <w:r>
        <w:t xml:space="preserve">** Aviso educacional e de utilização analítica: ** Um mapeamento não é prova de conformidade, certificação, suficiência legal, eficácia de controle ou garantia de auditoria. Verifique fontes autoritárias, licenciamento, escopo, implementação, evidência e lei aplicável.</w:t>
      </w:r>
    </w:p>
    <w:p>
      <w:pPr>
        <w:pStyle w:val="BlockText"/>
      </w:pPr>
      <w:r>
        <w:t xml:space="preserve">** Aviso sobre direitos de autor e licenciamento:** Não reproduzir texto de normas proprietárias sem autorização. Utilizar identificadores de origem licenciados e resumos analíticos autorizados pela organização, se necessário.</w:t>
      </w:r>
    </w:p>
    <w:bookmarkEnd w:id="20"/>
    <w:bookmarkStart w:id="31" w:name="X1d61b35712ee8e12a27ec6df597ce461033f178"/>
    <w:p>
      <w:pPr>
        <w:pStyle w:val="Heading1"/>
      </w:pPr>
      <w:r>
        <w:t xml:space="preserve">Mapeamento da governança e uso pretendido</w:t>
      </w:r>
    </w:p>
    <w:bookmarkStart w:id="21" w:name="por-que-o-mapeamento-requer-governança"/>
    <w:p>
      <w:pPr>
        <w:pStyle w:val="Heading2"/>
      </w:pPr>
      <w:r>
        <w:t xml:space="preserve">1. Por que o mapeamento requer governança</w:t>
      </w:r>
    </w:p>
    <w:p>
      <w:pPr>
        <w:pStyle w:val="FirstParagraph"/>
      </w:pPr>
      <w:r>
        <w:t xml:space="preserve">Um mapeamento de controle é uma relação analítica documentada entre dois ou mais requisitos, resultados, objetivos de controle, práticas, salvaguardas ou expectativas de evidência. Ele pode apoiar o projeto do programa, o escopo, a reutilização, análise de gap, relatórios e preparação de auditoria. Não pode substituir a fonte autorizada ou provar que qualquer requisito está satisfeito.</w:t>
      </w:r>
    </w:p>
    <w:p>
      <w:pPr>
        <w:pStyle w:val="BodyText"/>
      </w:pPr>
      <w:r>
        <w:t xml:space="preserve">Mapeamentos fracos criam falsa confiança. Podem colapsar obrigações distintas, ignorar condições de escopo, ocultar cobertura parcial ou implicar que uma implementação satisfaz todos os requisitos mapeados. Um processo de mapeamento governado, portanto, trata cada relação como uma asserção revejável apoiada por razões e evidências.</w:t>
      </w:r>
    </w:p>
    <w:bookmarkEnd w:id="21"/>
    <w:bookmarkStart w:id="22" w:name="X39dd58a5dbba7bbfc04739470c1a85bbe874a4e"/>
    <w:p>
      <w:pPr>
        <w:pStyle w:val="Heading2"/>
      </w:pPr>
      <w:r>
        <w:t xml:space="preserve">2. Definir o uso pretendido antes do mapeamento</w:t>
      </w:r>
    </w:p>
    <w:p>
      <w:pPr>
        <w:pStyle w:val="FirstParagraph"/>
      </w:pPr>
      <w:r>
        <w:t xml:space="preserve">Cada conjunto de mapeamento deve indicar o seu uso pretendido. As utilizações comuns incluem:</w:t>
      </w:r>
    </w:p>
    <w:p>
      <w:pPr>
        <w:numPr>
          <w:ilvl w:val="0"/>
          <w:numId w:val="1001"/>
        </w:numPr>
        <w:pStyle w:val="Compact"/>
      </w:pPr>
      <w:r>
        <w:t xml:space="preserve">Elaborar um quadro comum de controlo;</w:t>
      </w:r>
    </w:p>
    <w:p>
      <w:pPr>
        <w:numPr>
          <w:ilvl w:val="0"/>
          <w:numId w:val="1001"/>
        </w:numPr>
        <w:pStyle w:val="Compact"/>
      </w:pPr>
      <w:r>
        <w:t xml:space="preserve">Identificação de implementações reutilizáveis;</w:t>
      </w:r>
    </w:p>
    <w:p>
      <w:pPr>
        <w:numPr>
          <w:ilvl w:val="0"/>
          <w:numId w:val="1001"/>
        </w:numPr>
        <w:pStyle w:val="Compact"/>
      </w:pPr>
      <w:r>
        <w:t xml:space="preserve">Preparar um âmbito de auditoria ou de avaliação;</w:t>
      </w:r>
    </w:p>
    <w:p>
      <w:pPr>
        <w:numPr>
          <w:ilvl w:val="0"/>
          <w:numId w:val="1001"/>
        </w:numPr>
        <w:pStyle w:val="Compact"/>
      </w:pPr>
      <w:r>
        <w:t xml:space="preserve">traduzir os resultados executivos em actividades de controlo;</w:t>
      </w:r>
    </w:p>
    <w:p>
      <w:pPr>
        <w:numPr>
          <w:ilvl w:val="0"/>
          <w:numId w:val="1001"/>
        </w:numPr>
        <w:pStyle w:val="Compact"/>
      </w:pPr>
      <w:r>
        <w:t xml:space="preserve">Identificar lacunas ou esforços duplicados;</w:t>
      </w:r>
    </w:p>
    <w:p>
      <w:pPr>
        <w:numPr>
          <w:ilvl w:val="0"/>
          <w:numId w:val="1001"/>
        </w:numPr>
        <w:pStyle w:val="Compact"/>
      </w:pPr>
      <w:r>
        <w:t xml:space="preserve">Comunicação de produtos, fornecedores ou unidades de negócio;</w:t>
      </w:r>
    </w:p>
    <w:p>
      <w:pPr>
        <w:numPr>
          <w:ilvl w:val="0"/>
          <w:numId w:val="1001"/>
        </w:numPr>
        <w:pStyle w:val="Compact"/>
      </w:pPr>
      <w:r>
        <w:t xml:space="preserve">Planeamento da migração entre versões-quadro;</w:t>
      </w:r>
    </w:p>
    <w:p>
      <w:pPr>
        <w:numPr>
          <w:ilvl w:val="0"/>
          <w:numId w:val="1001"/>
        </w:numPr>
        <w:pStyle w:val="Compact"/>
      </w:pPr>
      <w:r>
        <w:t xml:space="preserve">Os requisitos de ligação às provas e à propriedade.</w:t>
      </w:r>
    </w:p>
    <w:p>
      <w:pPr>
        <w:pStyle w:val="FirstParagraph"/>
      </w:pPr>
      <w:r>
        <w:t xml:space="preserve">O uso pretendido determina a precisão necessária. Uma comparação executiva de alto nível pode mapear categorias ou resultados. Um mapeamento de auditoria-suporte requer decomposição de nível de exigência, condições de escopo, referências de implementação, expectativas de evidência e revisão independente.</w:t>
      </w:r>
    </w:p>
    <w:bookmarkEnd w:id="22"/>
    <w:bookmarkStart w:id="23" w:name="estabelecer-autoridade-de-mapeamento"/>
    <w:p>
      <w:pPr>
        <w:pStyle w:val="Heading2"/>
      </w:pPr>
      <w:r>
        <w:t xml:space="preserve">3. Estabelecer autoridade de mapeamento</w:t>
      </w:r>
    </w:p>
    <w:p>
      <w:pPr>
        <w:pStyle w:val="FirstParagraph"/>
      </w:pPr>
      <w:r>
        <w:t xml:space="preserve">O proprietário do mapeamento é responsável pela metodologia, integridade da fonte, atribuição do revisor, aprovação, manutenção e aposentadoria. Contribuidores de assuntos podem propor relacionamentos, mas a aprovação deve incluir pessoas que entendam tanto os domínios de origem quanto o ambiente de implementação real.</w:t>
      </w:r>
    </w:p>
    <w:p>
      <w:pPr>
        <w:pStyle w:val="BodyText"/>
      </w:pPr>
      <w:r>
        <w:t xml:space="preserve">As funções recomendadas incluem:</w:t>
      </w:r>
    </w:p>
    <w:p>
      <w:pPr>
        <w:numPr>
          <w:ilvl w:val="0"/>
          <w:numId w:val="1002"/>
        </w:numPr>
        <w:pStyle w:val="Compact"/>
      </w:pPr>
      <w:r>
        <w:rPr>
          <w:bCs/>
          <w:b/>
        </w:rPr>
        <w:t xml:space="preserve">Mapping proprietário</w:t>
      </w:r>
      <w:r>
        <w:t xml:space="preserve"> </w:t>
      </w:r>
      <w:r>
        <w:t xml:space="preserve">— regula o conjunto de mapeamento e metodologia;</w:t>
      </w:r>
    </w:p>
    <w:p>
      <w:pPr>
        <w:numPr>
          <w:ilvl w:val="0"/>
          <w:numId w:val="1002"/>
        </w:numPr>
        <w:pStyle w:val="Compact"/>
      </w:pPr>
      <w:r>
        <w:t xml:space="preserve">** mordomo fonte** — confirma versões autorizadas e restrições de licenciamento;</w:t>
      </w:r>
    </w:p>
    <w:p>
      <w:pPr>
        <w:numPr>
          <w:ilvl w:val="0"/>
          <w:numId w:val="1002"/>
        </w:numPr>
        <w:pStyle w:val="Compact"/>
      </w:pPr>
      <w:r>
        <w:rPr>
          <w:bCs/>
          <w:b/>
        </w:rPr>
        <w:t xml:space="preserve">Revisor de domínio</w:t>
      </w:r>
      <w:r>
        <w:t xml:space="preserve"> </w:t>
      </w:r>
      <w:r>
        <w:t xml:space="preserve">— valida o significado e aplicabilidade da fonte;</w:t>
      </w:r>
    </w:p>
    <w:p>
      <w:pPr>
        <w:numPr>
          <w:ilvl w:val="0"/>
          <w:numId w:val="1002"/>
        </w:numPr>
        <w:pStyle w:val="Compact"/>
      </w:pPr>
      <w:r>
        <w:t xml:space="preserve">** proprietário do controlo** — confirma o âmbito de aplicação e as provas;</w:t>
      </w:r>
    </w:p>
    <w:p>
      <w:pPr>
        <w:numPr>
          <w:ilvl w:val="0"/>
          <w:numId w:val="1002"/>
        </w:numPr>
        <w:pStyle w:val="Compact"/>
      </w:pPr>
      <w:r>
        <w:rPr>
          <w:bCs/>
          <w:b/>
        </w:rPr>
        <w:t xml:space="preserve">Aprovador independente</w:t>
      </w:r>
      <w:r>
        <w:t xml:space="preserve"> </w:t>
      </w:r>
      <w:r>
        <w:t xml:space="preserve">— desafios de equivalência não apoiada;</w:t>
      </w:r>
    </w:p>
    <w:p>
      <w:pPr>
        <w:numPr>
          <w:ilvl w:val="0"/>
          <w:numId w:val="1002"/>
        </w:numPr>
        <w:pStyle w:val="Compact"/>
      </w:pPr>
      <w:r>
        <w:rPr>
          <w:bCs/>
          <w:b/>
        </w:rPr>
        <w:t xml:space="preserve">registra custódia</w:t>
      </w:r>
      <w:r>
        <w:t xml:space="preserve"> </w:t>
      </w:r>
      <w:r>
        <w:t xml:space="preserve">— conserva versões, decisões e provas de revisão.</w:t>
      </w:r>
    </w:p>
    <w:bookmarkEnd w:id="23"/>
    <w:bookmarkStart w:id="24" w:name="X414861ac86a095deef6b83c3a2d88e5772d4803"/>
    <w:p>
      <w:pPr>
        <w:pStyle w:val="Heading2"/>
      </w:pPr>
      <w:r>
        <w:t xml:space="preserve">4. Separar o texto fonte da interpretação da organização</w:t>
      </w:r>
    </w:p>
    <w:p>
      <w:pPr>
        <w:pStyle w:val="FirstParagraph"/>
      </w:pPr>
      <w:r>
        <w:t xml:space="preserve">Manter campos distintos para:</w:t>
      </w:r>
    </w:p>
    <w:p>
      <w:pPr>
        <w:numPr>
          <w:ilvl w:val="0"/>
          <w:numId w:val="1003"/>
        </w:numPr>
        <w:pStyle w:val="Compact"/>
      </w:pPr>
      <w:r>
        <w:t xml:space="preserve">O identificador de origem;</w:t>
      </w:r>
    </w:p>
    <w:p>
      <w:pPr>
        <w:numPr>
          <w:ilvl w:val="0"/>
          <w:numId w:val="1003"/>
        </w:numPr>
        <w:pStyle w:val="Compact"/>
      </w:pPr>
      <w:r>
        <w:t xml:space="preserve">Um excerto de origem autorizado ou um local de referência licenciado;</w:t>
      </w:r>
    </w:p>
    <w:p>
      <w:pPr>
        <w:numPr>
          <w:ilvl w:val="0"/>
          <w:numId w:val="1003"/>
        </w:numPr>
        <w:pStyle w:val="Compact"/>
      </w:pPr>
      <w:r>
        <w:t xml:space="preserve">A interpretação concisa da organização;</w:t>
      </w:r>
    </w:p>
    <w:p>
      <w:pPr>
        <w:numPr>
          <w:ilvl w:val="0"/>
          <w:numId w:val="1003"/>
        </w:numPr>
        <w:pStyle w:val="Compact"/>
      </w:pPr>
      <w:r>
        <w:t xml:space="preserve">O objectivo de controlo normalizado;</w:t>
      </w:r>
    </w:p>
    <w:p>
      <w:pPr>
        <w:numPr>
          <w:ilvl w:val="0"/>
          <w:numId w:val="1003"/>
        </w:numPr>
        <w:pStyle w:val="Compact"/>
      </w:pPr>
      <w:r>
        <w:t xml:space="preserve">A relação proposta;</w:t>
      </w:r>
    </w:p>
    <w:p>
      <w:pPr>
        <w:numPr>
          <w:ilvl w:val="0"/>
          <w:numId w:val="1003"/>
        </w:numPr>
        <w:pStyle w:val="Compact"/>
      </w:pPr>
      <w:r>
        <w:t xml:space="preserve">A lógica e as limitações.</w:t>
      </w:r>
    </w:p>
    <w:p>
      <w:pPr>
        <w:pStyle w:val="FirstParagraph"/>
      </w:pPr>
      <w:r>
        <w:t xml:space="preserve">Esta separação impede que um resumo escrito pela organização seja confundido com a língua oficial. Também permite que a interpretação seja corrigida sem alterar o registro fonte.</w:t>
      </w:r>
    </w:p>
    <w:bookmarkEnd w:id="24"/>
    <w:bookmarkStart w:id="25" w:name="usar-tipos-de-relacionamento-explícitos"/>
    <w:p>
      <w:pPr>
        <w:pStyle w:val="Heading2"/>
      </w:pPr>
      <w:r>
        <w:t xml:space="preserve">5. Usar tipos de relacionamento explícitos</w:t>
      </w:r>
    </w:p>
    <w:p>
      <w:pPr>
        <w:pStyle w:val="FirstParagraph"/>
      </w:pPr>
      <w:r>
        <w:t xml:space="preserve">Não use um único valor indiferenciado, como</w:t>
      </w:r>
      <w:r>
        <w:t xml:space="preserve"> </w:t>
      </w:r>
      <w:r>
        <w:t xml:space="preserve">“</w:t>
      </w:r>
      <w:r>
        <w:t xml:space="preserve">mapeado</w:t>
      </w:r>
      <w:r>
        <w:t xml:space="preserve">”</w:t>
      </w:r>
      <w:r>
        <w:t xml:space="preserve">. Os tipos de relacionamento recomendados são:</w:t>
      </w:r>
    </w:p>
    <w:p>
      <w:pPr>
        <w:numPr>
          <w:ilvl w:val="0"/>
          <w:numId w:val="1004"/>
        </w:numPr>
        <w:pStyle w:val="Compact"/>
      </w:pPr>
      <w:r>
        <w:t xml:space="preserve">** equivalente** — objectivos, âmbito e resultados esperados são materialmente os mesmos;</w:t>
      </w:r>
    </w:p>
    <w:p>
      <w:pPr>
        <w:numPr>
          <w:ilvl w:val="0"/>
          <w:numId w:val="1004"/>
        </w:numPr>
        <w:pStyle w:val="Compact"/>
      </w:pPr>
      <w:r>
        <w:t xml:space="preserve">** forte sobreposição** — existe uma cobertura substancial, mas uma ou mais condições diferem;</w:t>
      </w:r>
    </w:p>
    <w:p>
      <w:pPr>
        <w:numPr>
          <w:ilvl w:val="0"/>
          <w:numId w:val="1004"/>
        </w:numPr>
        <w:pStyle w:val="Compact"/>
      </w:pPr>
      <w:r>
        <w:t xml:space="preserve">** sobreposição parcial** — apenas uma parte do objectivo de origem é abrangida;</w:t>
      </w:r>
    </w:p>
    <w:p>
      <w:pPr>
        <w:numPr>
          <w:ilvl w:val="0"/>
          <w:numId w:val="1004"/>
        </w:numPr>
        <w:pStyle w:val="Compact"/>
      </w:pPr>
      <w:r>
        <w:rPr>
          <w:bCs/>
          <w:b/>
        </w:rPr>
        <w:t xml:space="preserve">apoios</w:t>
      </w:r>
      <w:r>
        <w:t xml:space="preserve"> </w:t>
      </w:r>
      <w:r>
        <w:t xml:space="preserve">— o objectivo contribui para o objectivo de origem, mas não é suficiente sozinho;</w:t>
      </w:r>
    </w:p>
    <w:p>
      <w:pPr>
        <w:numPr>
          <w:ilvl w:val="0"/>
          <w:numId w:val="1004"/>
        </w:numPr>
        <w:pStyle w:val="Compact"/>
      </w:pPr>
      <w:r>
        <w:t xml:space="preserve">** relacionados** — os itens abordam um tópico comum, mas não estabelecem cobertura;</w:t>
      </w:r>
    </w:p>
    <w:p>
      <w:pPr>
        <w:numPr>
          <w:ilvl w:val="0"/>
          <w:numId w:val="1004"/>
        </w:numPr>
        <w:pStyle w:val="Compact"/>
      </w:pPr>
      <w:r>
        <w:t xml:space="preserve">** conflitos ou restrições** — obrigações ou expectativas de implementação exigem reconciliação;</w:t>
      </w:r>
    </w:p>
    <w:p>
      <w:pPr>
        <w:numPr>
          <w:ilvl w:val="0"/>
          <w:numId w:val="1004"/>
        </w:numPr>
        <w:pStyle w:val="Compact"/>
      </w:pPr>
      <w:r>
        <w:t xml:space="preserve">** nenhum mapeamento** — nenhuma relação defensável foi identificada;</w:t>
      </w:r>
    </w:p>
    <w:p>
      <w:pPr>
        <w:numPr>
          <w:ilvl w:val="0"/>
          <w:numId w:val="1004"/>
        </w:numPr>
        <w:pStyle w:val="Compact"/>
      </w:pPr>
      <w:r>
        <w:rPr>
          <w:bCs/>
          <w:b/>
        </w:rPr>
        <w:t xml:space="preserve">não aplicável</w:t>
      </w:r>
      <w:r>
        <w:t xml:space="preserve"> </w:t>
      </w:r>
      <w:r>
        <w:t xml:space="preserve">— a aplicabilidade foi avaliada e excluída com fundamentação.</w:t>
      </w:r>
    </w:p>
    <w:p>
      <w:pPr>
        <w:pStyle w:val="FirstParagraph"/>
      </w:pPr>
      <w:r>
        <w:t xml:space="preserve">“</w:t>
      </w:r>
      <w:r>
        <w:t xml:space="preserve">Equivalente</w:t>
      </w:r>
      <w:r>
        <w:t xml:space="preserve">”</w:t>
      </w:r>
      <w:r>
        <w:t xml:space="preserve"> </w:t>
      </w:r>
      <w:r>
        <w:t xml:space="preserve">deve ser raro e exigir comparação documentada de escopo, ator, ação, objeto, condição, frequência, evidência e resultado.</w:t>
      </w:r>
    </w:p>
    <w:bookmarkEnd w:id="25"/>
    <w:bookmarkStart w:id="26" w:name="Xfc864c28db9729083650da37905493c9235c98d"/>
    <w:p>
      <w:pPr>
        <w:pStyle w:val="Heading2"/>
      </w:pPr>
      <w:r>
        <w:t xml:space="preserve">6. Gravar a confiança separadamente do tipo de relacionamento</w:t>
      </w:r>
    </w:p>
    <w:p>
      <w:pPr>
        <w:pStyle w:val="FirstParagraph"/>
      </w:pPr>
      <w:r>
        <w:t xml:space="preserve">A força do relacionamento e a confiança do analista são diferentes. Uma sobreposição parcial proposta pode ter alta confiança; uma equivalência proposta pode ter baixa confiança.</w:t>
      </w:r>
    </w:p>
    <w:p>
      <w:pPr>
        <w:pStyle w:val="BodyText"/>
      </w:pPr>
      <w:r>
        <w:t xml:space="preserve">Utilizar uma escala de confiança controlada, como:</w:t>
      </w:r>
    </w:p>
    <w:p>
      <w:pPr>
        <w:numPr>
          <w:ilvl w:val="0"/>
          <w:numId w:val="1005"/>
        </w:numPr>
        <w:pStyle w:val="Compact"/>
      </w:pPr>
      <w:r>
        <w:t xml:space="preserve">** high** — fontes autoritárias e fatos de implementação apoiam a conclusão, com revisão independente;</w:t>
      </w:r>
    </w:p>
    <w:p>
      <w:pPr>
        <w:numPr>
          <w:ilvl w:val="0"/>
          <w:numId w:val="1005"/>
        </w:numPr>
        <w:pStyle w:val="Compact"/>
      </w:pPr>
      <w:r>
        <w:t xml:space="preserve">** média** — a relação é razoável, mas contém interpretação ou condições não resolvidas;</w:t>
      </w:r>
    </w:p>
    <w:p>
      <w:pPr>
        <w:numPr>
          <w:ilvl w:val="0"/>
          <w:numId w:val="1005"/>
        </w:numPr>
        <w:pStyle w:val="Compact"/>
      </w:pPr>
      <w:r>
        <w:rPr>
          <w:bCs/>
          <w:b/>
        </w:rPr>
        <w:t xml:space="preserve">low</w:t>
      </w:r>
      <w:r>
        <w:t xml:space="preserve"> </w:t>
      </w:r>
      <w:r>
        <w:t xml:space="preserve">— a relação é preliminar, indireta ou baseada em informações incompletas.</w:t>
      </w:r>
    </w:p>
    <w:p>
      <w:pPr>
        <w:pStyle w:val="FirstParagraph"/>
      </w:pPr>
      <w:r>
        <w:t xml:space="preserve">Os mapeamentos de baixa confiança não devem conduzir reivindicações de conformidade ou decisões de reutilização de controle sem nova revisão.</w:t>
      </w:r>
    </w:p>
    <w:bookmarkEnd w:id="26"/>
    <w:bookmarkStart w:id="27" w:name="preservar-o-âmbito-e-a-aplicabilidade"/>
    <w:p>
      <w:pPr>
        <w:pStyle w:val="Heading2"/>
      </w:pPr>
      <w:r>
        <w:t xml:space="preserve">7. Preservar o âmbito e a aplicabilidade</w:t>
      </w:r>
    </w:p>
    <w:p>
      <w:pPr>
        <w:pStyle w:val="FirstParagraph"/>
      </w:pPr>
      <w:r>
        <w:t xml:space="preserve">Um registo cartográfico deverá identificar as dimensões de âmbito relevantes, incluindo:</w:t>
      </w:r>
    </w:p>
    <w:p>
      <w:pPr>
        <w:numPr>
          <w:ilvl w:val="0"/>
          <w:numId w:val="1006"/>
        </w:numPr>
        <w:pStyle w:val="Compact"/>
      </w:pPr>
      <w:r>
        <w:t xml:space="preserve">Entidade jurídica e jurisdição;</w:t>
      </w:r>
    </w:p>
    <w:p>
      <w:pPr>
        <w:numPr>
          <w:ilvl w:val="0"/>
          <w:numId w:val="1006"/>
        </w:numPr>
        <w:pStyle w:val="Compact"/>
      </w:pPr>
      <w:r>
        <w:t xml:space="preserve">Processo e serviço de negócios;</w:t>
      </w:r>
    </w:p>
    <w:p>
      <w:pPr>
        <w:numPr>
          <w:ilvl w:val="0"/>
          <w:numId w:val="1006"/>
        </w:numPr>
        <w:pStyle w:val="Compact"/>
      </w:pPr>
      <w:r>
        <w:t xml:space="preserve">Sistema, aplicação, infra-estrutura ou instalação;</w:t>
      </w:r>
    </w:p>
    <w:p>
      <w:pPr>
        <w:numPr>
          <w:ilvl w:val="0"/>
          <w:numId w:val="1006"/>
        </w:numPr>
        <w:pStyle w:val="Compact"/>
      </w:pPr>
      <w:r>
        <w:t xml:space="preserve">Tipo de dados e sensibilidade;</w:t>
      </w:r>
    </w:p>
    <w:p>
      <w:pPr>
        <w:numPr>
          <w:ilvl w:val="0"/>
          <w:numId w:val="1006"/>
        </w:numPr>
        <w:pStyle w:val="Compact"/>
      </w:pPr>
      <w:r>
        <w:t xml:space="preserve">força de trabalho, fornecedor ou população de clientes;</w:t>
      </w:r>
    </w:p>
    <w:p>
      <w:pPr>
        <w:numPr>
          <w:ilvl w:val="0"/>
          <w:numId w:val="1006"/>
        </w:numPr>
        <w:pStyle w:val="Compact"/>
      </w:pPr>
      <w:r>
        <w:t xml:space="preserve">Modelo tecnológico, incluindo limites de responsabilidade na nuvem;</w:t>
      </w:r>
    </w:p>
    <w:p>
      <w:pPr>
        <w:numPr>
          <w:ilvl w:val="0"/>
          <w:numId w:val="1006"/>
        </w:numPr>
        <w:pStyle w:val="Compact"/>
      </w:pPr>
      <w:r>
        <w:t xml:space="preserve">período de avaliação;</w:t>
      </w:r>
    </w:p>
    <w:p>
      <w:pPr>
        <w:numPr>
          <w:ilvl w:val="0"/>
          <w:numId w:val="1006"/>
        </w:numPr>
        <w:pStyle w:val="Compact"/>
      </w:pPr>
      <w:r>
        <w:t xml:space="preserve">Grupo de implementação, perfil, nível de base ou de garantia;</w:t>
      </w:r>
    </w:p>
    <w:p>
      <w:pPr>
        <w:numPr>
          <w:ilvl w:val="0"/>
          <w:numId w:val="1006"/>
        </w:numPr>
        <w:pStyle w:val="Compact"/>
      </w:pPr>
      <w:r>
        <w:t xml:space="preserve">gatilhos contratuais e regulamentares.</w:t>
      </w:r>
    </w:p>
    <w:p>
      <w:pPr>
        <w:pStyle w:val="FirstParagraph"/>
      </w:pPr>
      <w:r>
        <w:t xml:space="preserve">Uma relação pode ser válida em um escopo e inválida em outro.</w:t>
      </w:r>
    </w:p>
    <w:bookmarkEnd w:id="27"/>
    <w:bookmarkStart w:id="28" w:name="critérios-de-aprovação"/>
    <w:p>
      <w:pPr>
        <w:pStyle w:val="Heading2"/>
      </w:pPr>
      <w:r>
        <w:t xml:space="preserve">8. Critérios de aprovação</w:t>
      </w:r>
    </w:p>
    <w:p>
      <w:pPr>
        <w:pStyle w:val="FirstParagraph"/>
      </w:pPr>
      <w:r>
        <w:t xml:space="preserve">Um mapeamento não deve ser aprovado a menos que:</w:t>
      </w:r>
    </w:p>
    <w:p>
      <w:pPr>
        <w:numPr>
          <w:ilvl w:val="0"/>
          <w:numId w:val="1007"/>
        </w:numPr>
        <w:pStyle w:val="Compact"/>
      </w:pPr>
      <w:r>
        <w:t xml:space="preserve">Sejam identificadas as fontes e versões;</w:t>
      </w:r>
    </w:p>
    <w:p>
      <w:pPr>
        <w:numPr>
          <w:ilvl w:val="0"/>
          <w:numId w:val="1007"/>
        </w:numPr>
        <w:pStyle w:val="Compact"/>
      </w:pPr>
      <w:r>
        <w:t xml:space="preserve">São respeitadas as restrições de licenciamento e reprodução de fontes;</w:t>
      </w:r>
    </w:p>
    <w:p>
      <w:pPr>
        <w:numPr>
          <w:ilvl w:val="0"/>
          <w:numId w:val="1007"/>
        </w:numPr>
        <w:pStyle w:val="Compact"/>
      </w:pPr>
      <w:r>
        <w:t xml:space="preserve">Os requisitos são decompostos a um nível comparável;</w:t>
      </w:r>
    </w:p>
    <w:p>
      <w:pPr>
        <w:numPr>
          <w:ilvl w:val="0"/>
          <w:numId w:val="1007"/>
        </w:numPr>
        <w:pStyle w:val="Compact"/>
      </w:pPr>
      <w:r>
        <w:t xml:space="preserve">O âmbito e a aplicabilidade são registados;</w:t>
      </w:r>
    </w:p>
    <w:p>
      <w:pPr>
        <w:numPr>
          <w:ilvl w:val="0"/>
          <w:numId w:val="1007"/>
        </w:numPr>
        <w:pStyle w:val="Compact"/>
      </w:pPr>
      <w:r>
        <w:t xml:space="preserve">O tipo de relação e a confiança são explícitos;</w:t>
      </w:r>
    </w:p>
    <w:p>
      <w:pPr>
        <w:numPr>
          <w:ilvl w:val="0"/>
          <w:numId w:val="1007"/>
        </w:numPr>
        <w:pStyle w:val="Compact"/>
      </w:pPr>
      <w:r>
        <w:t xml:space="preserve">A justificação identifica a cobertura e as limitações;</w:t>
      </w:r>
    </w:p>
    <w:p>
      <w:pPr>
        <w:numPr>
          <w:ilvl w:val="0"/>
          <w:numId w:val="1007"/>
        </w:numPr>
        <w:pStyle w:val="Compact"/>
      </w:pPr>
      <w:r>
        <w:t xml:space="preserve">A aplicação e os laços de prova distinguem-se das relações de origem;</w:t>
      </w:r>
    </w:p>
    <w:p>
      <w:pPr>
        <w:numPr>
          <w:ilvl w:val="0"/>
          <w:numId w:val="1007"/>
        </w:numPr>
        <w:pStyle w:val="Compact"/>
      </w:pPr>
      <w:r>
        <w:t xml:space="preserve">São visíveis conflitos e lacunas;</w:t>
      </w:r>
    </w:p>
    <w:p>
      <w:pPr>
        <w:numPr>
          <w:ilvl w:val="0"/>
          <w:numId w:val="1007"/>
        </w:numPr>
        <w:pStyle w:val="Compact"/>
      </w:pPr>
      <w:r>
        <w:t xml:space="preserve">Um revisor independente registou uma decisão;</w:t>
      </w:r>
    </w:p>
    <w:p>
      <w:pPr>
        <w:numPr>
          <w:ilvl w:val="0"/>
          <w:numId w:val="1007"/>
        </w:numPr>
        <w:pStyle w:val="Compact"/>
      </w:pPr>
      <w:r>
        <w:t xml:space="preserve">É atribuído um gatilho de revisão e uma data de expiração.</w:t>
      </w:r>
    </w:p>
    <w:bookmarkEnd w:id="28"/>
    <w:bookmarkStart w:id="29" w:name="alegações-proibidas"/>
    <w:p>
      <w:pPr>
        <w:pStyle w:val="Heading2"/>
      </w:pPr>
      <w:r>
        <w:t xml:space="preserve">9. Alegações proibidas</w:t>
      </w:r>
    </w:p>
    <w:p>
      <w:pPr>
        <w:pStyle w:val="FirstParagraph"/>
      </w:pPr>
      <w:r>
        <w:t xml:space="preserve">Não declare que:</w:t>
      </w:r>
    </w:p>
    <w:p>
      <w:pPr>
        <w:numPr>
          <w:ilvl w:val="0"/>
          <w:numId w:val="1008"/>
        </w:numPr>
        <w:pStyle w:val="Compact"/>
      </w:pPr>
      <w:r>
        <w:t xml:space="preserve">A implementação de um quadro estabelece automaticamente o cumprimento de outro;</w:t>
      </w:r>
    </w:p>
    <w:p>
      <w:pPr>
        <w:numPr>
          <w:ilvl w:val="0"/>
          <w:numId w:val="1008"/>
        </w:numPr>
        <w:pStyle w:val="Compact"/>
      </w:pPr>
      <w:r>
        <w:t xml:space="preserve">Um mapeamento comprova a concepção ou a eficácia operacional;</w:t>
      </w:r>
    </w:p>
    <w:p>
      <w:pPr>
        <w:numPr>
          <w:ilvl w:val="0"/>
          <w:numId w:val="1008"/>
        </w:numPr>
        <w:pStyle w:val="Compact"/>
      </w:pPr>
      <w:r>
        <w:t xml:space="preserve">Um cruzamento é uma opinião jurídica ou uma certificação;</w:t>
      </w:r>
    </w:p>
    <w:p>
      <w:pPr>
        <w:numPr>
          <w:ilvl w:val="0"/>
          <w:numId w:val="1008"/>
        </w:numPr>
        <w:pStyle w:val="Compact"/>
      </w:pPr>
      <w:r>
        <w:t xml:space="preserve">Uma relação de categoria de alto nível satisfaz requisitos pormenorizados;</w:t>
      </w:r>
    </w:p>
    <w:p>
      <w:pPr>
        <w:numPr>
          <w:ilvl w:val="0"/>
          <w:numId w:val="1008"/>
        </w:numPr>
        <w:pStyle w:val="Compact"/>
      </w:pPr>
      <w:r>
        <w:t xml:space="preserve">Terminologia idêntica: obrigação idêntica;</w:t>
      </w:r>
    </w:p>
    <w:p>
      <w:pPr>
        <w:numPr>
          <w:ilvl w:val="0"/>
          <w:numId w:val="1008"/>
        </w:numPr>
        <w:pStyle w:val="Compact"/>
      </w:pPr>
      <w:r>
        <w:t xml:space="preserve">um mapeamento fornecido pelo fornecedor remove o dever da organização de validar escopo e implementação.</w:t>
      </w:r>
    </w:p>
    <w:bookmarkEnd w:id="29"/>
    <w:bookmarkStart w:id="30" w:name="provas-mínimas-de-governação"/>
    <w:p>
      <w:pPr>
        <w:pStyle w:val="Heading2"/>
      </w:pPr>
      <w:r>
        <w:t xml:space="preserve">10. Provas mínimas de governação</w:t>
      </w:r>
    </w:p>
    <w:p>
      <w:pPr>
        <w:pStyle w:val="FirstParagraph"/>
      </w:pPr>
      <w:r>
        <w:t xml:space="preserve">Manter:</w:t>
      </w:r>
    </w:p>
    <w:p>
      <w:pPr>
        <w:numPr>
          <w:ilvl w:val="0"/>
          <w:numId w:val="1009"/>
        </w:numPr>
        <w:pStyle w:val="Compact"/>
      </w:pPr>
      <w:r>
        <w:t xml:space="preserve">metodologia e definições de relações aprovadas;</w:t>
      </w:r>
    </w:p>
    <w:p>
      <w:pPr>
        <w:numPr>
          <w:ilvl w:val="0"/>
          <w:numId w:val="1009"/>
        </w:numPr>
        <w:pStyle w:val="Compact"/>
      </w:pPr>
      <w:r>
        <w:t xml:space="preserve">registo de origem e histórico de versões;</w:t>
      </w:r>
    </w:p>
    <w:p>
      <w:pPr>
        <w:numPr>
          <w:ilvl w:val="0"/>
          <w:numId w:val="1009"/>
        </w:numPr>
        <w:pStyle w:val="Compact"/>
      </w:pPr>
      <w:r>
        <w:t xml:space="preserve">Mapeamento de registos e fundamentação;</w:t>
      </w:r>
    </w:p>
    <w:p>
      <w:pPr>
        <w:numPr>
          <w:ilvl w:val="0"/>
          <w:numId w:val="1009"/>
        </w:numPr>
        <w:pStyle w:val="Compact"/>
      </w:pPr>
      <w:r>
        <w:t xml:space="preserve">Comentários do revisor e decisões de aprovação;</w:t>
      </w:r>
    </w:p>
    <w:p>
      <w:pPr>
        <w:numPr>
          <w:ilvl w:val="0"/>
          <w:numId w:val="1009"/>
        </w:numPr>
        <w:pStyle w:val="Compact"/>
      </w:pPr>
      <w:r>
        <w:t xml:space="preserve">conflitos, excepções e lacunas não resolvidas;</w:t>
      </w:r>
    </w:p>
    <w:p>
      <w:pPr>
        <w:numPr>
          <w:ilvl w:val="0"/>
          <w:numId w:val="1009"/>
        </w:numPr>
        <w:pStyle w:val="Compact"/>
      </w:pPr>
      <w:r>
        <w:t xml:space="preserve">Os registos de mudança e os mapas retirados;</w:t>
      </w:r>
    </w:p>
    <w:p>
      <w:pPr>
        <w:numPr>
          <w:ilvl w:val="0"/>
          <w:numId w:val="1009"/>
        </w:numPr>
        <w:pStyle w:val="Compact"/>
      </w:pPr>
      <w:r>
        <w:t xml:space="preserve">Provas de revisão periódica e orientada para o evento.</w:t>
      </w:r>
    </w:p>
    <w:bookmarkEnd w:id="30"/>
    <w:bookmarkEnd w:id="31"/>
    <w:bookmarkStart w:id="41" w:name="X95710b05bb0f9bd162df60f3df6294eb4267c5a"/>
    <w:p>
      <w:pPr>
        <w:pStyle w:val="Heading1"/>
      </w:pPr>
      <w:r>
        <w:t xml:space="preserve">Descomposição do requisito e normalização</w:t>
      </w:r>
    </w:p>
    <w:bookmarkStart w:id="32" w:name="mapa-de-unidades-comparáveis"/>
    <w:p>
      <w:pPr>
        <w:pStyle w:val="Heading2"/>
      </w:pPr>
      <w:r>
        <w:t xml:space="preserve">1. Mapa de unidades comparáveis</w:t>
      </w:r>
    </w:p>
    <w:p>
      <w:pPr>
        <w:pStyle w:val="FirstParagraph"/>
      </w:pPr>
      <w:r>
        <w:t xml:space="preserve">Os mapeamentos falham quando os analistas comparam unidades em diferentes níveis. Um resultado-quadro alargado não pode ser considerado equivalente a um requisito técnico pormenorizado apenas porque ambos dizem respeito ao mesmo tema. Antes de mapear, decompor cada fonte em unidades analíticas comparáveis.</w:t>
      </w:r>
    </w:p>
    <w:p>
      <w:pPr>
        <w:pStyle w:val="BodyText"/>
      </w:pPr>
      <w:r>
        <w:t xml:space="preserve">Um modelo de requisito útil separa:</w:t>
      </w:r>
    </w:p>
    <w:p>
      <w:pPr>
        <w:numPr>
          <w:ilvl w:val="0"/>
          <w:numId w:val="1010"/>
        </w:numPr>
        <w:pStyle w:val="Compact"/>
      </w:pPr>
      <w:r>
        <w:t xml:space="preserve">** ator** — que deve agir ou permanecer responsável;</w:t>
      </w:r>
    </w:p>
    <w:p>
      <w:pPr>
        <w:numPr>
          <w:ilvl w:val="0"/>
          <w:numId w:val="1010"/>
        </w:numPr>
        <w:pStyle w:val="Compact"/>
      </w:pPr>
      <w:r>
        <w:t xml:space="preserve">** acção** — o que deve ser estabelecido, executado, proibido, revisto ou demonstrado;</w:t>
      </w:r>
    </w:p>
    <w:p>
      <w:pPr>
        <w:numPr>
          <w:ilvl w:val="0"/>
          <w:numId w:val="1010"/>
        </w:numPr>
        <w:pStyle w:val="Compact"/>
      </w:pPr>
      <w:r>
        <w:rPr>
          <w:bCs/>
          <w:b/>
        </w:rPr>
        <w:t xml:space="preserve">object</w:t>
      </w:r>
      <w:r>
        <w:t xml:space="preserve"> </w:t>
      </w:r>
      <w:r>
        <w:t xml:space="preserve">— sistema, informação, processo, pessoa, fornecedor, instalação ou registo afectado;</w:t>
      </w:r>
    </w:p>
    <w:p>
      <w:pPr>
        <w:numPr>
          <w:ilvl w:val="0"/>
          <w:numId w:val="1010"/>
        </w:numPr>
        <w:pStyle w:val="Compact"/>
      </w:pPr>
      <w:r>
        <w:rPr>
          <w:bCs/>
          <w:b/>
        </w:rPr>
        <w:t xml:space="preserve">condição</w:t>
      </w:r>
      <w:r>
        <w:t xml:space="preserve"> </w:t>
      </w:r>
      <w:r>
        <w:t xml:space="preserve">— quando, quando, ou sob que gatilho o requisito se aplica;</w:t>
      </w:r>
    </w:p>
    <w:p>
      <w:pPr>
        <w:numPr>
          <w:ilvl w:val="0"/>
          <w:numId w:val="1010"/>
        </w:numPr>
        <w:pStyle w:val="Compact"/>
      </w:pPr>
      <w:r>
        <w:rPr>
          <w:bCs/>
          <w:b/>
        </w:rPr>
        <w:t xml:space="preserve">frequência ou timing</w:t>
      </w:r>
      <w:r>
        <w:t xml:space="preserve"> </w:t>
      </w:r>
      <w:r>
        <w:t xml:space="preserve">— com que frequência ou em que período se espera uma acção;</w:t>
      </w:r>
    </w:p>
    <w:p>
      <w:pPr>
        <w:numPr>
          <w:ilvl w:val="0"/>
          <w:numId w:val="1010"/>
        </w:numPr>
        <w:pStyle w:val="Compact"/>
      </w:pPr>
      <w:r>
        <w:t xml:space="preserve">** limiar de qualidade** — exigência de rigor, integridade, independência ou desempenho;</w:t>
      </w:r>
    </w:p>
    <w:p>
      <w:pPr>
        <w:numPr>
          <w:ilvl w:val="0"/>
          <w:numId w:val="1010"/>
        </w:numPr>
        <w:pStyle w:val="Compact"/>
      </w:pPr>
      <w:r>
        <w:t xml:space="preserve">** expectativa de provas** — que registos podem demonstrar a implementação ou o funcionamento;</w:t>
      </w:r>
    </w:p>
    <w:p>
      <w:pPr>
        <w:numPr>
          <w:ilvl w:val="0"/>
          <w:numId w:val="1010"/>
        </w:numPr>
        <w:pStyle w:val="Compact"/>
      </w:pPr>
      <w:r>
        <w:rPr>
          <w:bCs/>
          <w:b/>
        </w:rPr>
        <w:t xml:space="preserve">resultado</w:t>
      </w:r>
      <w:r>
        <w:t xml:space="preserve"> </w:t>
      </w:r>
      <w:r>
        <w:t xml:space="preserve">— o objectivo pretendido de protecção, de governação ou de garantia;</w:t>
      </w:r>
    </w:p>
    <w:p>
      <w:pPr>
        <w:numPr>
          <w:ilvl w:val="0"/>
          <w:numId w:val="1010"/>
        </w:numPr>
        <w:pStyle w:val="Compact"/>
      </w:pPr>
      <w:r>
        <w:rPr>
          <w:bCs/>
          <w:b/>
        </w:rPr>
        <w:t xml:space="preserve">excepções</w:t>
      </w:r>
      <w:r>
        <w:t xml:space="preserve"> </w:t>
      </w:r>
      <w:r>
        <w:t xml:space="preserve">— alternativas explícitas, mecanismos compensadores ou limites de aplicabilidade.</w:t>
      </w:r>
    </w:p>
    <w:bookmarkEnd w:id="32"/>
    <w:bookmarkStart w:id="33" w:name="preservar-a-identidade-da-fonte"/>
    <w:p>
      <w:pPr>
        <w:pStyle w:val="Heading2"/>
      </w:pPr>
      <w:r>
        <w:t xml:space="preserve">2. Preservar a identidade da fonte</w:t>
      </w:r>
    </w:p>
    <w:p>
      <w:pPr>
        <w:pStyle w:val="FirstParagraph"/>
      </w:pPr>
      <w:r>
        <w:t xml:space="preserve">Cada unidade decomposta deve manter o seu identificador de origem-mãe e versão. Não atribuir um novo identificador que obscureça a referência autoritária. Se uma organização cria subelementos para análise, use um sufixo transparente como</w:t>
      </w:r>
      <w:r>
        <w:t xml:space="preserve"> </w:t>
      </w:r>
      <w:r>
        <w:rPr>
          <w:rStyle w:val="VerbatimChar"/>
        </w:rPr>
        <w:t xml:space="preserve">ORG-SEG-01</w:t>
      </w:r>
      <w:r>
        <w:t xml:space="preserve"> </w:t>
      </w:r>
      <w:r>
        <w:t xml:space="preserve">e registre que é um segmento analítico, não um identificador de fonte oficial.</w:t>
      </w:r>
    </w:p>
    <w:bookmarkEnd w:id="33"/>
    <w:bookmarkStart w:id="34" w:name="tipos-de-requisitos-de-distinção"/>
    <w:p>
      <w:pPr>
        <w:pStyle w:val="Heading2"/>
      </w:pPr>
      <w:r>
        <w:t xml:space="preserve">3. Tipos de requisitos de distinção</w:t>
      </w:r>
    </w:p>
    <w:p>
      <w:pPr>
        <w:pStyle w:val="FirstParagraph"/>
      </w:pPr>
      <w:r>
        <w:t xml:space="preserve">Classificar a unidade de origem antes de normalizá-la. Os tipos comuns incluem:</w:t>
      </w:r>
    </w:p>
    <w:p>
      <w:pPr>
        <w:numPr>
          <w:ilvl w:val="0"/>
          <w:numId w:val="1011"/>
        </w:numPr>
        <w:pStyle w:val="Compact"/>
      </w:pPr>
      <w:r>
        <w:t xml:space="preserve">Obrigação de governação;</w:t>
      </w:r>
    </w:p>
    <w:p>
      <w:pPr>
        <w:numPr>
          <w:ilvl w:val="0"/>
          <w:numId w:val="1011"/>
        </w:numPr>
        <w:pStyle w:val="Compact"/>
      </w:pPr>
      <w:r>
        <w:t xml:space="preserve">Requisitos de política ou procedimento;</w:t>
      </w:r>
    </w:p>
    <w:p>
      <w:pPr>
        <w:numPr>
          <w:ilvl w:val="0"/>
          <w:numId w:val="1011"/>
        </w:numPr>
        <w:pStyle w:val="Compact"/>
      </w:pPr>
      <w:r>
        <w:t xml:space="preserve">Actividades de gestão de riscos;</w:t>
      </w:r>
    </w:p>
    <w:p>
      <w:pPr>
        <w:numPr>
          <w:ilvl w:val="0"/>
          <w:numId w:val="1011"/>
        </w:numPr>
        <w:pStyle w:val="Compact"/>
      </w:pPr>
      <w:r>
        <w:t xml:space="preserve">Garantia técnica;</w:t>
      </w:r>
    </w:p>
    <w:p>
      <w:pPr>
        <w:numPr>
          <w:ilvl w:val="0"/>
          <w:numId w:val="1011"/>
        </w:numPr>
        <w:pStyle w:val="Compact"/>
      </w:pPr>
      <w:r>
        <w:t xml:space="preserve">salvaguarda física;</w:t>
      </w:r>
    </w:p>
    <w:p>
      <w:pPr>
        <w:numPr>
          <w:ilvl w:val="0"/>
          <w:numId w:val="1011"/>
        </w:numPr>
        <w:pStyle w:val="Compact"/>
      </w:pPr>
      <w:r>
        <w:t xml:space="preserve">A força de trabalho ou a exigência de formação;</w:t>
      </w:r>
    </w:p>
    <w:p>
      <w:pPr>
        <w:numPr>
          <w:ilvl w:val="0"/>
          <w:numId w:val="1011"/>
        </w:numPr>
        <w:pStyle w:val="Compact"/>
      </w:pPr>
      <w:r>
        <w:t xml:space="preserve">Requisitos de fornecedor;</w:t>
      </w:r>
    </w:p>
    <w:p>
      <w:pPr>
        <w:numPr>
          <w:ilvl w:val="0"/>
          <w:numId w:val="1011"/>
        </w:numPr>
        <w:pStyle w:val="Compact"/>
      </w:pPr>
      <w:r>
        <w:t xml:space="preserve">Requisitos de monitorização ou detecção;</w:t>
      </w:r>
    </w:p>
    <w:p>
      <w:pPr>
        <w:numPr>
          <w:ilvl w:val="0"/>
          <w:numId w:val="1011"/>
        </w:numPr>
        <w:pStyle w:val="Compact"/>
      </w:pPr>
      <w:r>
        <w:t xml:space="preserve">Requisitos de resposta ou recuperação;</w:t>
      </w:r>
    </w:p>
    <w:p>
      <w:pPr>
        <w:numPr>
          <w:ilvl w:val="0"/>
          <w:numId w:val="1011"/>
        </w:numPr>
        <w:pStyle w:val="Compact"/>
      </w:pPr>
      <w:r>
        <w:t xml:space="preserve">Princípio da privacidade ou direito individual;</w:t>
      </w:r>
    </w:p>
    <w:p>
      <w:pPr>
        <w:numPr>
          <w:ilvl w:val="0"/>
          <w:numId w:val="1011"/>
        </w:numPr>
        <w:pStyle w:val="Compact"/>
      </w:pPr>
      <w:r>
        <w:t xml:space="preserve">Documentação ou requisito de retenção;</w:t>
      </w:r>
    </w:p>
    <w:p>
      <w:pPr>
        <w:numPr>
          <w:ilvl w:val="0"/>
          <w:numId w:val="1011"/>
        </w:numPr>
        <w:pStyle w:val="Compact"/>
      </w:pPr>
      <w:r>
        <w:t xml:space="preserve">Requisitos de avaliação, ensaio ou garantia;</w:t>
      </w:r>
    </w:p>
    <w:p>
      <w:pPr>
        <w:numPr>
          <w:ilvl w:val="0"/>
          <w:numId w:val="1011"/>
        </w:numPr>
        <w:pStyle w:val="Compact"/>
      </w:pPr>
      <w:r>
        <w:t xml:space="preserve">obrigação de comunicação ou notificação.</w:t>
      </w:r>
    </w:p>
    <w:p>
      <w:pPr>
        <w:pStyle w:val="FirstParagraph"/>
      </w:pPr>
      <w:r>
        <w:t xml:space="preserve">Os requisitos de diferentes tipos podem apoiar-se mutuamente sem serem equivalentes.</w:t>
      </w:r>
    </w:p>
    <w:bookmarkEnd w:id="34"/>
    <w:bookmarkStart w:id="35" w:name="Xe1fc2dee853c7add30f6acdaf9c7b0cca97b9fc"/>
    <w:p>
      <w:pPr>
        <w:pStyle w:val="Heading2"/>
      </w:pPr>
      <w:r>
        <w:t xml:space="preserve">4. Escrever um objectivo de controlo normalizado</w:t>
      </w:r>
    </w:p>
    <w:p>
      <w:pPr>
        <w:pStyle w:val="FirstParagraph"/>
      </w:pPr>
      <w:r>
        <w:t xml:space="preserve">Um objectivo normalizado deve ser conciso, neutro em termos tecnológicos, se for caso disso, e fiel à fonte. Usar esta estrutura:</w:t>
      </w:r>
    </w:p>
    <w:p>
      <w:pPr>
        <w:pStyle w:val="BlockText"/>
      </w:pPr>
      <w:r>
        <w:t xml:space="preserve">A organização [ação] [objeto] [condição ou escopo] para alcançar [resultado], com [condição, qualidade ou condição de evidência].</w:t>
      </w:r>
    </w:p>
    <w:p>
      <w:pPr>
        <w:pStyle w:val="FirstParagraph"/>
      </w:pPr>
      <w:r>
        <w:t xml:space="preserve">O objectivo normalizado é um auxílio analítico. Não deve substituir nem parafrasear os qualificadores legalmente significativos.</w:t>
      </w:r>
    </w:p>
    <w:bookmarkEnd w:id="35"/>
    <w:bookmarkStart w:id="36" w:name="manter-as-qualificações-obrigatórias"/>
    <w:p>
      <w:pPr>
        <w:pStyle w:val="Heading2"/>
      </w:pPr>
      <w:r>
        <w:t xml:space="preserve">5. Manter as qualificações obrigatórias</w:t>
      </w:r>
    </w:p>
    <w:p>
      <w:pPr>
        <w:pStyle w:val="FirstParagraph"/>
      </w:pPr>
      <w:r>
        <w:t xml:space="preserve">Palavras como</w:t>
      </w:r>
      <w:r>
        <w:t xml:space="preserve"> </w:t>
      </w:r>
      <w:r>
        <w:t xml:space="preserve">“</w:t>
      </w:r>
      <w:r>
        <w:t xml:space="preserve">dever</w:t>
      </w:r>
      <w:r>
        <w:t xml:space="preserve">”</w:t>
      </w:r>
      <w:r>
        <w:t xml:space="preserve">,</w:t>
      </w:r>
      <w:r>
        <w:t xml:space="preserve"> </w:t>
      </w:r>
      <w:r>
        <w:t xml:space="preserve">“</w:t>
      </w:r>
      <w:r>
        <w:t xml:space="preserve">dever</w:t>
      </w:r>
      <w:r>
        <w:t xml:space="preserve">”</w:t>
      </w:r>
      <w:r>
        <w:t xml:space="preserve">,</w:t>
      </w:r>
      <w:r>
        <w:t xml:space="preserve"> </w:t>
      </w:r>
      <w:r>
        <w:t xml:space="preserve">“</w:t>
      </w:r>
      <w:r>
        <w:t xml:space="preserve">pelo menos anualmente</w:t>
      </w:r>
      <w:r>
        <w:t xml:space="preserve">”</w:t>
      </w:r>
      <w:r>
        <w:t xml:space="preserve">,</w:t>
      </w:r>
      <w:r>
        <w:t xml:space="preserve"> </w:t>
      </w:r>
      <w:r>
        <w:t xml:space="preserve">“</w:t>
      </w:r>
      <w:r>
        <w:t xml:space="preserve">sem atraso indevido</w:t>
      </w:r>
      <w:r>
        <w:t xml:space="preserve">”</w:t>
      </w:r>
      <w:r>
        <w:t xml:space="preserve">,</w:t>
      </w:r>
      <w:r>
        <w:t xml:space="preserve"> </w:t>
      </w:r>
      <w:r>
        <w:t xml:space="preserve">“</w:t>
      </w:r>
      <w:r>
        <w:t xml:space="preserve">razoável</w:t>
      </w:r>
      <w:r>
        <w:t xml:space="preserve">”</w:t>
      </w:r>
      <w:r>
        <w:t xml:space="preserve">,</w:t>
      </w:r>
      <w:r>
        <w:t xml:space="preserve"> </w:t>
      </w:r>
      <w:r>
        <w:t xml:space="preserve">“</w:t>
      </w:r>
      <w:r>
        <w:t xml:space="preserve">apropriado</w:t>
      </w:r>
      <w:r>
        <w:t xml:space="preserve">”</w:t>
      </w:r>
      <w:r>
        <w:t xml:space="preserve">,</w:t>
      </w:r>
      <w:r>
        <w:t xml:space="preserve"> </w:t>
      </w:r>
      <w:r>
        <w:t xml:space="preserve">“</w:t>
      </w:r>
      <w:r>
        <w:t xml:space="preserve">independente</w:t>
      </w:r>
      <w:r>
        <w:t xml:space="preserve">”</w:t>
      </w:r>
      <w:r>
        <w:t xml:space="preserve"> </w:t>
      </w:r>
      <w:r>
        <w:t xml:space="preserve">e</w:t>
      </w:r>
      <w:r>
        <w:t xml:space="preserve"> </w:t>
      </w:r>
      <w:r>
        <w:t xml:space="preserve">“</w:t>
      </w:r>
      <w:r>
        <w:t xml:space="preserve">documentado</w:t>
      </w:r>
      <w:r>
        <w:t xml:space="preserve">”</w:t>
      </w:r>
      <w:r>
        <w:t xml:space="preserve"> </w:t>
      </w:r>
      <w:r>
        <w:t xml:space="preserve">podem alterar materialmente a obrigação. Registre estes qualificadores em campos dedicados ou nas notas de interpretação. Não os normalize apenas para fazer dois itens parecerem similares.</w:t>
      </w:r>
    </w:p>
    <w:bookmarkEnd w:id="36"/>
    <w:bookmarkStart w:id="37" w:name="X4b8506e21137b387da6b42f969fe0865e4deb86"/>
    <w:p>
      <w:pPr>
        <w:pStyle w:val="Heading2"/>
      </w:pPr>
      <w:r>
        <w:t xml:space="preserve">6. Lidar com fontes baseadas em resultados e prescritivas</w:t>
      </w:r>
    </w:p>
    <w:p>
      <w:pPr>
        <w:pStyle w:val="FirstParagraph"/>
      </w:pPr>
      <w:r>
        <w:t xml:space="preserve">Frameworks baseados em resultados descrevem resultados desejados e podem permitir múltiplas implementações. Fontes prescritivas podem especificar métodos, frequências, tecnologias ou registros. Um requisito prescritivo pode ser um caminho de implementação para um resultado, mas o resultado não necessariamente satisfaz o detalhe prescritivo.</w:t>
      </w:r>
    </w:p>
    <w:p>
      <w:pPr>
        <w:pStyle w:val="BodyText"/>
      </w:pPr>
      <w:r>
        <w:t xml:space="preserve">Registre o relacionamento como</w:t>
      </w:r>
      <w:r>
        <w:t xml:space="preserve"> </w:t>
      </w:r>
      <w:r>
        <w:t xml:space="preserve">“</w:t>
      </w:r>
      <w:r>
        <w:t xml:space="preserve">apoio</w:t>
      </w:r>
      <w:r>
        <w:t xml:space="preserve">”</w:t>
      </w:r>
      <w:r>
        <w:t xml:space="preserve">,</w:t>
      </w:r>
      <w:r>
        <w:t xml:space="preserve"> </w:t>
      </w:r>
      <w:r>
        <w:t xml:space="preserve">“</w:t>
      </w:r>
      <w:r>
        <w:t xml:space="preserve">sobreposição parcial</w:t>
      </w:r>
      <w:r>
        <w:t xml:space="preserve">”</w:t>
      </w:r>
      <w:r>
        <w:t xml:space="preserve">, ou outro tipo qualificado, a menos que todas as condições relevantes se alinhem.</w:t>
      </w:r>
    </w:p>
    <w:bookmarkEnd w:id="37"/>
    <w:bookmarkStart w:id="38" w:name="gerenciar-granularidade-de-origem"/>
    <w:p>
      <w:pPr>
        <w:pStyle w:val="Heading2"/>
      </w:pPr>
      <w:r>
        <w:t xml:space="preserve">7. Gerenciar granularidade de origem</w:t>
      </w:r>
    </w:p>
    <w:p>
      <w:pPr>
        <w:pStyle w:val="FirstParagraph"/>
      </w:pPr>
      <w:r>
        <w:t xml:space="preserve">Utilizar um rótulo de granularidade:</w:t>
      </w:r>
    </w:p>
    <w:p>
      <w:pPr>
        <w:numPr>
          <w:ilvl w:val="0"/>
          <w:numId w:val="1012"/>
        </w:numPr>
        <w:pStyle w:val="Compact"/>
      </w:pPr>
      <w:r>
        <w:t xml:space="preserve">função ou domínio do quadro;</w:t>
      </w:r>
    </w:p>
    <w:p>
      <w:pPr>
        <w:numPr>
          <w:ilvl w:val="0"/>
          <w:numId w:val="1012"/>
        </w:numPr>
        <w:pStyle w:val="Compact"/>
      </w:pPr>
      <w:r>
        <w:t xml:space="preserve">Categoria ou objectivo;</w:t>
      </w:r>
    </w:p>
    <w:p>
      <w:pPr>
        <w:numPr>
          <w:ilvl w:val="0"/>
          <w:numId w:val="1012"/>
        </w:numPr>
        <w:pStyle w:val="Compact"/>
      </w:pPr>
      <w:r>
        <w:t xml:space="preserve">Família de controlo;</w:t>
      </w:r>
    </w:p>
    <w:p>
      <w:pPr>
        <w:numPr>
          <w:ilvl w:val="0"/>
          <w:numId w:val="1012"/>
        </w:numPr>
        <w:pStyle w:val="Compact"/>
      </w:pPr>
      <w:r>
        <w:t xml:space="preserve">Controlo ou exigência;</w:t>
      </w:r>
    </w:p>
    <w:p>
      <w:pPr>
        <w:numPr>
          <w:ilvl w:val="0"/>
          <w:numId w:val="1012"/>
        </w:numPr>
        <w:pStyle w:val="Compact"/>
      </w:pPr>
      <w:r>
        <w:t xml:space="preserve">reforço ou sub-requisito do controlo;</w:t>
      </w:r>
    </w:p>
    <w:p>
      <w:pPr>
        <w:numPr>
          <w:ilvl w:val="0"/>
          <w:numId w:val="1012"/>
        </w:numPr>
        <w:pStyle w:val="Compact"/>
      </w:pPr>
      <w:r>
        <w:t xml:space="preserve">Declaração de execução;</w:t>
      </w:r>
    </w:p>
    <w:p>
      <w:pPr>
        <w:numPr>
          <w:ilvl w:val="0"/>
          <w:numId w:val="1012"/>
        </w:numPr>
        <w:pStyle w:val="Compact"/>
      </w:pPr>
      <w:r>
        <w:t xml:space="preserve">Procedimento de avaliação;</w:t>
      </w:r>
    </w:p>
    <w:p>
      <w:pPr>
        <w:numPr>
          <w:ilvl w:val="0"/>
          <w:numId w:val="1012"/>
        </w:numPr>
        <w:pStyle w:val="Compact"/>
      </w:pPr>
      <w:r>
        <w:t xml:space="preserve">Atributo de prova.</w:t>
      </w:r>
    </w:p>
    <w:p>
      <w:pPr>
        <w:pStyle w:val="FirstParagraph"/>
      </w:pPr>
      <w:r>
        <w:t xml:space="preserve">Os registos de mapeamento devem normalmente comparar os mesmos níveis de granularidade ou os níveis adjacentes. Os mapeamentos de alto nível podem ser mantidos para navegação, mas não devem ser utilizados como afirmações detalhadas de conformidade.</w:t>
      </w:r>
    </w:p>
    <w:bookmarkEnd w:id="38"/>
    <w:bookmarkStart w:id="39" w:name="Xbe57f587475d273693ed12ca5964790dad0a00a"/>
    <w:p>
      <w:pPr>
        <w:pStyle w:val="Heading2"/>
      </w:pPr>
      <w:r>
        <w:t xml:space="preserve">8. Identificar as diferenças de âmbito ocultas</w:t>
      </w:r>
    </w:p>
    <w:p>
      <w:pPr>
        <w:pStyle w:val="FirstParagraph"/>
      </w:pPr>
      <w:r>
        <w:t xml:space="preserve">Dois requisitos podem parecer semelhantes enquanto diferem em:</w:t>
      </w:r>
    </w:p>
    <w:p>
      <w:pPr>
        <w:numPr>
          <w:ilvl w:val="0"/>
          <w:numId w:val="1013"/>
        </w:numPr>
        <w:pStyle w:val="Compact"/>
      </w:pPr>
      <w:r>
        <w:t xml:space="preserve">Tipo de dados protegidos;</w:t>
      </w:r>
    </w:p>
    <w:p>
      <w:pPr>
        <w:numPr>
          <w:ilvl w:val="0"/>
          <w:numId w:val="1013"/>
        </w:numPr>
        <w:pStyle w:val="Compact"/>
      </w:pPr>
      <w:r>
        <w:t xml:space="preserve">Entidade coberta ou actor regulamentado;</w:t>
      </w:r>
    </w:p>
    <w:p>
      <w:pPr>
        <w:numPr>
          <w:ilvl w:val="0"/>
          <w:numId w:val="1013"/>
        </w:numPr>
        <w:pStyle w:val="Compact"/>
      </w:pPr>
      <w:r>
        <w:t xml:space="preserve">Sistemas internos versus externos;</w:t>
      </w:r>
    </w:p>
    <w:p>
      <w:pPr>
        <w:numPr>
          <w:ilvl w:val="0"/>
          <w:numId w:val="1013"/>
        </w:numPr>
        <w:pStyle w:val="Compact"/>
      </w:pPr>
      <w:r>
        <w:t xml:space="preserve">Produção versus ambientes de desenvolvimento;</w:t>
      </w:r>
    </w:p>
    <w:p>
      <w:pPr>
        <w:numPr>
          <w:ilvl w:val="0"/>
          <w:numId w:val="1013"/>
        </w:numPr>
        <w:pStyle w:val="Compact"/>
      </w:pPr>
      <w:r>
        <w:t xml:space="preserve">Todos os ativos versus ativos de alto risco;</w:t>
      </w:r>
    </w:p>
    <w:p>
      <w:pPr>
        <w:numPr>
          <w:ilvl w:val="0"/>
          <w:numId w:val="1013"/>
        </w:numPr>
        <w:pStyle w:val="Compact"/>
      </w:pPr>
      <w:r>
        <w:t xml:space="preserve">Requisitos de conceção versus requisitos de funcionamento;</w:t>
      </w:r>
    </w:p>
    <w:p>
      <w:pPr>
        <w:numPr>
          <w:ilvl w:val="0"/>
          <w:numId w:val="1013"/>
        </w:numPr>
        <w:pStyle w:val="Compact"/>
      </w:pPr>
      <w:r>
        <w:t xml:space="preserve">Existência política versus provas de execução;</w:t>
      </w:r>
    </w:p>
    <w:p>
      <w:pPr>
        <w:numPr>
          <w:ilvl w:val="0"/>
          <w:numId w:val="1013"/>
        </w:numPr>
        <w:pStyle w:val="Compact"/>
      </w:pPr>
      <w:r>
        <w:t xml:space="preserve">objetivo preventivo versus detetive;</w:t>
      </w:r>
    </w:p>
    <w:p>
      <w:pPr>
        <w:numPr>
          <w:ilvl w:val="0"/>
          <w:numId w:val="1013"/>
        </w:numPr>
        <w:pStyle w:val="Compact"/>
      </w:pPr>
      <w:r>
        <w:t xml:space="preserve">versus âmbito específico do sistema.</w:t>
      </w:r>
    </w:p>
    <w:p>
      <w:pPr>
        <w:pStyle w:val="FirstParagraph"/>
      </w:pPr>
      <w:r>
        <w:t xml:space="preserve">Documentar essas diferenças antes de atribuir força de relacionamento.</w:t>
      </w:r>
    </w:p>
    <w:bookmarkEnd w:id="39"/>
    <w:bookmarkStart w:id="40" w:name="controlos-de-qualidade-da-decomposição"/>
    <w:p>
      <w:pPr>
        <w:pStyle w:val="Heading2"/>
      </w:pPr>
      <w:r>
        <w:t xml:space="preserve">9. Controlos de qualidade da decomposição</w:t>
      </w:r>
    </w:p>
    <w:p>
      <w:pPr>
        <w:pStyle w:val="FirstParagraph"/>
      </w:pPr>
      <w:r>
        <w:t xml:space="preserve">Um requisito decomposto está pronto para mapear quando:</w:t>
      </w:r>
    </w:p>
    <w:p>
      <w:pPr>
        <w:numPr>
          <w:ilvl w:val="0"/>
          <w:numId w:val="1014"/>
        </w:numPr>
        <w:pStyle w:val="Compact"/>
      </w:pPr>
      <w:r>
        <w:t xml:space="preserve">A fonte oficial e a versão são rastreáveis;</w:t>
      </w:r>
    </w:p>
    <w:p>
      <w:pPr>
        <w:numPr>
          <w:ilvl w:val="0"/>
          <w:numId w:val="1014"/>
        </w:numPr>
        <w:pStyle w:val="Compact"/>
      </w:pPr>
      <w:r>
        <w:t xml:space="preserve">A unidade é compreensível sem alterar o seu significado;</w:t>
      </w:r>
    </w:p>
    <w:p>
      <w:pPr>
        <w:numPr>
          <w:ilvl w:val="0"/>
          <w:numId w:val="1014"/>
        </w:numPr>
        <w:pStyle w:val="Compact"/>
      </w:pPr>
      <w:r>
        <w:t xml:space="preserve">São mantidas as qualificações obrigatórias;</w:t>
      </w:r>
    </w:p>
    <w:p>
      <w:pPr>
        <w:numPr>
          <w:ilvl w:val="0"/>
          <w:numId w:val="1014"/>
        </w:numPr>
        <w:pStyle w:val="Compact"/>
      </w:pPr>
      <w:r>
        <w:t xml:space="preserve">As condições de aplicabilidade são explícitas;</w:t>
      </w:r>
    </w:p>
    <w:p>
      <w:pPr>
        <w:numPr>
          <w:ilvl w:val="0"/>
          <w:numId w:val="1014"/>
        </w:numPr>
        <w:pStyle w:val="Compact"/>
      </w:pPr>
      <w:r>
        <w:t xml:space="preserve">O nível de granularidade é identificado;</w:t>
      </w:r>
    </w:p>
    <w:p>
      <w:pPr>
        <w:numPr>
          <w:ilvl w:val="0"/>
          <w:numId w:val="1014"/>
        </w:numPr>
        <w:pStyle w:val="Compact"/>
      </w:pPr>
      <w:r>
        <w:t xml:space="preserve">O objectivo normalizado está separado da língua de origem;</w:t>
      </w:r>
    </w:p>
    <w:p>
      <w:pPr>
        <w:numPr>
          <w:ilvl w:val="0"/>
          <w:numId w:val="1014"/>
        </w:numPr>
        <w:pStyle w:val="Compact"/>
      </w:pPr>
      <w:r>
        <w:t xml:space="preserve">As restrições de licenciamento são respeitadas;</w:t>
      </w:r>
    </w:p>
    <w:p>
      <w:pPr>
        <w:numPr>
          <w:ilvl w:val="0"/>
          <w:numId w:val="1014"/>
        </w:numPr>
        <w:pStyle w:val="Compact"/>
      </w:pPr>
      <w:r>
        <w:t xml:space="preserve">um analista pode explicar quais evidências seriam e não demonstraria o objetivo.</w:t>
      </w:r>
    </w:p>
    <w:bookmarkEnd w:id="40"/>
    <w:bookmarkEnd w:id="41"/>
    <w:bookmarkStart w:id="52" w:name="X31b5b6bbf188451e13e898a20558dc93411ba7d"/>
    <w:p>
      <w:pPr>
        <w:pStyle w:val="Heading1"/>
      </w:pPr>
      <w:r>
        <w:t xml:space="preserve">Análise de relacionamento e decisões de cobertura</w:t>
      </w:r>
    </w:p>
    <w:bookmarkStart w:id="42" w:name="comparar-dimensões-não-palavras--chave"/>
    <w:p>
      <w:pPr>
        <w:pStyle w:val="Heading2"/>
      </w:pPr>
      <w:r>
        <w:t xml:space="preserve">1. Comparar dimensões, não palavras- chave</w:t>
      </w:r>
    </w:p>
    <w:p>
      <w:pPr>
        <w:pStyle w:val="FirstParagraph"/>
      </w:pPr>
      <w:r>
        <w:t xml:space="preserve">Uma decisão de relacionamento defensável compara o significado em múltiplas dimensões. A semelhança de palavras-chave é apenas uma ajuda à descoberta. Para cada mapeamento proposto, comparar:</w:t>
      </w:r>
    </w:p>
    <w:p>
      <w:pPr>
        <w:numPr>
          <w:ilvl w:val="0"/>
          <w:numId w:val="1015"/>
        </w:numPr>
        <w:pStyle w:val="Compact"/>
      </w:pPr>
      <w:r>
        <w:t xml:space="preserve">Objectivo e resultado pretendido;</w:t>
      </w:r>
    </w:p>
    <w:p>
      <w:pPr>
        <w:numPr>
          <w:ilvl w:val="0"/>
          <w:numId w:val="1015"/>
        </w:numPr>
        <w:pStyle w:val="Compact"/>
      </w:pPr>
      <w:r>
        <w:t xml:space="preserve">Actor e responsável;</w:t>
      </w:r>
    </w:p>
    <w:p>
      <w:pPr>
        <w:numPr>
          <w:ilvl w:val="0"/>
          <w:numId w:val="1015"/>
        </w:numPr>
        <w:pStyle w:val="Compact"/>
      </w:pPr>
      <w:r>
        <w:t xml:space="preserve">Objeto ou processo protegidos;</w:t>
      </w:r>
    </w:p>
    <w:p>
      <w:pPr>
        <w:numPr>
          <w:ilvl w:val="0"/>
          <w:numId w:val="1015"/>
        </w:numPr>
        <w:pStyle w:val="Compact"/>
      </w:pPr>
      <w:r>
        <w:t xml:space="preserve">Âmbito e aplicabilidade;</w:t>
      </w:r>
    </w:p>
    <w:p>
      <w:pPr>
        <w:numPr>
          <w:ilvl w:val="0"/>
          <w:numId w:val="1015"/>
        </w:numPr>
        <w:pStyle w:val="Compact"/>
      </w:pPr>
      <w:r>
        <w:t xml:space="preserve">Medidas necessárias;</w:t>
      </w:r>
    </w:p>
    <w:p>
      <w:pPr>
        <w:numPr>
          <w:ilvl w:val="0"/>
          <w:numId w:val="1015"/>
        </w:numPr>
        <w:pStyle w:val="Compact"/>
      </w:pPr>
      <w:r>
        <w:t xml:space="preserve">Tempo e frequência;</w:t>
      </w:r>
    </w:p>
    <w:p>
      <w:pPr>
        <w:numPr>
          <w:ilvl w:val="0"/>
          <w:numId w:val="1015"/>
        </w:numPr>
        <w:pStyle w:val="Compact"/>
      </w:pPr>
      <w:r>
        <w:t xml:space="preserve">especificidade da execução;</w:t>
      </w:r>
    </w:p>
    <w:p>
      <w:pPr>
        <w:numPr>
          <w:ilvl w:val="0"/>
          <w:numId w:val="1015"/>
        </w:numPr>
        <w:pStyle w:val="Compact"/>
      </w:pPr>
      <w:r>
        <w:t xml:space="preserve">Expectativa de provas;</w:t>
      </w:r>
    </w:p>
    <w:p>
      <w:pPr>
        <w:numPr>
          <w:ilvl w:val="0"/>
          <w:numId w:val="1015"/>
        </w:numPr>
        <w:pStyle w:val="Compact"/>
      </w:pPr>
      <w:r>
        <w:t xml:space="preserve">Exceção ou condições alternativas;</w:t>
      </w:r>
    </w:p>
    <w:p>
      <w:pPr>
        <w:numPr>
          <w:ilvl w:val="0"/>
          <w:numId w:val="1015"/>
        </w:numPr>
        <w:pStyle w:val="Compact"/>
      </w:pPr>
      <w:r>
        <w:t xml:space="preserve">Requisitos de garantia ou independência.</w:t>
      </w:r>
    </w:p>
    <w:bookmarkEnd w:id="42"/>
    <w:bookmarkStart w:id="43" w:name="determinar-direcionalidade"/>
    <w:p>
      <w:pPr>
        <w:pStyle w:val="Heading2"/>
      </w:pPr>
      <w:r>
        <w:t xml:space="preserve">2. Determinar direcionalidade</w:t>
      </w:r>
    </w:p>
    <w:p>
      <w:pPr>
        <w:pStyle w:val="FirstParagraph"/>
      </w:pPr>
      <w:r>
        <w:t xml:space="preserve">Os mapeamentos não são automaticamente simétricos. Um objetivo detalhado pode satisfazer parte de um objetivo de fonte ampla, enquanto a fonte ampla não satisfaz as condições detalhadas do objetivo. Gravar explicitamente a direcção:</w:t>
      </w:r>
    </w:p>
    <w:p>
      <w:pPr>
        <w:numPr>
          <w:ilvl w:val="0"/>
          <w:numId w:val="1016"/>
        </w:numPr>
        <w:pStyle w:val="Compact"/>
      </w:pPr>
      <w:r>
        <w:t xml:space="preserve">código-alvo;</w:t>
      </w:r>
    </w:p>
    <w:p>
      <w:pPr>
        <w:numPr>
          <w:ilvl w:val="0"/>
          <w:numId w:val="1016"/>
        </w:numPr>
        <w:pStyle w:val="Compact"/>
      </w:pPr>
      <w:r>
        <w:t xml:space="preserve">Alvo-fonte;</w:t>
      </w:r>
    </w:p>
    <w:p>
      <w:pPr>
        <w:numPr>
          <w:ilvl w:val="0"/>
          <w:numId w:val="1016"/>
        </w:numPr>
        <w:pStyle w:val="Compact"/>
      </w:pPr>
      <w:r>
        <w:t xml:space="preserve">bidirecional apenas após validação separada em ambas as direções.</w:t>
      </w:r>
    </w:p>
    <w:bookmarkEnd w:id="43"/>
    <w:bookmarkStart w:id="44" w:name="avaliação-da-cobertura"/>
    <w:p>
      <w:pPr>
        <w:pStyle w:val="Heading2"/>
      </w:pPr>
      <w:r>
        <w:t xml:space="preserve">3. Avaliação da cobertura</w:t>
      </w:r>
    </w:p>
    <w:p>
      <w:pPr>
        <w:pStyle w:val="FirstParagraph"/>
      </w:pPr>
      <w:r>
        <w:t xml:space="preserve">Utilizar uma decisão de cobertura apoiada pela lógica:</w:t>
      </w:r>
    </w:p>
    <w:p>
      <w:pPr>
        <w:numPr>
          <w:ilvl w:val="0"/>
          <w:numId w:val="1017"/>
        </w:numPr>
        <w:pStyle w:val="Compact"/>
      </w:pPr>
      <w:r>
        <w:rPr>
          <w:bCs/>
          <w:b/>
        </w:rPr>
        <w:t xml:space="preserve">completar para o âmbito indicado</w:t>
      </w:r>
      <w:r>
        <w:t xml:space="preserve"> </w:t>
      </w:r>
      <w:r>
        <w:t xml:space="preserve">— todos os elementos materiais são abordados no âmbito registado;</w:t>
      </w:r>
    </w:p>
    <w:p>
      <w:pPr>
        <w:numPr>
          <w:ilvl w:val="0"/>
          <w:numId w:val="1017"/>
        </w:numPr>
        <w:pStyle w:val="Compact"/>
      </w:pPr>
      <w:r>
        <w:t xml:space="preserve">** substancial** — a maioria dos elementos materiais são abordados, com condições residuais limitadas;</w:t>
      </w:r>
    </w:p>
    <w:p>
      <w:pPr>
        <w:numPr>
          <w:ilvl w:val="0"/>
          <w:numId w:val="1017"/>
        </w:numPr>
        <w:pStyle w:val="Compact"/>
      </w:pPr>
      <w:r>
        <w:t xml:space="preserve">** parcial** — são abordados elementos significativos, mas subsistem lacunas materiais;</w:t>
      </w:r>
    </w:p>
    <w:p>
      <w:pPr>
        <w:numPr>
          <w:ilvl w:val="0"/>
          <w:numId w:val="1017"/>
        </w:numPr>
        <w:pStyle w:val="Compact"/>
      </w:pPr>
      <w:r>
        <w:t xml:space="preserve">** mínimo** — apenas um pequeno componente ou actividade activa é abordado;</w:t>
      </w:r>
    </w:p>
    <w:p>
      <w:pPr>
        <w:numPr>
          <w:ilvl w:val="0"/>
          <w:numId w:val="1017"/>
        </w:numPr>
        <w:pStyle w:val="Compact"/>
      </w:pPr>
      <w:r>
        <w:rPr>
          <w:bCs/>
          <w:b/>
        </w:rPr>
        <w:t xml:space="preserve">None</w:t>
      </w:r>
      <w:r>
        <w:t xml:space="preserve"> </w:t>
      </w:r>
      <w:r>
        <w:t xml:space="preserve">— não existe cobertura defensável.</w:t>
      </w:r>
    </w:p>
    <w:p>
      <w:pPr>
        <w:pStyle w:val="FirstParagraph"/>
      </w:pPr>
      <w:r>
        <w:t xml:space="preserve">A cobertura deve ser avaliada independentemente da maturidade da execução. Uma relação teoricamente completa pode ainda não ter nenhum controle implementado ou evidência utilizável.</w:t>
      </w:r>
    </w:p>
    <w:bookmarkEnd w:id="44"/>
    <w:bookmarkStart w:id="45" w:name="lidar-com-relacionamentos-individuais"/>
    <w:p>
      <w:pPr>
        <w:pStyle w:val="Heading2"/>
      </w:pPr>
      <w:r>
        <w:t xml:space="preserve">4. Lidar com relacionamentos individuais</w:t>
      </w:r>
    </w:p>
    <w:p>
      <w:pPr>
        <w:pStyle w:val="FirstParagraph"/>
      </w:pPr>
      <w:r>
        <w:t xml:space="preserve">Um requisito de origem pode exigir vários controlos de destino. Criar:</w:t>
      </w:r>
    </w:p>
    <w:p>
      <w:pPr>
        <w:numPr>
          <w:ilvl w:val="0"/>
          <w:numId w:val="1018"/>
        </w:numPr>
        <w:pStyle w:val="Compact"/>
      </w:pPr>
      <w:r>
        <w:t xml:space="preserve">Mapeamento separado de linhas ligadas por um identificador comum de grupo de relacionamento; ou</w:t>
      </w:r>
    </w:p>
    <w:p>
      <w:pPr>
        <w:numPr>
          <w:ilvl w:val="0"/>
          <w:numId w:val="1018"/>
        </w:numPr>
        <w:pStyle w:val="Compact"/>
      </w:pPr>
      <w:r>
        <w:t xml:space="preserve">um registro de relacionamento dos pais com mapeamentos de filhos.</w:t>
      </w:r>
    </w:p>
    <w:p>
      <w:pPr>
        <w:pStyle w:val="FirstParagraph"/>
      </w:pPr>
      <w:r>
        <w:t xml:space="preserve">Não marque nenhuma criança como completa se a cobertura completa depender do grupo. Registar a regra de agregação e o intervalo residual.</w:t>
      </w:r>
    </w:p>
    <w:bookmarkEnd w:id="45"/>
    <w:bookmarkStart w:id="46" w:name="lidar-com-relacionamentos-diversos"/>
    <w:p>
      <w:pPr>
        <w:pStyle w:val="Heading2"/>
      </w:pPr>
      <w:r>
        <w:t xml:space="preserve">5. Lidar com relacionamentos diversos</w:t>
      </w:r>
    </w:p>
    <w:p>
      <w:pPr>
        <w:pStyle w:val="FirstParagraph"/>
      </w:pPr>
      <w:r>
        <w:t xml:space="preserve">Um controle de alvo pode suportar vários requisitos de origem. A reutilização pode ser eficiente, mas valida cada relacionamento de forma independente, pois o escopo, o período de evidência, o ator e as condições de qualidade podem diferir.</w:t>
      </w:r>
    </w:p>
    <w:bookmarkEnd w:id="46"/>
    <w:bookmarkStart w:id="47" w:name="X64feebbeef2a1d6983b5874d2fa10fb07acd4bf"/>
    <w:p>
      <w:pPr>
        <w:pStyle w:val="Heading2"/>
      </w:pPr>
      <w:r>
        <w:t xml:space="preserve">6. Identificar abordagens compensatórias e alternativas</w:t>
      </w:r>
    </w:p>
    <w:p>
      <w:pPr>
        <w:pStyle w:val="FirstParagraph"/>
      </w:pPr>
      <w:r>
        <w:t xml:space="preserve">Uma medida compensatória não é um equivalente automático. Gravar:</w:t>
      </w:r>
    </w:p>
    <w:p>
      <w:pPr>
        <w:numPr>
          <w:ilvl w:val="0"/>
          <w:numId w:val="1019"/>
        </w:numPr>
        <w:pStyle w:val="Compact"/>
      </w:pPr>
      <w:r>
        <w:t xml:space="preserve">O objetivo inicial;</w:t>
      </w:r>
    </w:p>
    <w:p>
      <w:pPr>
        <w:numPr>
          <w:ilvl w:val="0"/>
          <w:numId w:val="1019"/>
        </w:numPr>
        <w:pStyle w:val="Compact"/>
      </w:pPr>
      <w:r>
        <w:t xml:space="preserve">Por que o método primário é inviável ou inadequado;</w:t>
      </w:r>
    </w:p>
    <w:p>
      <w:pPr>
        <w:numPr>
          <w:ilvl w:val="0"/>
          <w:numId w:val="1019"/>
        </w:numPr>
        <w:pStyle w:val="Compact"/>
      </w:pPr>
      <w:r>
        <w:t xml:space="preserve">A execução alternativa;</w:t>
      </w:r>
    </w:p>
    <w:p>
      <w:pPr>
        <w:numPr>
          <w:ilvl w:val="0"/>
          <w:numId w:val="1019"/>
        </w:numPr>
        <w:pStyle w:val="Compact"/>
      </w:pPr>
      <w:r>
        <w:t xml:space="preserve">rigor e protecção comparáveis;</w:t>
      </w:r>
    </w:p>
    <w:p>
      <w:pPr>
        <w:numPr>
          <w:ilvl w:val="0"/>
          <w:numId w:val="1019"/>
        </w:numPr>
        <w:pStyle w:val="Compact"/>
      </w:pPr>
      <w:r>
        <w:t xml:space="preserve">Autoridade de homologação;</w:t>
      </w:r>
    </w:p>
    <w:p>
      <w:pPr>
        <w:numPr>
          <w:ilvl w:val="0"/>
          <w:numId w:val="1019"/>
        </w:numPr>
        <w:pStyle w:val="Compact"/>
      </w:pPr>
      <w:r>
        <w:t xml:space="preserve">Monitorização e expiração;</w:t>
      </w:r>
    </w:p>
    <w:p>
      <w:pPr>
        <w:numPr>
          <w:ilvl w:val="0"/>
          <w:numId w:val="1019"/>
        </w:numPr>
        <w:pStyle w:val="Compact"/>
      </w:pPr>
      <w:r>
        <w:t xml:space="preserve">Condições de aceitação específicas da fonte.</w:t>
      </w:r>
    </w:p>
    <w:p>
      <w:pPr>
        <w:pStyle w:val="FirstParagraph"/>
      </w:pPr>
      <w:r>
        <w:t xml:space="preserve">Quando uma fonte define um processo formal de compensação-controle, siga esse processo em vez de confiar em um rótulo de mapeamento genérico.</w:t>
      </w:r>
    </w:p>
    <w:bookmarkEnd w:id="47"/>
    <w:bookmarkStart w:id="48" w:name="gravar-conflitos-e-restrições"/>
    <w:p>
      <w:pPr>
        <w:pStyle w:val="Heading2"/>
      </w:pPr>
      <w:r>
        <w:t xml:space="preserve">7. Gravar conflitos e restrições</w:t>
      </w:r>
    </w:p>
    <w:p>
      <w:pPr>
        <w:pStyle w:val="FirstParagraph"/>
      </w:pPr>
      <w:r>
        <w:t xml:space="preserve">Os mapeamentos devem expor, não esconder, conflitos. Os exemplos incluem:</w:t>
      </w:r>
    </w:p>
    <w:p>
      <w:pPr>
        <w:numPr>
          <w:ilvl w:val="0"/>
          <w:numId w:val="1020"/>
        </w:numPr>
        <w:pStyle w:val="Compact"/>
      </w:pPr>
      <w:r>
        <w:t xml:space="preserve">diferentes períodos de retenção;</w:t>
      </w:r>
    </w:p>
    <w:p>
      <w:pPr>
        <w:numPr>
          <w:ilvl w:val="0"/>
          <w:numId w:val="1020"/>
        </w:numPr>
        <w:pStyle w:val="Compact"/>
      </w:pPr>
      <w:r>
        <w:t xml:space="preserve">Tempos de notificação inconsistentes;</w:t>
      </w:r>
    </w:p>
    <w:p>
      <w:pPr>
        <w:numPr>
          <w:ilvl w:val="0"/>
          <w:numId w:val="1020"/>
        </w:numPr>
        <w:pStyle w:val="Compact"/>
      </w:pPr>
      <w:r>
        <w:t xml:space="preserve">Restrições regionais de localização de dados;</w:t>
      </w:r>
    </w:p>
    <w:p>
      <w:pPr>
        <w:numPr>
          <w:ilvl w:val="0"/>
          <w:numId w:val="1020"/>
        </w:numPr>
        <w:pStyle w:val="Compact"/>
      </w:pPr>
      <w:r>
        <w:t xml:space="preserve">Frequências de ensaio diferentes;</w:t>
      </w:r>
    </w:p>
    <w:p>
      <w:pPr>
        <w:numPr>
          <w:ilvl w:val="0"/>
          <w:numId w:val="1020"/>
        </w:numPr>
        <w:pStyle w:val="Compact"/>
      </w:pPr>
      <w:r>
        <w:t xml:space="preserve">expectativas incompatíveis de acesso ou segregação;</w:t>
      </w:r>
    </w:p>
    <w:p>
      <w:pPr>
        <w:numPr>
          <w:ilvl w:val="0"/>
          <w:numId w:val="1020"/>
        </w:numPr>
        <w:pStyle w:val="Compact"/>
      </w:pPr>
      <w:r>
        <w:t xml:space="preserve">Formatos de prova específicos da fonte;</w:t>
      </w:r>
    </w:p>
    <w:p>
      <w:pPr>
        <w:numPr>
          <w:ilvl w:val="0"/>
          <w:numId w:val="1020"/>
        </w:numPr>
        <w:pStyle w:val="Compact"/>
      </w:pPr>
      <w:r>
        <w:t xml:space="preserve">Restrições legais à monitorização ou aos dados relativos à mão-de-obra.</w:t>
      </w:r>
    </w:p>
    <w:p>
      <w:pPr>
        <w:pStyle w:val="FirstParagraph"/>
      </w:pPr>
      <w:r>
        <w:t xml:space="preserve">Roteie conflitos para titulares qualificados de direito, privacidade, conformidade, segurança ou negócios. Um analista de mapeamento não deve resolver um conflito jurídico escolhendo o requisito menos restritivo.</w:t>
      </w:r>
    </w:p>
    <w:bookmarkEnd w:id="48"/>
    <w:bookmarkStart w:id="49" w:name="atribuir-confiança"/>
    <w:p>
      <w:pPr>
        <w:pStyle w:val="Heading2"/>
      </w:pPr>
      <w:r>
        <w:t xml:space="preserve">8. Atribuir confiança</w:t>
      </w:r>
    </w:p>
    <w:p>
      <w:pPr>
        <w:pStyle w:val="FirstParagraph"/>
      </w:pPr>
      <w:r>
        <w:t xml:space="preserve">A confiança deve refletir qualidade de evidência, expertise em revisão, ambiguidade e moeda fonte. Registre razões para média ou baixa confiança e proíba os padrões de alta confiança não suportados.</w:t>
      </w:r>
    </w:p>
    <w:bookmarkEnd w:id="49"/>
    <w:bookmarkStart w:id="50" w:name="Xbec22c91bb8488fccc0e791999e87c97d22f548"/>
    <w:p>
      <w:pPr>
        <w:pStyle w:val="Heading2"/>
      </w:pPr>
      <w:r>
        <w:t xml:space="preserve">9. Requer raciocínio que possa ser contestado</w:t>
      </w:r>
    </w:p>
    <w:p>
      <w:pPr>
        <w:pStyle w:val="FirstParagraph"/>
      </w:pPr>
      <w:r>
        <w:t xml:space="preserve">Uma lógica útil explica:</w:t>
      </w:r>
    </w:p>
    <w:p>
      <w:pPr>
        <w:numPr>
          <w:ilvl w:val="0"/>
          <w:numId w:val="1021"/>
        </w:numPr>
        <w:pStyle w:val="Compact"/>
      </w:pPr>
      <w:r>
        <w:t xml:space="preserve">O objectivo comum;</w:t>
      </w:r>
    </w:p>
    <w:p>
      <w:pPr>
        <w:numPr>
          <w:ilvl w:val="0"/>
          <w:numId w:val="1021"/>
        </w:numPr>
        <w:pStyle w:val="Compact"/>
      </w:pPr>
      <w:r>
        <w:t xml:space="preserve">Os elementos correspondentes;</w:t>
      </w:r>
    </w:p>
    <w:p>
      <w:pPr>
        <w:numPr>
          <w:ilvl w:val="0"/>
          <w:numId w:val="1021"/>
        </w:numPr>
        <w:pStyle w:val="Compact"/>
      </w:pPr>
      <w:r>
        <w:t xml:space="preserve">Os elementos não correspondentes;</w:t>
      </w:r>
    </w:p>
    <w:p>
      <w:pPr>
        <w:numPr>
          <w:ilvl w:val="0"/>
          <w:numId w:val="1021"/>
        </w:numPr>
        <w:pStyle w:val="Compact"/>
      </w:pPr>
      <w:r>
        <w:t xml:space="preserve">Os pressupostos de âmbito;</w:t>
      </w:r>
    </w:p>
    <w:p>
      <w:pPr>
        <w:numPr>
          <w:ilvl w:val="0"/>
          <w:numId w:val="1021"/>
        </w:numPr>
        <w:pStyle w:val="Compact"/>
      </w:pPr>
      <w:r>
        <w:t xml:space="preserve">Dependências de execução;</w:t>
      </w:r>
    </w:p>
    <w:p>
      <w:pPr>
        <w:numPr>
          <w:ilvl w:val="0"/>
          <w:numId w:val="1021"/>
        </w:numPr>
        <w:pStyle w:val="Compact"/>
      </w:pPr>
      <w:r>
        <w:t xml:space="preserve">lacunas residuais;</w:t>
      </w:r>
    </w:p>
    <w:p>
      <w:pPr>
        <w:numPr>
          <w:ilvl w:val="0"/>
          <w:numId w:val="1021"/>
        </w:numPr>
        <w:pStyle w:val="Compact"/>
      </w:pPr>
      <w:r>
        <w:t xml:space="preserve">por que as relações e níveis de cobertura selecionados são adequados.</w:t>
      </w:r>
    </w:p>
    <w:p>
      <w:pPr>
        <w:pStyle w:val="FirstParagraph"/>
      </w:pPr>
      <w:r>
        <w:t xml:space="preserve">Evite declarações como</w:t>
      </w:r>
      <w:r>
        <w:t xml:space="preserve"> </w:t>
      </w:r>
      <w:r>
        <w:t xml:space="preserve">“</w:t>
      </w:r>
      <w:r>
        <w:t xml:space="preserve">mesma temática</w:t>
      </w:r>
      <w:r>
        <w:t xml:space="preserve">”</w:t>
      </w:r>
      <w:r>
        <w:t xml:space="preserve">,</w:t>
      </w:r>
      <w:r>
        <w:t xml:space="preserve"> </w:t>
      </w:r>
      <w:r>
        <w:t xml:space="preserve">“</w:t>
      </w:r>
      <w:r>
        <w:t xml:space="preserve">padrão industrial</w:t>
      </w:r>
      <w:r>
        <w:t xml:space="preserve">”</w:t>
      </w:r>
      <w:r>
        <w:t xml:space="preserve">, ou</w:t>
      </w:r>
      <w:r>
        <w:t xml:space="preserve"> </w:t>
      </w:r>
      <w:r>
        <w:t xml:space="preserve">“</w:t>
      </w:r>
      <w:r>
        <w:t xml:space="preserve">normalmente mapeada</w:t>
      </w:r>
      <w:r>
        <w:t xml:space="preserve">”</w:t>
      </w:r>
      <w:r>
        <w:t xml:space="preserve"> </w:t>
      </w:r>
      <w:r>
        <w:t xml:space="preserve">sem análise.</w:t>
      </w:r>
    </w:p>
    <w:bookmarkEnd w:id="50"/>
    <w:bookmarkStart w:id="51" w:name="revisão-independente"/>
    <w:p>
      <w:pPr>
        <w:pStyle w:val="Heading2"/>
      </w:pPr>
      <w:r>
        <w:t xml:space="preserve">10. Revisão independente</w:t>
      </w:r>
    </w:p>
    <w:p>
      <w:pPr>
        <w:pStyle w:val="FirstParagraph"/>
      </w:pPr>
      <w:r>
        <w:t xml:space="preserve">O revisor deve ser capaz de rejeitar, qualificar ou dividir um mapeamento proposto. A revisão deve abordar a fidelidade da fonte, granularidade, escopo, tipo de relacionamento, cobertura, confiança, licenciamento e uso pretendido. A decisão e as observações devem ser mantidas.</w:t>
      </w:r>
    </w:p>
    <w:bookmarkEnd w:id="51"/>
    <w:bookmarkEnd w:id="52"/>
    <w:bookmarkStart w:id="63" w:name="Xb7d839605ea1fa2139c29a2b6ef4303df7bf19f"/>
    <w:p>
      <w:pPr>
        <w:pStyle w:val="Heading1"/>
      </w:pPr>
      <w:r>
        <w:t xml:space="preserve">Implementação, Provas e Ligação de Controlo Comum</w:t>
      </w:r>
    </w:p>
    <w:bookmarkStart w:id="53" w:name="Xa0173fe9db8e6f17c278043f9124d242150327e"/>
    <w:p>
      <w:pPr>
        <w:pStyle w:val="Heading2"/>
      </w:pPr>
      <w:r>
        <w:t xml:space="preserve">1. Manter três camadas de relacionamento separadas</w:t>
      </w:r>
    </w:p>
    <w:p>
      <w:pPr>
        <w:pStyle w:val="FirstParagraph"/>
      </w:pPr>
      <w:r>
        <w:t xml:space="preserve">Um modelo de mapeamento maduro distingue:</w:t>
      </w:r>
    </w:p>
    <w:p>
      <w:pPr>
        <w:numPr>
          <w:ilvl w:val="0"/>
          <w:numId w:val="1022"/>
        </w:numPr>
        <w:pStyle w:val="Compact"/>
      </w:pPr>
      <w:r>
        <w:rPr>
          <w:bCs/>
          <w:b/>
        </w:rPr>
        <w:t xml:space="preserve">Mapeamento de fonte-fonte</w:t>
      </w:r>
      <w:r>
        <w:t xml:space="preserve"> </w:t>
      </w:r>
      <w:r>
        <w:t xml:space="preserve">— relação analítica entre requisitos externos ou elementos-quadro;</w:t>
      </w:r>
    </w:p>
    <w:p>
      <w:pPr>
        <w:numPr>
          <w:ilvl w:val="0"/>
          <w:numId w:val="1022"/>
        </w:numPr>
        <w:pStyle w:val="Compact"/>
      </w:pPr>
      <w:r>
        <w:rPr>
          <w:bCs/>
          <w:b/>
        </w:rPr>
        <w:t xml:space="preserve">Mapeamento de código-para-controle</w:t>
      </w:r>
      <w:r>
        <w:t xml:space="preserve"> </w:t>
      </w:r>
      <w:r>
        <w:t xml:space="preserve">— como um controle de organização se destina a abordar um objetivo de origem;</w:t>
      </w:r>
    </w:p>
    <w:p>
      <w:pPr>
        <w:numPr>
          <w:ilvl w:val="0"/>
          <w:numId w:val="1022"/>
        </w:numPr>
        <w:pStyle w:val="Compact"/>
      </w:pPr>
      <w:r>
        <w:rPr>
          <w:bCs/>
          <w:b/>
        </w:rPr>
        <w:t xml:space="preserve">Mapeamento controle-e-evidência</w:t>
      </w:r>
      <w:r>
        <w:t xml:space="preserve"> </w:t>
      </w:r>
      <w:r>
        <w:t xml:space="preserve">— que registros demonstram design, implementação e operação.</w:t>
      </w:r>
    </w:p>
    <w:p>
      <w:pPr>
        <w:pStyle w:val="FirstParagraph"/>
      </w:pPr>
      <w:r>
        <w:t xml:space="preserve">Combinar essas camadas em um campo cria ambiguidade e pode transformar uma passadeira teórica em uma reivindicação de conformidade não apoiada.</w:t>
      </w:r>
    </w:p>
    <w:bookmarkEnd w:id="53"/>
    <w:bookmarkStart w:id="54" w:name="defina-o-controle-da-organização"/>
    <w:p>
      <w:pPr>
        <w:pStyle w:val="Heading2"/>
      </w:pPr>
      <w:r>
        <w:t xml:space="preserve">2. Defina o controle da organização</w:t>
      </w:r>
    </w:p>
    <w:p>
      <w:pPr>
        <w:pStyle w:val="FirstParagraph"/>
      </w:pPr>
      <w:r>
        <w:t xml:space="preserve">Um registo de controlo da organização deve identificar:</w:t>
      </w:r>
    </w:p>
    <w:p>
      <w:pPr>
        <w:numPr>
          <w:ilvl w:val="0"/>
          <w:numId w:val="1023"/>
        </w:numPr>
        <w:pStyle w:val="Compact"/>
      </w:pPr>
      <w:r>
        <w:t xml:space="preserve">Identificador e título do controlo;</w:t>
      </w:r>
    </w:p>
    <w:p>
      <w:pPr>
        <w:numPr>
          <w:ilvl w:val="0"/>
          <w:numId w:val="1023"/>
        </w:numPr>
        <w:pStyle w:val="Compact"/>
      </w:pPr>
      <w:r>
        <w:t xml:space="preserve">Declaração objectiva e de controlo;</w:t>
      </w:r>
    </w:p>
    <w:p>
      <w:pPr>
        <w:numPr>
          <w:ilvl w:val="0"/>
          <w:numId w:val="1023"/>
        </w:numPr>
        <w:pStyle w:val="Compact"/>
      </w:pPr>
      <w:r>
        <w:t xml:space="preserve">O proprietário e o operador;</w:t>
      </w:r>
    </w:p>
    <w:p>
      <w:pPr>
        <w:numPr>
          <w:ilvl w:val="0"/>
          <w:numId w:val="1023"/>
        </w:numPr>
        <w:pStyle w:val="Compact"/>
      </w:pPr>
      <w:r>
        <w:t xml:space="preserve">Âmbito de aplicação e limites herdados;</w:t>
      </w:r>
    </w:p>
    <w:p>
      <w:pPr>
        <w:numPr>
          <w:ilvl w:val="0"/>
          <w:numId w:val="1023"/>
        </w:numPr>
        <w:pStyle w:val="Compact"/>
      </w:pPr>
      <w:r>
        <w:t xml:space="preserve">tipo preventivo, detetive, corretivo, diretiva ou recuperação;</w:t>
      </w:r>
    </w:p>
    <w:p>
      <w:pPr>
        <w:numPr>
          <w:ilvl w:val="0"/>
          <w:numId w:val="1023"/>
        </w:numPr>
        <w:pStyle w:val="Compact"/>
      </w:pPr>
      <w:r>
        <w:t xml:space="preserve">Operação manual, automatizada ou híbrida;</w:t>
      </w:r>
    </w:p>
    <w:p>
      <w:pPr>
        <w:numPr>
          <w:ilvl w:val="0"/>
          <w:numId w:val="1023"/>
        </w:numPr>
        <w:pStyle w:val="Compact"/>
      </w:pPr>
      <w:r>
        <w:t xml:space="preserve">Frequência e desencadeamento;</w:t>
      </w:r>
    </w:p>
    <w:p>
      <w:pPr>
        <w:numPr>
          <w:ilvl w:val="0"/>
          <w:numId w:val="1023"/>
        </w:numPr>
        <w:pStyle w:val="Compact"/>
      </w:pPr>
      <w:r>
        <w:t xml:space="preserve">Sistemas, dados, processos e populações abrangidas;</w:t>
      </w:r>
    </w:p>
    <w:p>
      <w:pPr>
        <w:numPr>
          <w:ilvl w:val="0"/>
          <w:numId w:val="1023"/>
        </w:numPr>
        <w:pStyle w:val="Compact"/>
      </w:pPr>
      <w:r>
        <w:t xml:space="preserve">Dependências e excepções;</w:t>
      </w:r>
    </w:p>
    <w:p>
      <w:pPr>
        <w:numPr>
          <w:ilvl w:val="0"/>
          <w:numId w:val="1023"/>
        </w:numPr>
        <w:pStyle w:val="Compact"/>
      </w:pPr>
      <w:r>
        <w:t xml:space="preserve">Provas esperadas;</w:t>
      </w:r>
    </w:p>
    <w:p>
      <w:pPr>
        <w:numPr>
          <w:ilvl w:val="0"/>
          <w:numId w:val="1023"/>
        </w:numPr>
        <w:pStyle w:val="Compact"/>
      </w:pPr>
      <w:r>
        <w:t xml:space="preserve">Abordagem e estado dos ensaios.</w:t>
      </w:r>
    </w:p>
    <w:bookmarkEnd w:id="54"/>
    <w:bookmarkStart w:id="55" w:name="validar-a-reutilização-do-controlo-comum"/>
    <w:p>
      <w:pPr>
        <w:pStyle w:val="Heading2"/>
      </w:pPr>
      <w:r>
        <w:t xml:space="preserve">3. Validar a reutilização do controlo comum</w:t>
      </w:r>
    </w:p>
    <w:p>
      <w:pPr>
        <w:pStyle w:val="FirstParagraph"/>
      </w:pPr>
      <w:r>
        <w:t xml:space="preserve">Um controlo comum pode suportar vários sistemas ou requisitos. A reutilização só é defensável quando o escopo de consumo é identificado e a herança validada. Gravar:</w:t>
      </w:r>
    </w:p>
    <w:p>
      <w:pPr>
        <w:numPr>
          <w:ilvl w:val="0"/>
          <w:numId w:val="1024"/>
        </w:numPr>
        <w:pStyle w:val="Compact"/>
      </w:pPr>
      <w:r>
        <w:t xml:space="preserve">Prestador de controlo comum;</w:t>
      </w:r>
    </w:p>
    <w:p>
      <w:pPr>
        <w:numPr>
          <w:ilvl w:val="0"/>
          <w:numId w:val="1024"/>
        </w:numPr>
        <w:pStyle w:val="Compact"/>
      </w:pPr>
      <w:r>
        <w:t xml:space="preserve">consumidores;</w:t>
      </w:r>
    </w:p>
    <w:p>
      <w:pPr>
        <w:numPr>
          <w:ilvl w:val="0"/>
          <w:numId w:val="1024"/>
        </w:numPr>
        <w:pStyle w:val="Compact"/>
      </w:pPr>
      <w:r>
        <w:t xml:space="preserve">Serviço ou fronteira abrangidos;</w:t>
      </w:r>
    </w:p>
    <w:p>
      <w:pPr>
        <w:numPr>
          <w:ilvl w:val="0"/>
          <w:numId w:val="1024"/>
        </w:numPr>
        <w:pStyle w:val="Compact"/>
      </w:pPr>
      <w:r>
        <w:t xml:space="preserve">Responsabilidades retidas pelo consumidor;</w:t>
      </w:r>
    </w:p>
    <w:p>
      <w:pPr>
        <w:numPr>
          <w:ilvl w:val="0"/>
          <w:numId w:val="1024"/>
        </w:numPr>
        <w:pStyle w:val="Compact"/>
      </w:pPr>
      <w:r>
        <w:t xml:space="preserve">disponibilidade de provas;</w:t>
      </w:r>
    </w:p>
    <w:p>
      <w:pPr>
        <w:numPr>
          <w:ilvl w:val="0"/>
          <w:numId w:val="1024"/>
        </w:numPr>
        <w:pStyle w:val="Compact"/>
      </w:pPr>
      <w:r>
        <w:t xml:space="preserve">Período de funcionamento;</w:t>
      </w:r>
    </w:p>
    <w:p>
      <w:pPr>
        <w:numPr>
          <w:ilvl w:val="0"/>
          <w:numId w:val="1024"/>
        </w:numPr>
        <w:pStyle w:val="Compact"/>
      </w:pPr>
      <w:r>
        <w:t xml:space="preserve">exceções e suplementos locais;</w:t>
      </w:r>
    </w:p>
    <w:p>
      <w:pPr>
        <w:numPr>
          <w:ilvl w:val="0"/>
          <w:numId w:val="1024"/>
        </w:numPr>
        <w:pStyle w:val="Compact"/>
      </w:pPr>
      <w:r>
        <w:t xml:space="preserve">Aprovação e reavaliação do gatilho.</w:t>
      </w:r>
    </w:p>
    <w:bookmarkEnd w:id="55"/>
    <w:bookmarkStart w:id="56" w:name="desenho-distinto-da-operação"/>
    <w:p>
      <w:pPr>
        <w:pStyle w:val="Heading2"/>
      </w:pPr>
      <w:r>
        <w:t xml:space="preserve">4. Desenho distinto da operação</w:t>
      </w:r>
    </w:p>
    <w:p>
      <w:pPr>
        <w:pStyle w:val="FirstParagraph"/>
      </w:pPr>
      <w:r>
        <w:t xml:space="preserve">Uma política, arquitetura ou procedimento podem demonstrar intenção de projeto. Não prova por si só que um controlo tenha funcionado eficazmente. Os tipos de provas podem incluir:</w:t>
      </w:r>
    </w:p>
    <w:p>
      <w:pPr>
        <w:numPr>
          <w:ilvl w:val="0"/>
          <w:numId w:val="1025"/>
        </w:numPr>
        <w:pStyle w:val="Compact"/>
      </w:pPr>
      <w:r>
        <w:t xml:space="preserve">Registos de políticas e procedimentos aprovados;</w:t>
      </w:r>
    </w:p>
    <w:p>
      <w:pPr>
        <w:numPr>
          <w:ilvl w:val="0"/>
          <w:numId w:val="1025"/>
        </w:numPr>
        <w:pStyle w:val="Compact"/>
      </w:pPr>
      <w:r>
        <w:t xml:space="preserve">exportações de configuração;</w:t>
      </w:r>
    </w:p>
    <w:p>
      <w:pPr>
        <w:numPr>
          <w:ilvl w:val="0"/>
          <w:numId w:val="1025"/>
        </w:numPr>
        <w:pStyle w:val="Compact"/>
      </w:pPr>
      <w:r>
        <w:t xml:space="preserve">Registos gerados pelo sistema;</w:t>
      </w:r>
    </w:p>
    <w:p>
      <w:pPr>
        <w:numPr>
          <w:ilvl w:val="0"/>
          <w:numId w:val="1025"/>
        </w:numPr>
        <w:pStyle w:val="Compact"/>
      </w:pPr>
      <w:r>
        <w:t xml:space="preserve">bilhetes e aprovações;</w:t>
      </w:r>
    </w:p>
    <w:p>
      <w:pPr>
        <w:numPr>
          <w:ilvl w:val="0"/>
          <w:numId w:val="1025"/>
        </w:numPr>
        <w:pStyle w:val="Compact"/>
      </w:pPr>
      <w:r>
        <w:t xml:space="preserve">Registos de conclusão da formação;</w:t>
      </w:r>
    </w:p>
    <w:p>
      <w:pPr>
        <w:numPr>
          <w:ilvl w:val="0"/>
          <w:numId w:val="1025"/>
        </w:numPr>
        <w:pStyle w:val="Compact"/>
      </w:pPr>
      <w:r>
        <w:t xml:space="preserve">inventários e reconciliações;</w:t>
      </w:r>
    </w:p>
    <w:p>
      <w:pPr>
        <w:numPr>
          <w:ilvl w:val="0"/>
          <w:numId w:val="1025"/>
        </w:numPr>
        <w:pStyle w:val="Compact"/>
      </w:pPr>
      <w:r>
        <w:t xml:space="preserve">Monitorização dos resultados;</w:t>
      </w:r>
    </w:p>
    <w:p>
      <w:pPr>
        <w:numPr>
          <w:ilvl w:val="0"/>
          <w:numId w:val="1025"/>
        </w:numPr>
        <w:pStyle w:val="Compact"/>
      </w:pPr>
      <w:r>
        <w:t xml:space="preserve">Registos de ensaios e exercícios;</w:t>
      </w:r>
    </w:p>
    <w:p>
      <w:pPr>
        <w:numPr>
          <w:ilvl w:val="0"/>
          <w:numId w:val="1025"/>
        </w:numPr>
        <w:pStyle w:val="Compact"/>
      </w:pPr>
      <w:r>
        <w:t xml:space="preserve">Registos de excepções;</w:t>
      </w:r>
    </w:p>
    <w:p>
      <w:pPr>
        <w:numPr>
          <w:ilvl w:val="0"/>
          <w:numId w:val="1025"/>
        </w:numPr>
        <w:pStyle w:val="Compact"/>
      </w:pPr>
      <w:r>
        <w:t xml:space="preserve">Documentos de avaliação independentes.</w:t>
      </w:r>
    </w:p>
    <w:p>
      <w:pPr>
        <w:pStyle w:val="FirstParagraph"/>
      </w:pPr>
      <w:r>
        <w:t xml:space="preserve">Registre se as evidências suportam design, implementação, eficácia operacional ou apenas compreensão contextual.</w:t>
      </w:r>
    </w:p>
    <w:bookmarkEnd w:id="56"/>
    <w:bookmarkStart w:id="57" w:name="X6acb26da471821b4710f5e7b4690ad7ac606bb8"/>
    <w:p>
      <w:pPr>
        <w:pStyle w:val="Heading2"/>
      </w:pPr>
      <w:r>
        <w:t xml:space="preserve">5. Coincidir evidência com o requisito mapeado</w:t>
      </w:r>
    </w:p>
    <w:p>
      <w:pPr>
        <w:pStyle w:val="FirstParagraph"/>
      </w:pPr>
      <w:r>
        <w:t xml:space="preserve">As evidências aceitáveis para uma fonte podem ser insuficientes para outra devido às diferenças de período, amostragem, independência, retenção, detalhe técnico ou cobertura populacional. Cada relação de origem deve identificar as suas condições de prova, em vez de as herdar automaticamente do controlo comum.</w:t>
      </w:r>
    </w:p>
    <w:bookmarkEnd w:id="57"/>
    <w:bookmarkStart w:id="58" w:name="registro-de-evidência-frescor-e-linhagem"/>
    <w:p>
      <w:pPr>
        <w:pStyle w:val="Heading2"/>
      </w:pPr>
      <w:r>
        <w:t xml:space="preserve">6. Registro de evidência frescor e linhagem</w:t>
      </w:r>
    </w:p>
    <w:p>
      <w:pPr>
        <w:pStyle w:val="FirstParagraph"/>
      </w:pPr>
      <w:r>
        <w:t xml:space="preserve">As referências às provas devem incluir:</w:t>
      </w:r>
    </w:p>
    <w:p>
      <w:pPr>
        <w:numPr>
          <w:ilvl w:val="0"/>
          <w:numId w:val="1026"/>
        </w:numPr>
        <w:pStyle w:val="Compact"/>
      </w:pPr>
      <w:r>
        <w:t xml:space="preserve">repositório ou sistema de registo;</w:t>
      </w:r>
    </w:p>
    <w:p>
      <w:pPr>
        <w:numPr>
          <w:ilvl w:val="0"/>
          <w:numId w:val="1026"/>
        </w:numPr>
        <w:pStyle w:val="Compact"/>
      </w:pPr>
      <w:r>
        <w:t xml:space="preserve">Proprietário e guardião;</w:t>
      </w:r>
    </w:p>
    <w:p>
      <w:pPr>
        <w:numPr>
          <w:ilvl w:val="0"/>
          <w:numId w:val="1026"/>
        </w:numPr>
        <w:pStyle w:val="Compact"/>
      </w:pPr>
      <w:r>
        <w:t xml:space="preserve">Data de recolha e período abrangido;</w:t>
      </w:r>
    </w:p>
    <w:p>
      <w:pPr>
        <w:numPr>
          <w:ilvl w:val="0"/>
          <w:numId w:val="1026"/>
        </w:numPr>
        <w:pStyle w:val="Compact"/>
      </w:pPr>
      <w:r>
        <w:t xml:space="preserve">linhagem do sistema de origem;</w:t>
      </w:r>
    </w:p>
    <w:p>
      <w:pPr>
        <w:numPr>
          <w:ilvl w:val="0"/>
          <w:numId w:val="1026"/>
        </w:numPr>
        <w:pStyle w:val="Compact"/>
      </w:pPr>
      <w:r>
        <w:t xml:space="preserve">Controlos de integridade e de integridade;</w:t>
      </w:r>
    </w:p>
    <w:p>
      <w:pPr>
        <w:numPr>
          <w:ilvl w:val="0"/>
          <w:numId w:val="1026"/>
        </w:numPr>
        <w:pStyle w:val="Compact"/>
      </w:pPr>
      <w:r>
        <w:t xml:space="preserve">Restrições de acesso;</w:t>
      </w:r>
    </w:p>
    <w:p>
      <w:pPr>
        <w:numPr>
          <w:ilvl w:val="0"/>
          <w:numId w:val="1026"/>
        </w:numPr>
        <w:pStyle w:val="Compact"/>
      </w:pPr>
      <w:r>
        <w:t xml:space="preserve">Período de retenção;</w:t>
      </w:r>
    </w:p>
    <w:p>
      <w:pPr>
        <w:numPr>
          <w:ilvl w:val="0"/>
          <w:numId w:val="1026"/>
        </w:numPr>
        <w:pStyle w:val="Compact"/>
      </w:pPr>
      <w:r>
        <w:t xml:space="preserve">Revisor e data de revisão;</w:t>
      </w:r>
    </w:p>
    <w:p>
      <w:pPr>
        <w:numPr>
          <w:ilvl w:val="0"/>
          <w:numId w:val="1026"/>
        </w:numPr>
        <w:pStyle w:val="Compact"/>
      </w:pPr>
      <w:r>
        <w:t xml:space="preserve">limitações conhecidas.</w:t>
      </w:r>
    </w:p>
    <w:bookmarkEnd w:id="58"/>
    <w:bookmarkStart w:id="59" w:name="X06dc267b77bd4c42816624df3ce3a083ba29795"/>
    <w:p>
      <w:pPr>
        <w:pStyle w:val="Heading2"/>
      </w:pPr>
      <w:r>
        <w:t xml:space="preserve">7. Gerenciar modelos de responsabilidade compartilhada</w:t>
      </w:r>
    </w:p>
    <w:p>
      <w:pPr>
        <w:pStyle w:val="FirstParagraph"/>
      </w:pPr>
      <w:r>
        <w:t xml:space="preserve">Para nuvem, serviços gerenciados e fornecedores, distinguir:</w:t>
      </w:r>
    </w:p>
    <w:p>
      <w:pPr>
        <w:numPr>
          <w:ilvl w:val="0"/>
          <w:numId w:val="1027"/>
        </w:numPr>
        <w:pStyle w:val="Compact"/>
      </w:pPr>
      <w:r>
        <w:t xml:space="preserve">Responsabilidade do prestador;</w:t>
      </w:r>
    </w:p>
    <w:p>
      <w:pPr>
        <w:numPr>
          <w:ilvl w:val="0"/>
          <w:numId w:val="1027"/>
        </w:numPr>
        <w:pStyle w:val="Compact"/>
      </w:pPr>
      <w:r>
        <w:t xml:space="preserve">Responsabilidade do cliente;</w:t>
      </w:r>
    </w:p>
    <w:p>
      <w:pPr>
        <w:numPr>
          <w:ilvl w:val="0"/>
          <w:numId w:val="1027"/>
        </w:numPr>
        <w:pStyle w:val="Compact"/>
      </w:pPr>
      <w:r>
        <w:t xml:space="preserve">Actividades partilhadas;</w:t>
      </w:r>
    </w:p>
    <w:p>
      <w:pPr>
        <w:numPr>
          <w:ilvl w:val="0"/>
          <w:numId w:val="1027"/>
        </w:numPr>
        <w:pStyle w:val="Compact"/>
      </w:pPr>
      <w:r>
        <w:t xml:space="preserve">Provas herdadas;</w:t>
      </w:r>
    </w:p>
    <w:p>
      <w:pPr>
        <w:numPr>
          <w:ilvl w:val="0"/>
          <w:numId w:val="1027"/>
        </w:numPr>
        <w:pStyle w:val="Compact"/>
      </w:pPr>
      <w:r>
        <w:t xml:space="preserve">Obrigação de configuração ou monitorização do cliente;</w:t>
      </w:r>
    </w:p>
    <w:p>
      <w:pPr>
        <w:numPr>
          <w:ilvl w:val="0"/>
          <w:numId w:val="1027"/>
        </w:numPr>
        <w:pStyle w:val="Compact"/>
      </w:pPr>
      <w:r>
        <w:t xml:space="preserve">Limitações da garantia contratual.</w:t>
      </w:r>
    </w:p>
    <w:p>
      <w:pPr>
        <w:pStyle w:val="FirstParagraph"/>
      </w:pPr>
      <w:r>
        <w:t xml:space="preserve">A certificação ou relatório de um prestador pode apoiar um requisito, mas raramente elimina as responsabilidades do cliente.</w:t>
      </w:r>
    </w:p>
    <w:bookmarkEnd w:id="59"/>
    <w:bookmarkStart w:id="60" w:name="evitar-sobre-afirmação-de-provas"/>
    <w:p>
      <w:pPr>
        <w:pStyle w:val="Heading2"/>
      </w:pPr>
      <w:r>
        <w:t xml:space="preserve">8. Evitar sobre-afirmação de provas</w:t>
      </w:r>
    </w:p>
    <w:p>
      <w:pPr>
        <w:pStyle w:val="FirstParagraph"/>
      </w:pPr>
      <w:r>
        <w:t xml:space="preserve">Não marque uma exigência satisfeita apenas porque existe um artefato de evidência. Confirmar que o artefacto é autêntico, completo, relevante, dentro do prazo, dentro do âmbito e ligado à operação de controlo efectiva.</w:t>
      </w:r>
    </w:p>
    <w:bookmarkEnd w:id="60"/>
    <w:bookmarkStart w:id="61" w:name="link-conclusões-e-exceções"/>
    <w:p>
      <w:pPr>
        <w:pStyle w:val="Heading2"/>
      </w:pPr>
      <w:r>
        <w:t xml:space="preserve">9. Link conclusões e exceções</w:t>
      </w:r>
    </w:p>
    <w:p>
      <w:pPr>
        <w:pStyle w:val="FirstParagraph"/>
      </w:pPr>
      <w:r>
        <w:t xml:space="preserve">Se a execução ou a prova estiverem incompletas, ligue o registo de mapeamento a:</w:t>
      </w:r>
    </w:p>
    <w:p>
      <w:pPr>
        <w:numPr>
          <w:ilvl w:val="0"/>
          <w:numId w:val="1028"/>
        </w:numPr>
        <w:pStyle w:val="Compact"/>
      </w:pPr>
      <w:r>
        <w:t xml:space="preserve">Registo de lacunas;</w:t>
      </w:r>
    </w:p>
    <w:p>
      <w:pPr>
        <w:numPr>
          <w:ilvl w:val="0"/>
          <w:numId w:val="1028"/>
        </w:numPr>
        <w:pStyle w:val="Compact"/>
      </w:pPr>
      <w:r>
        <w:t xml:space="preserve">Registo da exceção ou da aceitação do risco;</w:t>
      </w:r>
    </w:p>
    <w:p>
      <w:pPr>
        <w:numPr>
          <w:ilvl w:val="0"/>
          <w:numId w:val="1028"/>
        </w:numPr>
        <w:pStyle w:val="Compact"/>
      </w:pPr>
      <w:r>
        <w:t xml:space="preserve">Plano de remediação;</w:t>
      </w:r>
    </w:p>
    <w:p>
      <w:pPr>
        <w:numPr>
          <w:ilvl w:val="0"/>
          <w:numId w:val="1028"/>
        </w:numPr>
        <w:pStyle w:val="Compact"/>
      </w:pPr>
      <w:r>
        <w:t xml:space="preserve">Proprietário e data de vencimento;</w:t>
      </w:r>
    </w:p>
    <w:p>
      <w:pPr>
        <w:numPr>
          <w:ilvl w:val="0"/>
          <w:numId w:val="1028"/>
        </w:numPr>
        <w:pStyle w:val="Compact"/>
      </w:pPr>
      <w:r>
        <w:t xml:space="preserve">salvaguarda provisória;</w:t>
      </w:r>
    </w:p>
    <w:p>
      <w:pPr>
        <w:numPr>
          <w:ilvl w:val="0"/>
          <w:numId w:val="1028"/>
        </w:numPr>
        <w:pStyle w:val="Compact"/>
      </w:pPr>
      <w:r>
        <w:t xml:space="preserve">Provas de validação;</w:t>
      </w:r>
    </w:p>
    <w:p>
      <w:pPr>
        <w:numPr>
          <w:ilvl w:val="0"/>
          <w:numId w:val="1028"/>
        </w:numPr>
        <w:pStyle w:val="Compact"/>
      </w:pPr>
      <w:r>
        <w:t xml:space="preserve">Decisão de encerramento.</w:t>
      </w:r>
    </w:p>
    <w:bookmarkEnd w:id="61"/>
    <w:bookmarkStart w:id="62" w:name="língua-de-notificação"/>
    <w:p>
      <w:pPr>
        <w:pStyle w:val="Heading2"/>
      </w:pPr>
      <w:r>
        <w:t xml:space="preserve">10. Língua de notificação</w:t>
      </w:r>
    </w:p>
    <w:p>
      <w:pPr>
        <w:pStyle w:val="FirstParagraph"/>
      </w:pPr>
      <w:r>
        <w:t xml:space="preserve">Usar linguagem como:</w:t>
      </w:r>
    </w:p>
    <w:p>
      <w:pPr>
        <w:numPr>
          <w:ilvl w:val="0"/>
          <w:numId w:val="1029"/>
        </w:numPr>
        <w:pStyle w:val="Compact"/>
      </w:pPr>
      <w:r>
        <w:t xml:space="preserve">“</w:t>
      </w:r>
      <w:r>
        <w:t xml:space="preserve">o controlo destina-se a apoiar…</w:t>
      </w:r>
      <w:r>
        <w:t xml:space="preserve">”</w:t>
      </w:r>
      <w:r>
        <w:t xml:space="preserve">;</w:t>
      </w:r>
    </w:p>
    <w:p>
      <w:pPr>
        <w:numPr>
          <w:ilvl w:val="0"/>
          <w:numId w:val="1029"/>
        </w:numPr>
        <w:pStyle w:val="Compact"/>
      </w:pPr>
      <w:r>
        <w:t xml:space="preserve">“</w:t>
      </w:r>
      <w:r>
        <w:t xml:space="preserve">a prova disponível indica…</w:t>
      </w:r>
      <w:r>
        <w:t xml:space="preserve">”</w:t>
      </w:r>
      <w:r>
        <w:t xml:space="preserve">;</w:t>
      </w:r>
    </w:p>
    <w:p>
      <w:pPr>
        <w:numPr>
          <w:ilvl w:val="0"/>
          <w:numId w:val="1029"/>
        </w:numPr>
        <w:pStyle w:val="Compact"/>
      </w:pPr>
      <w:r>
        <w:t xml:space="preserve">“</w:t>
      </w:r>
      <w:r>
        <w:t xml:space="preserve">a cobertura é parcial porque…</w:t>
      </w:r>
      <w:r>
        <w:t xml:space="preserve">”</w:t>
      </w:r>
      <w:r>
        <w:t xml:space="preserve">;</w:t>
      </w:r>
    </w:p>
    <w:p>
      <w:pPr>
        <w:numPr>
          <w:ilvl w:val="0"/>
          <w:numId w:val="1029"/>
        </w:numPr>
        <w:pStyle w:val="Compact"/>
      </w:pPr>
      <w:r>
        <w:t xml:space="preserve">“</w:t>
      </w:r>
      <w:r>
        <w:t xml:space="preserve">É necessária uma validação adicional…</w:t>
      </w:r>
      <w:r>
        <w:t xml:space="preserve">”</w:t>
      </w:r>
      <w:r>
        <w:t xml:space="preserve">;</w:t>
      </w:r>
    </w:p>
    <w:p>
      <w:pPr>
        <w:numPr>
          <w:ilvl w:val="0"/>
          <w:numId w:val="1029"/>
        </w:numPr>
        <w:pStyle w:val="Compact"/>
      </w:pPr>
      <w:r>
        <w:t xml:space="preserve">“o mapeamento não estabelece conformidade. “</w:t>
      </w:r>
    </w:p>
    <w:p>
      <w:pPr>
        <w:pStyle w:val="FirstParagraph"/>
      </w:pPr>
      <w:r>
        <w:t xml:space="preserve">Evite alegações categóricas não apoiadas por evidências de avaliação.</w:t>
      </w:r>
    </w:p>
    <w:bookmarkEnd w:id="62"/>
    <w:bookmarkEnd w:id="63"/>
    <w:bookmarkStart w:id="72" w:name="gap-sobreposição-conflito-e-priorização"/>
    <w:p>
      <w:pPr>
        <w:pStyle w:val="Heading1"/>
      </w:pPr>
      <w:r>
        <w:t xml:space="preserve">Gap, Sobreposição, Conflito e Priorização</w:t>
      </w:r>
    </w:p>
    <w:bookmarkStart w:id="64" w:name="X233b6db7dd4f699d952ba0dec552d6a2a24c4dd"/>
    <w:p>
      <w:pPr>
        <w:pStyle w:val="Heading2"/>
      </w:pPr>
      <w:r>
        <w:t xml:space="preserve">1. Tratar o mapeamento como análise, não decoração</w:t>
      </w:r>
    </w:p>
    <w:p>
      <w:pPr>
        <w:pStyle w:val="FirstParagraph"/>
      </w:pPr>
      <w:r>
        <w:t xml:space="preserve">O valor de uma passadeira não é o número de células coloridas. É a capacidade de expor onde as obrigações são cobertas, duplicadas, sem apoio, ambíguas ou em conflito.</w:t>
      </w:r>
    </w:p>
    <w:bookmarkEnd w:id="64"/>
    <w:bookmarkStart w:id="65" w:name="identificar-os-tipos-de-lacunas"/>
    <w:p>
      <w:pPr>
        <w:pStyle w:val="Heading2"/>
      </w:pPr>
      <w:r>
        <w:t xml:space="preserve">2. Identificar os tipos de lacunas</w:t>
      </w:r>
    </w:p>
    <w:p>
      <w:pPr>
        <w:pStyle w:val="FirstParagraph"/>
      </w:pPr>
      <w:r>
        <w:t xml:space="preserve">Classificar lacunas para que a reparação possa ser atribuída corretamente:</w:t>
      </w:r>
    </w:p>
    <w:p>
      <w:pPr>
        <w:numPr>
          <w:ilvl w:val="0"/>
          <w:numId w:val="1030"/>
        </w:numPr>
        <w:pStyle w:val="Compact"/>
      </w:pPr>
      <w:r>
        <w:rPr>
          <w:bCs/>
          <w:b/>
        </w:rPr>
        <w:t xml:space="preserve">gap de exigência</w:t>
      </w:r>
      <w:r>
        <w:t xml:space="preserve"> </w:t>
      </w:r>
      <w:r>
        <w:t xml:space="preserve">— nenhum controlo da organização aborda um objectivo de origem;</w:t>
      </w:r>
    </w:p>
    <w:p>
      <w:pPr>
        <w:numPr>
          <w:ilvl w:val="0"/>
          <w:numId w:val="1030"/>
        </w:numPr>
        <w:pStyle w:val="Compact"/>
      </w:pPr>
      <w:r>
        <w:t xml:space="preserve">** gap ** — existe um controlo mas não abrange todos os sistemas, dados, entidades ou populações necessários;</w:t>
      </w:r>
    </w:p>
    <w:p>
      <w:pPr>
        <w:numPr>
          <w:ilvl w:val="0"/>
          <w:numId w:val="1030"/>
        </w:numPr>
        <w:pStyle w:val="Compact"/>
      </w:pPr>
      <w:r>
        <w:t xml:space="preserve">** diferença de concepção** — a declaração ou procedimento de controlo omite uma condição material;</w:t>
      </w:r>
    </w:p>
    <w:p>
      <w:pPr>
        <w:numPr>
          <w:ilvl w:val="0"/>
          <w:numId w:val="1030"/>
        </w:numPr>
        <w:pStyle w:val="Compact"/>
      </w:pPr>
      <w:r>
        <w:rPr>
          <w:bCs/>
          <w:b/>
        </w:rPr>
        <w:t xml:space="preserve">gap de implementação</w:t>
      </w:r>
      <w:r>
        <w:t xml:space="preserve"> </w:t>
      </w:r>
      <w:r>
        <w:t xml:space="preserve">— o controlo concebido não é utilizado ou executado de forma consistente;</w:t>
      </w:r>
    </w:p>
    <w:p>
      <w:pPr>
        <w:numPr>
          <w:ilvl w:val="0"/>
          <w:numId w:val="1030"/>
        </w:numPr>
        <w:pStyle w:val="Compact"/>
      </w:pPr>
      <w:r>
        <w:rPr>
          <w:bCs/>
          <w:b/>
        </w:rPr>
        <w:t xml:space="preserve">Gap de evidência</w:t>
      </w:r>
      <w:r>
        <w:t xml:space="preserve"> </w:t>
      </w:r>
      <w:r>
        <w:t xml:space="preserve">— pode existir operação, mas não existem provas suficientes;</w:t>
      </w:r>
    </w:p>
    <w:p>
      <w:pPr>
        <w:numPr>
          <w:ilvl w:val="0"/>
          <w:numId w:val="1030"/>
        </w:numPr>
        <w:pStyle w:val="Compact"/>
      </w:pPr>
      <w:r>
        <w:t xml:space="preserve">** disparidade de garantias** — ausência de independência exigida, ensaios, amostragem ou notificação;</w:t>
      </w:r>
    </w:p>
    <w:p>
      <w:pPr>
        <w:numPr>
          <w:ilvl w:val="0"/>
          <w:numId w:val="1030"/>
        </w:numPr>
        <w:pStyle w:val="Compact"/>
      </w:pPr>
      <w:r>
        <w:t xml:space="preserve">** diferença de propriedade** — a responsabilidade não é clara;</w:t>
      </w:r>
    </w:p>
    <w:p>
      <w:pPr>
        <w:numPr>
          <w:ilvl w:val="0"/>
          <w:numId w:val="1030"/>
        </w:numPr>
        <w:pStyle w:val="Compact"/>
      </w:pPr>
      <w:r>
        <w:rPr>
          <w:bCs/>
          <w:b/>
        </w:rPr>
        <w:t xml:space="preserve">gap de versão</w:t>
      </w:r>
      <w:r>
        <w:t xml:space="preserve"> </w:t>
      </w:r>
      <w:r>
        <w:t xml:space="preserve">— o mapeamento depende de fontes substituídas ou identificadores alterados;</w:t>
      </w:r>
    </w:p>
    <w:p>
      <w:pPr>
        <w:numPr>
          <w:ilvl w:val="0"/>
          <w:numId w:val="1030"/>
        </w:numPr>
        <w:pStyle w:val="Compact"/>
      </w:pPr>
      <w:r>
        <w:rPr>
          <w:bCs/>
          <w:b/>
        </w:rPr>
        <w:t xml:space="preserve">Licensing gap</w:t>
      </w:r>
      <w:r>
        <w:t xml:space="preserve"> </w:t>
      </w:r>
      <w:r>
        <w:t xml:space="preserve">— os direitos de utilização ou reprodução de fontes não estão resolvidos.</w:t>
      </w:r>
    </w:p>
    <w:bookmarkEnd w:id="65"/>
    <w:bookmarkStart w:id="66" w:name="identificar-sobreposições"/>
    <w:p>
      <w:pPr>
        <w:pStyle w:val="Heading2"/>
      </w:pPr>
      <w:r>
        <w:t xml:space="preserve">3. Identificar sobreposições</w:t>
      </w:r>
    </w:p>
    <w:p>
      <w:pPr>
        <w:pStyle w:val="FirstParagraph"/>
      </w:pPr>
      <w:r>
        <w:t xml:space="preserve">As sobreposições podem indicar uma reutilização eficiente ou duplicação desnecessária. Registar se a sobreposição é:</w:t>
      </w:r>
    </w:p>
    <w:p>
      <w:pPr>
        <w:numPr>
          <w:ilvl w:val="0"/>
          <w:numId w:val="1031"/>
        </w:numPr>
        <w:pStyle w:val="Compact"/>
      </w:pPr>
      <w:r>
        <w:t xml:space="preserve">Reutilização intencional do controlo comum;</w:t>
      </w:r>
    </w:p>
    <w:p>
      <w:pPr>
        <w:numPr>
          <w:ilvl w:val="0"/>
          <w:numId w:val="1031"/>
        </w:numPr>
        <w:pStyle w:val="Compact"/>
      </w:pPr>
      <w:r>
        <w:t xml:space="preserve">Proteção complementar em camadas;</w:t>
      </w:r>
    </w:p>
    <w:p>
      <w:pPr>
        <w:numPr>
          <w:ilvl w:val="0"/>
          <w:numId w:val="1031"/>
        </w:numPr>
        <w:pStyle w:val="Compact"/>
      </w:pPr>
      <w:r>
        <w:t xml:space="preserve">atividade de controlo em duplicado;</w:t>
      </w:r>
    </w:p>
    <w:p>
      <w:pPr>
        <w:numPr>
          <w:ilvl w:val="0"/>
          <w:numId w:val="1031"/>
        </w:numPr>
        <w:pStyle w:val="Compact"/>
      </w:pPr>
      <w:r>
        <w:t xml:space="preserve">Recolha duplicada de provas;</w:t>
      </w:r>
    </w:p>
    <w:p>
      <w:pPr>
        <w:numPr>
          <w:ilvl w:val="0"/>
          <w:numId w:val="1031"/>
        </w:numPr>
        <w:pStyle w:val="Compact"/>
      </w:pPr>
      <w:r>
        <w:t xml:space="preserve">esforço de avaliação duplicado;</w:t>
      </w:r>
    </w:p>
    <w:p>
      <w:pPr>
        <w:numPr>
          <w:ilvl w:val="0"/>
          <w:numId w:val="1031"/>
        </w:numPr>
        <w:pStyle w:val="Compact"/>
      </w:pPr>
      <w:r>
        <w:t xml:space="preserve">Propriedade em conflito;</w:t>
      </w:r>
    </w:p>
    <w:p>
      <w:pPr>
        <w:numPr>
          <w:ilvl w:val="0"/>
          <w:numId w:val="1031"/>
        </w:numPr>
        <w:pStyle w:val="Compact"/>
      </w:pPr>
      <w:r>
        <w:t xml:space="preserve">aplicação inconsistente do mesmo objectivo.</w:t>
      </w:r>
    </w:p>
    <w:p>
      <w:pPr>
        <w:pStyle w:val="FirstParagraph"/>
      </w:pPr>
      <w:r>
        <w:t xml:space="preserve">Não remover controles sobrepostos apenas para simplificar o mapa. A defesa em profundidade, segregação, alcance jurisdicional ou garantia independente podem justificar sobreposição.</w:t>
      </w:r>
    </w:p>
    <w:bookmarkEnd w:id="66"/>
    <w:bookmarkStart w:id="67" w:name="analisar-conflitos"/>
    <w:p>
      <w:pPr>
        <w:pStyle w:val="Heading2"/>
      </w:pPr>
      <w:r>
        <w:t xml:space="preserve">4. Analisar conflitos</w:t>
      </w:r>
    </w:p>
    <w:p>
      <w:pPr>
        <w:pStyle w:val="FirstParagraph"/>
      </w:pPr>
      <w:r>
        <w:t xml:space="preserve">Um registo de conflitos deverá identificar:</w:t>
      </w:r>
    </w:p>
    <w:p>
      <w:pPr>
        <w:numPr>
          <w:ilvl w:val="0"/>
          <w:numId w:val="1032"/>
        </w:numPr>
        <w:pStyle w:val="Compact"/>
      </w:pPr>
      <w:r>
        <w:t xml:space="preserve">Os requisitos de origem concorrentes;</w:t>
      </w:r>
    </w:p>
    <w:p>
      <w:pPr>
        <w:numPr>
          <w:ilvl w:val="0"/>
          <w:numId w:val="1032"/>
        </w:numPr>
        <w:pStyle w:val="Compact"/>
      </w:pPr>
      <w:r>
        <w:t xml:space="preserve">Âmbito e jurisdição afectados;</w:t>
      </w:r>
    </w:p>
    <w:p>
      <w:pPr>
        <w:numPr>
          <w:ilvl w:val="0"/>
          <w:numId w:val="1032"/>
        </w:numPr>
        <w:pStyle w:val="Compact"/>
      </w:pPr>
      <w:r>
        <w:t xml:space="preserve">Tipo de conflito;</w:t>
      </w:r>
    </w:p>
    <w:p>
      <w:pPr>
        <w:numPr>
          <w:ilvl w:val="0"/>
          <w:numId w:val="1032"/>
        </w:numPr>
        <w:pStyle w:val="Compact"/>
      </w:pPr>
      <w:r>
        <w:t xml:space="preserve">A interpretação mais rigorosa possível;</w:t>
      </w:r>
    </w:p>
    <w:p>
      <w:pPr>
        <w:numPr>
          <w:ilvl w:val="0"/>
          <w:numId w:val="1032"/>
        </w:numPr>
        <w:pStyle w:val="Compact"/>
      </w:pPr>
      <w:r>
        <w:t xml:space="preserve">Autoridade de decisão qualificada;</w:t>
      </w:r>
    </w:p>
    <w:p>
      <w:pPr>
        <w:numPr>
          <w:ilvl w:val="0"/>
          <w:numId w:val="1032"/>
        </w:numPr>
        <w:pStyle w:val="Compact"/>
      </w:pPr>
      <w:r>
        <w:t xml:space="preserve">Revisão legal ou contratual necessária;</w:t>
      </w:r>
    </w:p>
    <w:p>
      <w:pPr>
        <w:numPr>
          <w:ilvl w:val="0"/>
          <w:numId w:val="1032"/>
        </w:numPr>
        <w:pStyle w:val="Compact"/>
      </w:pPr>
      <w:r>
        <w:t xml:space="preserve">salvaguarda provisória;</w:t>
      </w:r>
    </w:p>
    <w:p>
      <w:pPr>
        <w:numPr>
          <w:ilvl w:val="0"/>
          <w:numId w:val="1032"/>
        </w:numPr>
        <w:pStyle w:val="Compact"/>
      </w:pPr>
      <w:r>
        <w:t xml:space="preserve">Decisão e fundamentação;</w:t>
      </w:r>
    </w:p>
    <w:p>
      <w:pPr>
        <w:numPr>
          <w:ilvl w:val="0"/>
          <w:numId w:val="1032"/>
        </w:numPr>
        <w:pStyle w:val="Compact"/>
      </w:pPr>
      <w:r>
        <w:t xml:space="preserve">data de revisão e gatilho.</w:t>
      </w:r>
    </w:p>
    <w:bookmarkEnd w:id="67"/>
    <w:bookmarkStart w:id="68" w:name="priorizar-a-reparação"/>
    <w:p>
      <w:pPr>
        <w:pStyle w:val="Heading2"/>
      </w:pPr>
      <w:r>
        <w:t xml:space="preserve">5. Priorizar a reparação</w:t>
      </w:r>
    </w:p>
    <w:p>
      <w:pPr>
        <w:pStyle w:val="FirstParagraph"/>
      </w:pPr>
      <w:r>
        <w:t xml:space="preserve">A priorização deve considerar:</w:t>
      </w:r>
    </w:p>
    <w:p>
      <w:pPr>
        <w:numPr>
          <w:ilvl w:val="0"/>
          <w:numId w:val="1033"/>
        </w:numPr>
        <w:pStyle w:val="Compact"/>
      </w:pPr>
      <w:r>
        <w:t xml:space="preserve">Mandato legal ou contratual;</w:t>
      </w:r>
    </w:p>
    <w:p>
      <w:pPr>
        <w:numPr>
          <w:ilvl w:val="0"/>
          <w:numId w:val="1033"/>
        </w:numPr>
        <w:pStyle w:val="Compact"/>
      </w:pPr>
      <w:r>
        <w:t xml:space="preserve">Dados afetados e serviço crítico;</w:t>
      </w:r>
    </w:p>
    <w:p>
      <w:pPr>
        <w:numPr>
          <w:ilvl w:val="0"/>
          <w:numId w:val="1033"/>
        </w:numPr>
        <w:pStyle w:val="Compact"/>
      </w:pPr>
      <w:r>
        <w:t xml:space="preserve">Ameaça e exposição à vulnerabilidade;</w:t>
      </w:r>
    </w:p>
    <w:p>
      <w:pPr>
        <w:numPr>
          <w:ilvl w:val="0"/>
          <w:numId w:val="1033"/>
        </w:numPr>
        <w:pStyle w:val="Compact"/>
      </w:pPr>
      <w:r>
        <w:t xml:space="preserve">Impacto das empresas;</w:t>
      </w:r>
    </w:p>
    <w:p>
      <w:pPr>
        <w:numPr>
          <w:ilvl w:val="0"/>
          <w:numId w:val="1033"/>
        </w:numPr>
        <w:pStyle w:val="Compact"/>
      </w:pPr>
      <w:r>
        <w:t xml:space="preserve">Ampla cobertura do quadro;</w:t>
      </w:r>
    </w:p>
    <w:p>
      <w:pPr>
        <w:numPr>
          <w:ilvl w:val="0"/>
          <w:numId w:val="1033"/>
        </w:numPr>
        <w:pStyle w:val="Compact"/>
      </w:pPr>
      <w:r>
        <w:t xml:space="preserve">Data de avaliação ou renovação;</w:t>
      </w:r>
    </w:p>
    <w:p>
      <w:pPr>
        <w:numPr>
          <w:ilvl w:val="0"/>
          <w:numId w:val="1033"/>
        </w:numPr>
        <w:pStyle w:val="Compact"/>
      </w:pPr>
      <w:r>
        <w:t xml:space="preserve">Controlar a dependência;</w:t>
      </w:r>
    </w:p>
    <w:p>
      <w:pPr>
        <w:numPr>
          <w:ilvl w:val="0"/>
          <w:numId w:val="1033"/>
        </w:numPr>
        <w:pStyle w:val="Compact"/>
      </w:pPr>
      <w:r>
        <w:t xml:space="preserve">disponibilidade de provas;</w:t>
      </w:r>
    </w:p>
    <w:p>
      <w:pPr>
        <w:numPr>
          <w:ilvl w:val="0"/>
          <w:numId w:val="1033"/>
        </w:numPr>
        <w:pStyle w:val="Compact"/>
      </w:pPr>
      <w:r>
        <w:t xml:space="preserve">esforço e sequenciação;</w:t>
      </w:r>
    </w:p>
    <w:p>
      <w:pPr>
        <w:numPr>
          <w:ilvl w:val="0"/>
          <w:numId w:val="1033"/>
        </w:numPr>
        <w:pStyle w:val="Compact"/>
      </w:pPr>
      <w:r>
        <w:t xml:space="preserve">tratamento de risco intermédio.</w:t>
      </w:r>
    </w:p>
    <w:p>
      <w:pPr>
        <w:pStyle w:val="FirstParagraph"/>
      </w:pPr>
      <w:r>
        <w:t xml:space="preserve">Uma lacuna que afeta muitos requisitos mapeados pode ser uma grande recuperação, mas a amplitude por si só não supera a urgência legal ou a gravidade do risco.</w:t>
      </w:r>
    </w:p>
    <w:bookmarkEnd w:id="68"/>
    <w:bookmarkStart w:id="69" w:name="evite-a-dupla-contagem"/>
    <w:p>
      <w:pPr>
        <w:pStyle w:val="Heading2"/>
      </w:pPr>
      <w:r>
        <w:t xml:space="preserve">6. Evite a dupla contagem</w:t>
      </w:r>
    </w:p>
    <w:p>
      <w:pPr>
        <w:pStyle w:val="FirstParagraph"/>
      </w:pPr>
      <w:r>
        <w:t xml:space="preserve">Uma lacuna de controle subjacente pode criar muitas lacunas de nível de fonte. Preservar cada relação de origem para rastreabilidade, mas ligá-los a uma causa raiz comum e registro de remediação. Isso evita a contagem de problemas inflados enquanto mantém a visibilidade dos requisitos.</w:t>
      </w:r>
    </w:p>
    <w:bookmarkEnd w:id="69"/>
    <w:bookmarkStart w:id="70" w:name="relatar-incerteza-residual"/>
    <w:p>
      <w:pPr>
        <w:pStyle w:val="Heading2"/>
      </w:pPr>
      <w:r>
        <w:t xml:space="preserve">7. Relatar incerteza residual</w:t>
      </w:r>
    </w:p>
    <w:p>
      <w:pPr>
        <w:pStyle w:val="FirstParagraph"/>
      </w:pPr>
      <w:r>
        <w:t xml:space="preserve">Reportar a incerteza do mapeamento separadamente das lacunas de implementação. Uma relação de baixa confiança pode exigir esclarecimento da fonte, mesmo quando o controle está funcionando efetivamente.</w:t>
      </w:r>
    </w:p>
    <w:bookmarkEnd w:id="70"/>
    <w:bookmarkStart w:id="71" w:name="relatórios-executivos"/>
    <w:p>
      <w:pPr>
        <w:pStyle w:val="Heading2"/>
      </w:pPr>
      <w:r>
        <w:t xml:space="preserve">8. Relatórios executivos</w:t>
      </w:r>
    </w:p>
    <w:p>
      <w:pPr>
        <w:pStyle w:val="FirstParagraph"/>
      </w:pPr>
      <w:r>
        <w:t xml:space="preserve">Os relatórios úteis incluem:</w:t>
      </w:r>
    </w:p>
    <w:p>
      <w:pPr>
        <w:numPr>
          <w:ilvl w:val="0"/>
          <w:numId w:val="1034"/>
        </w:numPr>
        <w:pStyle w:val="Compact"/>
      </w:pPr>
      <w:r>
        <w:t xml:space="preserve">mapeamentos aprovados por relações e confiança;</w:t>
      </w:r>
    </w:p>
    <w:p>
      <w:pPr>
        <w:numPr>
          <w:ilvl w:val="0"/>
          <w:numId w:val="1034"/>
        </w:numPr>
        <w:pStyle w:val="Compact"/>
      </w:pPr>
      <w:r>
        <w:t xml:space="preserve">Requisitos sem mapeamento;</w:t>
      </w:r>
    </w:p>
    <w:p>
      <w:pPr>
        <w:numPr>
          <w:ilvl w:val="0"/>
          <w:numId w:val="1034"/>
        </w:numPr>
        <w:pStyle w:val="Compact"/>
      </w:pPr>
      <w:r>
        <w:t xml:space="preserve">mapeamentos parciais com condições residuais materiais;</w:t>
      </w:r>
    </w:p>
    <w:p>
      <w:pPr>
        <w:numPr>
          <w:ilvl w:val="0"/>
          <w:numId w:val="1034"/>
        </w:numPr>
        <w:pStyle w:val="Compact"/>
      </w:pPr>
      <w:r>
        <w:t xml:space="preserve">lacunas de controlo agrupadas por causa raiz;</w:t>
      </w:r>
    </w:p>
    <w:p>
      <w:pPr>
        <w:numPr>
          <w:ilvl w:val="0"/>
          <w:numId w:val="1034"/>
        </w:numPr>
        <w:pStyle w:val="Compact"/>
      </w:pPr>
      <w:r>
        <w:t xml:space="preserve">Atividades duplicadas ou pedidos de provas;</w:t>
      </w:r>
    </w:p>
    <w:p>
      <w:pPr>
        <w:numPr>
          <w:ilvl w:val="0"/>
          <w:numId w:val="1034"/>
        </w:numPr>
        <w:pStyle w:val="Compact"/>
      </w:pPr>
      <w:r>
        <w:t xml:space="preserve">Conflitos não resolvidos;</w:t>
      </w:r>
    </w:p>
    <w:p>
      <w:pPr>
        <w:numPr>
          <w:ilvl w:val="0"/>
          <w:numId w:val="1034"/>
        </w:numPr>
        <w:pStyle w:val="Compact"/>
      </w:pPr>
      <w:r>
        <w:t xml:space="preserve">Mapeamentos devidos para revisão;</w:t>
      </w:r>
    </w:p>
    <w:p>
      <w:pPr>
        <w:numPr>
          <w:ilvl w:val="0"/>
          <w:numId w:val="1034"/>
        </w:numPr>
        <w:pStyle w:val="Compact"/>
      </w:pPr>
      <w:r>
        <w:t xml:space="preserve">Alterações causadas pelas actualizações da versão-fonte;</w:t>
      </w:r>
    </w:p>
    <w:p>
      <w:pPr>
        <w:numPr>
          <w:ilvl w:val="0"/>
          <w:numId w:val="1034"/>
        </w:numPr>
        <w:pStyle w:val="Compact"/>
      </w:pPr>
      <w:r>
        <w:t xml:space="preserve">estado de reparação e decisões em atraso.</w:t>
      </w:r>
    </w:p>
    <w:p>
      <w:pPr>
        <w:pStyle w:val="FirstParagraph"/>
      </w:pPr>
      <w:r>
        <w:t xml:space="preserve">Não apresentar uma percentagem de requisitos mapeados como percentagem de conformidade.</w:t>
      </w:r>
    </w:p>
    <w:bookmarkEnd w:id="71"/>
    <w:bookmarkEnd w:id="72"/>
    <w:bookmarkStart w:id="83" w:name="X064538133b63f9f96cdbee09948770125a72f21"/>
    <w:p>
      <w:pPr>
        <w:pStyle w:val="Heading1"/>
      </w:pPr>
      <w:r>
        <w:t xml:space="preserve">Revisão, Controle de Mudança e Aposentadoria</w:t>
      </w:r>
    </w:p>
    <w:bookmarkStart w:id="73" w:name="X88f8a0252c46203c5db61746f6263ee9a3b11d1"/>
    <w:p>
      <w:pPr>
        <w:pStyle w:val="Heading2"/>
      </w:pPr>
      <w:r>
        <w:t xml:space="preserve">1. Tratar os mapeamentos como registros controlados</w:t>
      </w:r>
    </w:p>
    <w:p>
      <w:pPr>
        <w:pStyle w:val="FirstParagraph"/>
      </w:pPr>
      <w:r>
        <w:t xml:space="preserve">Um conjunto de mapeamento é um produto analítico versionado. Deve ter um proprietário, metodologia aprovada, identificador de liberação, data efetiva, manifesto de fonte, registro do revisor, registro de mudança e processo de aposentadoria.</w:t>
      </w:r>
    </w:p>
    <w:bookmarkEnd w:id="73"/>
    <w:bookmarkStart w:id="74" w:name="estabelecer-gatilhos-de-revisão"/>
    <w:p>
      <w:pPr>
        <w:pStyle w:val="Heading2"/>
      </w:pPr>
      <w:r>
        <w:t xml:space="preserve">2. Estabelecer gatilhos de revisão</w:t>
      </w:r>
    </w:p>
    <w:p>
      <w:pPr>
        <w:pStyle w:val="FirstParagraph"/>
      </w:pPr>
      <w:r>
        <w:t xml:space="preserve">Rever os mapeamentos quando:</w:t>
      </w:r>
    </w:p>
    <w:p>
      <w:pPr>
        <w:numPr>
          <w:ilvl w:val="0"/>
          <w:numId w:val="1035"/>
        </w:numPr>
        <w:pStyle w:val="Compact"/>
      </w:pPr>
      <w:r>
        <w:t xml:space="preserve">O quadro de origem ou as alterações da regulamentação;</w:t>
      </w:r>
    </w:p>
    <w:p>
      <w:pPr>
        <w:numPr>
          <w:ilvl w:val="0"/>
          <w:numId w:val="1035"/>
        </w:numPr>
        <w:pStyle w:val="Compact"/>
      </w:pPr>
      <w:r>
        <w:t xml:space="preserve">É emitida uma interpretação oficial, erratum ou alteração;</w:t>
      </w:r>
    </w:p>
    <w:p>
      <w:pPr>
        <w:numPr>
          <w:ilvl w:val="0"/>
          <w:numId w:val="1035"/>
        </w:numPr>
        <w:pStyle w:val="Compact"/>
      </w:pPr>
      <w:r>
        <w:t xml:space="preserve">Os identificadores de origem ou as estruturas de controlo mudam;</w:t>
      </w:r>
    </w:p>
    <w:p>
      <w:pPr>
        <w:numPr>
          <w:ilvl w:val="0"/>
          <w:numId w:val="1035"/>
        </w:numPr>
        <w:pStyle w:val="Compact"/>
      </w:pPr>
      <w:r>
        <w:t xml:space="preserve">As alterações do projeto de controle da organização;</w:t>
      </w:r>
    </w:p>
    <w:p>
      <w:pPr>
        <w:numPr>
          <w:ilvl w:val="0"/>
          <w:numId w:val="1035"/>
        </w:numPr>
        <w:pStyle w:val="Compact"/>
      </w:pPr>
      <w:r>
        <w:t xml:space="preserve">Alterações do sistema, serviço, dados, entidade ou âmbito de jurisdição;</w:t>
      </w:r>
    </w:p>
    <w:p>
      <w:pPr>
        <w:numPr>
          <w:ilvl w:val="0"/>
          <w:numId w:val="1035"/>
        </w:numPr>
        <w:pStyle w:val="Compact"/>
      </w:pPr>
      <w:r>
        <w:t xml:space="preserve">O fornecedor ou os acordos de responsabilidade partilhada mudam;</w:t>
      </w:r>
    </w:p>
    <w:p>
      <w:pPr>
        <w:numPr>
          <w:ilvl w:val="0"/>
          <w:numId w:val="1035"/>
        </w:numPr>
        <w:pStyle w:val="Compact"/>
      </w:pPr>
      <w:r>
        <w:t xml:space="preserve">Os resultados da auditoria desafiam uma relação;</w:t>
      </w:r>
    </w:p>
    <w:p>
      <w:pPr>
        <w:numPr>
          <w:ilvl w:val="0"/>
          <w:numId w:val="1035"/>
        </w:numPr>
        <w:pStyle w:val="Compact"/>
      </w:pPr>
      <w:r>
        <w:t xml:space="preserve">Os elementos de prova demonstram que um controlo assumido não funciona como previsto;</w:t>
      </w:r>
    </w:p>
    <w:p>
      <w:pPr>
        <w:numPr>
          <w:ilvl w:val="0"/>
          <w:numId w:val="1035"/>
        </w:numPr>
        <w:pStyle w:val="Compact"/>
      </w:pPr>
      <w:r>
        <w:t xml:space="preserve">Alteração das condições de licenciamento ou de acesso à fonte;</w:t>
      </w:r>
    </w:p>
    <w:p>
      <w:pPr>
        <w:numPr>
          <w:ilvl w:val="0"/>
          <w:numId w:val="1035"/>
        </w:numPr>
        <w:pStyle w:val="Compact"/>
      </w:pPr>
      <w:r>
        <w:t xml:space="preserve">A utilização prevista das alterações de mapeamento.</w:t>
      </w:r>
    </w:p>
    <w:p>
      <w:pPr>
        <w:pStyle w:val="FirstParagraph"/>
      </w:pPr>
      <w:r>
        <w:t xml:space="preserve">Também atribuir uma data de revisão periódica, mesmo quando nenhum evento ocorre.</w:t>
      </w:r>
    </w:p>
    <w:bookmarkEnd w:id="74"/>
    <w:bookmarkStart w:id="75" w:name="realizar-análise-de-impacto"/>
    <w:p>
      <w:pPr>
        <w:pStyle w:val="Heading2"/>
      </w:pPr>
      <w:r>
        <w:t xml:space="preserve">3. Realizar análise de impacto</w:t>
      </w:r>
    </w:p>
    <w:p>
      <w:pPr>
        <w:pStyle w:val="FirstParagraph"/>
      </w:pPr>
      <w:r>
        <w:t xml:space="preserve">Para cada alteração, identificar:</w:t>
      </w:r>
    </w:p>
    <w:p>
      <w:pPr>
        <w:numPr>
          <w:ilvl w:val="0"/>
          <w:numId w:val="1036"/>
        </w:numPr>
        <w:pStyle w:val="Compact"/>
      </w:pPr>
      <w:r>
        <w:t xml:space="preserve">Grupos e linhas de mapeamento afetados;</w:t>
      </w:r>
    </w:p>
    <w:p>
      <w:pPr>
        <w:numPr>
          <w:ilvl w:val="0"/>
          <w:numId w:val="1036"/>
        </w:numPr>
        <w:pStyle w:val="Compact"/>
      </w:pPr>
      <w:r>
        <w:t xml:space="preserve">Alteração do significado ou identificador da fonte;</w:t>
      </w:r>
    </w:p>
    <w:p>
      <w:pPr>
        <w:numPr>
          <w:ilvl w:val="0"/>
          <w:numId w:val="1036"/>
        </w:numPr>
        <w:pStyle w:val="Compact"/>
      </w:pPr>
      <w:r>
        <w:t xml:space="preserve">Controlos da organização afetados;</w:t>
      </w:r>
    </w:p>
    <w:p>
      <w:pPr>
        <w:numPr>
          <w:ilvl w:val="0"/>
          <w:numId w:val="1036"/>
        </w:numPr>
        <w:pStyle w:val="Compact"/>
      </w:pPr>
      <w:r>
        <w:t xml:space="preserve">Provas e testes impactados;</w:t>
      </w:r>
    </w:p>
    <w:p>
      <w:pPr>
        <w:numPr>
          <w:ilvl w:val="0"/>
          <w:numId w:val="1036"/>
        </w:numPr>
        <w:pStyle w:val="Compact"/>
      </w:pPr>
      <w:r>
        <w:t xml:space="preserve">lacunas criadas ou fechadas;</w:t>
      </w:r>
    </w:p>
    <w:p>
      <w:pPr>
        <w:numPr>
          <w:ilvl w:val="0"/>
          <w:numId w:val="1036"/>
        </w:numPr>
        <w:pStyle w:val="Compact"/>
      </w:pPr>
      <w:r>
        <w:t xml:space="preserve">relatórios, painéis, políticas e trabalhos de auditoria que dependem do mapeamento;</w:t>
      </w:r>
    </w:p>
    <w:p>
      <w:pPr>
        <w:numPr>
          <w:ilvl w:val="0"/>
          <w:numId w:val="1036"/>
        </w:numPr>
        <w:pStyle w:val="Compact"/>
      </w:pPr>
      <w:r>
        <w:t xml:space="preserve">Os utilizadores que devem ser notificados;</w:t>
      </w:r>
    </w:p>
    <w:p>
      <w:pPr>
        <w:numPr>
          <w:ilvl w:val="0"/>
          <w:numId w:val="1036"/>
        </w:numPr>
        <w:pStyle w:val="Compact"/>
      </w:pPr>
      <w:r>
        <w:t xml:space="preserve">Se as conclusões anteriores continuam válidas.</w:t>
      </w:r>
    </w:p>
    <w:bookmarkEnd w:id="75"/>
    <w:bookmarkStart w:id="76" w:name="conjuntos-de-mapeamento-de-versões"/>
    <w:p>
      <w:pPr>
        <w:pStyle w:val="Heading2"/>
      </w:pPr>
      <w:r>
        <w:t xml:space="preserve">4. Conjuntos de mapeamento de versões</w:t>
      </w:r>
    </w:p>
    <w:p>
      <w:pPr>
        <w:pStyle w:val="FirstParagraph"/>
      </w:pPr>
      <w:r>
        <w:t xml:space="preserve">Use um esquema de versão controlado. Uma versão principal pode refletir mudanças metodológicas ou de estrutura de fonte; uma versão menor pode refletir adições ou correções aprovadas. Grave as versões exatas incluídas em cada versão.</w:t>
      </w:r>
    </w:p>
    <w:p>
      <w:pPr>
        <w:pStyle w:val="BodyText"/>
      </w:pPr>
      <w:r>
        <w:t xml:space="preserve">Não sobrescrever um mapeamento histórico aprovado sem preservar o estado anterior.</w:t>
      </w:r>
    </w:p>
    <w:bookmarkEnd w:id="76"/>
    <w:bookmarkStart w:id="77" w:name="X310392d7d17fe8a79c1e5a80e2b4630c39c0cee"/>
    <w:p>
      <w:pPr>
        <w:pStyle w:val="Heading2"/>
      </w:pPr>
      <w:r>
        <w:t xml:space="preserve">5. Revalidar mapeamentos herdados e importados</w:t>
      </w:r>
    </w:p>
    <w:p>
      <w:pPr>
        <w:pStyle w:val="FirstParagraph"/>
      </w:pPr>
      <w:r>
        <w:t xml:space="preserve">Os mapeamentos externos podem acelerar a análise, mas continuam sendo afirmações de terceiros. Antes da adopção:</w:t>
      </w:r>
    </w:p>
    <w:p>
      <w:pPr>
        <w:numPr>
          <w:ilvl w:val="0"/>
          <w:numId w:val="1037"/>
        </w:numPr>
        <w:pStyle w:val="Compact"/>
      </w:pPr>
      <w:r>
        <w:t xml:space="preserve">Identificar o editor e a metodologia;</w:t>
      </w:r>
    </w:p>
    <w:p>
      <w:pPr>
        <w:numPr>
          <w:ilvl w:val="0"/>
          <w:numId w:val="1037"/>
        </w:numPr>
        <w:pStyle w:val="Compact"/>
      </w:pPr>
      <w:r>
        <w:t xml:space="preserve">Confirmar as versões de origem;</w:t>
      </w:r>
    </w:p>
    <w:p>
      <w:pPr>
        <w:numPr>
          <w:ilvl w:val="0"/>
          <w:numId w:val="1037"/>
        </w:numPr>
        <w:pStyle w:val="Compact"/>
      </w:pPr>
      <w:r>
        <w:t xml:space="preserve">revisão do licenciamento e atribuição;</w:t>
      </w:r>
    </w:p>
    <w:p>
      <w:pPr>
        <w:numPr>
          <w:ilvl w:val="0"/>
          <w:numId w:val="1037"/>
        </w:numPr>
        <w:pStyle w:val="Compact"/>
      </w:pPr>
      <w:r>
        <w:t xml:space="preserve">testar relações representativas;</w:t>
      </w:r>
    </w:p>
    <w:p>
      <w:pPr>
        <w:numPr>
          <w:ilvl w:val="0"/>
          <w:numId w:val="1037"/>
        </w:numPr>
        <w:pStyle w:val="Compact"/>
      </w:pPr>
      <w:r>
        <w:t xml:space="preserve">Identificar os pressupostos de âmbito;</w:t>
      </w:r>
    </w:p>
    <w:p>
      <w:pPr>
        <w:numPr>
          <w:ilvl w:val="0"/>
          <w:numId w:val="1037"/>
        </w:numPr>
        <w:pStyle w:val="Compact"/>
      </w:pPr>
      <w:r>
        <w:t xml:space="preserve">documentar as alterações locais;</w:t>
      </w:r>
    </w:p>
    <w:p>
      <w:pPr>
        <w:numPr>
          <w:ilvl w:val="0"/>
          <w:numId w:val="1037"/>
        </w:numPr>
        <w:pStyle w:val="Compact"/>
      </w:pPr>
      <w:r>
        <w:t xml:space="preserve">Atribuir propriedade interna e aprovação.</w:t>
      </w:r>
    </w:p>
    <w:bookmarkEnd w:id="77"/>
    <w:bookmarkStart w:id="78" w:name="aposentar-mapeamentos-com-segurança"/>
    <w:p>
      <w:pPr>
        <w:pStyle w:val="Heading2"/>
      </w:pPr>
      <w:r>
        <w:t xml:space="preserve">6. Aposentar mapeamentos com segurança</w:t>
      </w:r>
    </w:p>
    <w:p>
      <w:pPr>
        <w:pStyle w:val="FirstParagraph"/>
      </w:pPr>
      <w:r>
        <w:t xml:space="preserve">A aposentadoria é adequada quando uma fonte é retirada, uma relação é invalidada, o uso pretendido termina, ou um mapeamento de substituição é aprovado. Um registo reformado deve manter:</w:t>
      </w:r>
    </w:p>
    <w:p>
      <w:pPr>
        <w:numPr>
          <w:ilvl w:val="0"/>
          <w:numId w:val="1038"/>
        </w:numPr>
        <w:pStyle w:val="Compact"/>
      </w:pPr>
      <w:r>
        <w:t xml:space="preserve">Data da reforma;</w:t>
      </w:r>
    </w:p>
    <w:p>
      <w:pPr>
        <w:numPr>
          <w:ilvl w:val="0"/>
          <w:numId w:val="1038"/>
        </w:numPr>
        <w:pStyle w:val="Compact"/>
      </w:pPr>
      <w:r>
        <w:t xml:space="preserve">Razão;</w:t>
      </w:r>
    </w:p>
    <w:p>
      <w:pPr>
        <w:numPr>
          <w:ilvl w:val="0"/>
          <w:numId w:val="1038"/>
        </w:numPr>
        <w:pStyle w:val="Compact"/>
      </w:pPr>
      <w:r>
        <w:t xml:space="preserve">Autoridade de aprovação;</w:t>
      </w:r>
    </w:p>
    <w:p>
      <w:pPr>
        <w:numPr>
          <w:ilvl w:val="0"/>
          <w:numId w:val="1038"/>
        </w:numPr>
        <w:pStyle w:val="Compact"/>
      </w:pPr>
      <w:r>
        <w:t xml:space="preserve">Registo ou versão de substituição;</w:t>
      </w:r>
    </w:p>
    <w:p>
      <w:pPr>
        <w:numPr>
          <w:ilvl w:val="0"/>
          <w:numId w:val="1038"/>
        </w:numPr>
        <w:pStyle w:val="Compact"/>
      </w:pPr>
      <w:r>
        <w:t xml:space="preserve">Relatórios e utilizadores afectados;</w:t>
      </w:r>
    </w:p>
    <w:p>
      <w:pPr>
        <w:numPr>
          <w:ilvl w:val="0"/>
          <w:numId w:val="1038"/>
        </w:numPr>
        <w:pStyle w:val="Compact"/>
      </w:pPr>
      <w:r>
        <w:t xml:space="preserve">Período de retenção;</w:t>
      </w:r>
    </w:p>
    <w:p>
      <w:pPr>
        <w:numPr>
          <w:ilvl w:val="0"/>
          <w:numId w:val="1038"/>
        </w:numPr>
        <w:pStyle w:val="Compact"/>
      </w:pPr>
      <w:r>
        <w:t xml:space="preserve">aviso contra utilização futura.</w:t>
      </w:r>
    </w:p>
    <w:bookmarkEnd w:id="78"/>
    <w:bookmarkStart w:id="79" w:name="erros-corretos-de-forma-transparente"/>
    <w:p>
      <w:pPr>
        <w:pStyle w:val="Heading2"/>
      </w:pPr>
      <w:r>
        <w:t xml:space="preserve">7. Erros corretos de forma transparente</w:t>
      </w:r>
    </w:p>
    <w:p>
      <w:pPr>
        <w:pStyle w:val="FirstParagraph"/>
      </w:pPr>
      <w:r>
        <w:t xml:space="preserve">Quando se verifica que um mapeamento aprovado está errado:</w:t>
      </w:r>
    </w:p>
    <w:p>
      <w:pPr>
        <w:numPr>
          <w:ilvl w:val="0"/>
          <w:numId w:val="1039"/>
        </w:numPr>
        <w:pStyle w:val="Compact"/>
      </w:pPr>
      <w:r>
        <w:t xml:space="preserve">Suspender alegações ou relatórios afetados;</w:t>
      </w:r>
    </w:p>
    <w:p>
      <w:pPr>
        <w:numPr>
          <w:ilvl w:val="0"/>
          <w:numId w:val="1039"/>
        </w:numPr>
        <w:pStyle w:val="Compact"/>
      </w:pPr>
      <w:r>
        <w:t xml:space="preserve">Identificar a utilização a jusante;</w:t>
      </w:r>
    </w:p>
    <w:p>
      <w:pPr>
        <w:numPr>
          <w:ilvl w:val="0"/>
          <w:numId w:val="1039"/>
        </w:numPr>
        <w:pStyle w:val="Compact"/>
      </w:pPr>
      <w:r>
        <w:t xml:space="preserve">Corrigir o mapeamento com provas de revisão;</w:t>
      </w:r>
    </w:p>
    <w:p>
      <w:pPr>
        <w:numPr>
          <w:ilvl w:val="0"/>
          <w:numId w:val="1039"/>
        </w:numPr>
        <w:pStyle w:val="Compact"/>
      </w:pPr>
      <w:r>
        <w:t xml:space="preserve">Notificar os utilizadores relevantes;</w:t>
      </w:r>
    </w:p>
    <w:p>
      <w:pPr>
        <w:numPr>
          <w:ilvl w:val="0"/>
          <w:numId w:val="1039"/>
        </w:numPr>
        <w:pStyle w:val="Compact"/>
      </w:pPr>
      <w:r>
        <w:t xml:space="preserve">Reavaliar as lacunas, os controlos e as conclusões da auditoria;</w:t>
      </w:r>
    </w:p>
    <w:p>
      <w:pPr>
        <w:numPr>
          <w:ilvl w:val="0"/>
          <w:numId w:val="1039"/>
        </w:numPr>
        <w:pStyle w:val="Compact"/>
      </w:pPr>
      <w:r>
        <w:t xml:space="preserve">manter o histórico de correcção.</w:t>
      </w:r>
    </w:p>
    <w:bookmarkEnd w:id="79"/>
    <w:bookmarkStart w:id="80" w:name="amostragem-de-garantia-de-qualidade"/>
    <w:p>
      <w:pPr>
        <w:pStyle w:val="Heading2"/>
      </w:pPr>
      <w:r>
        <w:t xml:space="preserve">8. Amostragem de garantia de qualidade</w:t>
      </w:r>
    </w:p>
    <w:p>
      <w:pPr>
        <w:pStyle w:val="FirstParagraph"/>
      </w:pPr>
      <w:r>
        <w:t xml:space="preserve">Registos periódicos de mapeamento de amostras para:</w:t>
      </w:r>
    </w:p>
    <w:p>
      <w:pPr>
        <w:numPr>
          <w:ilvl w:val="0"/>
          <w:numId w:val="1040"/>
        </w:numPr>
        <w:pStyle w:val="Compact"/>
      </w:pPr>
      <w:r>
        <w:t xml:space="preserve">versões de origem atuais;</w:t>
      </w:r>
    </w:p>
    <w:p>
      <w:pPr>
        <w:numPr>
          <w:ilvl w:val="0"/>
          <w:numId w:val="1040"/>
        </w:numPr>
        <w:pStyle w:val="Compact"/>
      </w:pPr>
      <w:r>
        <w:t xml:space="preserve">Identificadores completos;</w:t>
      </w:r>
    </w:p>
    <w:p>
      <w:pPr>
        <w:numPr>
          <w:ilvl w:val="0"/>
          <w:numId w:val="1040"/>
        </w:numPr>
        <w:pStyle w:val="Compact"/>
      </w:pPr>
      <w:r>
        <w:t xml:space="preserve">Granularidade correcta;</w:t>
      </w:r>
    </w:p>
    <w:p>
      <w:pPr>
        <w:numPr>
          <w:ilvl w:val="0"/>
          <w:numId w:val="1040"/>
        </w:numPr>
        <w:pStyle w:val="Compact"/>
      </w:pPr>
      <w:r>
        <w:t xml:space="preserve">Direção explícita e tipo de relação;</w:t>
      </w:r>
    </w:p>
    <w:p>
      <w:pPr>
        <w:numPr>
          <w:ilvl w:val="0"/>
          <w:numId w:val="1040"/>
        </w:numPr>
        <w:pStyle w:val="Compact"/>
      </w:pPr>
      <w:r>
        <w:t xml:space="preserve">Confiança suportável;</w:t>
      </w:r>
    </w:p>
    <w:p>
      <w:pPr>
        <w:numPr>
          <w:ilvl w:val="0"/>
          <w:numId w:val="1040"/>
        </w:numPr>
        <w:pStyle w:val="Compact"/>
      </w:pPr>
      <w:r>
        <w:t xml:space="preserve">Motivos e limitações;</w:t>
      </w:r>
    </w:p>
    <w:p>
      <w:pPr>
        <w:numPr>
          <w:ilvl w:val="0"/>
          <w:numId w:val="1040"/>
        </w:numPr>
        <w:pStyle w:val="Compact"/>
      </w:pPr>
      <w:r>
        <w:t xml:space="preserve">ligações válidas de execução e de provas;</w:t>
      </w:r>
    </w:p>
    <w:p>
      <w:pPr>
        <w:numPr>
          <w:ilvl w:val="0"/>
          <w:numId w:val="1040"/>
        </w:numPr>
        <w:pStyle w:val="Compact"/>
      </w:pPr>
      <w:r>
        <w:t xml:space="preserve">Revisão independente;</w:t>
      </w:r>
    </w:p>
    <w:p>
      <w:pPr>
        <w:numPr>
          <w:ilvl w:val="0"/>
          <w:numId w:val="1040"/>
        </w:numPr>
        <w:pStyle w:val="Compact"/>
      </w:pPr>
      <w:r>
        <w:t xml:space="preserve">Datas de revisão atempadas;</w:t>
      </w:r>
    </w:p>
    <w:p>
      <w:pPr>
        <w:numPr>
          <w:ilvl w:val="0"/>
          <w:numId w:val="1040"/>
        </w:numPr>
        <w:pStyle w:val="Compact"/>
      </w:pPr>
      <w:r>
        <w:t xml:space="preserve">ausência de alegações de conformidade proibidas.</w:t>
      </w:r>
    </w:p>
    <w:bookmarkEnd w:id="80"/>
    <w:bookmarkStart w:id="81" w:name="critérios-de-libertação"/>
    <w:p>
      <w:pPr>
        <w:pStyle w:val="Heading2"/>
      </w:pPr>
      <w:r>
        <w:t xml:space="preserve">9. Critérios de libertação</w:t>
      </w:r>
    </w:p>
    <w:p>
      <w:pPr>
        <w:pStyle w:val="FirstParagraph"/>
      </w:pPr>
      <w:r>
        <w:t xml:space="preserve">Uma versão de mapeamento deve falhar se:</w:t>
      </w:r>
    </w:p>
    <w:p>
      <w:pPr>
        <w:numPr>
          <w:ilvl w:val="0"/>
          <w:numId w:val="1041"/>
        </w:numPr>
        <w:pStyle w:val="Compact"/>
      </w:pPr>
      <w:r>
        <w:t xml:space="preserve">Faltam registos de origem necessários;</w:t>
      </w:r>
    </w:p>
    <w:p>
      <w:pPr>
        <w:numPr>
          <w:ilvl w:val="0"/>
          <w:numId w:val="1041"/>
        </w:numPr>
        <w:pStyle w:val="Compact"/>
      </w:pPr>
      <w:r>
        <w:t xml:space="preserve">O texto proprietário é incluído sem uma base de acesso estabelecida;</w:t>
      </w:r>
    </w:p>
    <w:p>
      <w:pPr>
        <w:numPr>
          <w:ilvl w:val="0"/>
          <w:numId w:val="1041"/>
        </w:numPr>
        <w:pStyle w:val="Compact"/>
      </w:pPr>
      <w:r>
        <w:t xml:space="preserve">As definições de relações são inconsistentes;</w:t>
      </w:r>
    </w:p>
    <w:p>
      <w:pPr>
        <w:numPr>
          <w:ilvl w:val="0"/>
          <w:numId w:val="1041"/>
        </w:numPr>
        <w:pStyle w:val="Compact"/>
      </w:pPr>
      <w:r>
        <w:t xml:space="preserve">Os mapeamentos não revistos são representados como aprovados;</w:t>
      </w:r>
    </w:p>
    <w:p>
      <w:pPr>
        <w:numPr>
          <w:ilvl w:val="0"/>
          <w:numId w:val="1041"/>
        </w:numPr>
        <w:pStyle w:val="Compact"/>
      </w:pPr>
      <w:r>
        <w:t xml:space="preserve">Substâncias não resolvidas</w:t>
      </w:r>
    </w:p>
    <w:p>
      <w:pPr>
        <w:numPr>
          <w:ilvl w:val="0"/>
          <w:numId w:val="1041"/>
        </w:numPr>
        <w:pStyle w:val="Compact"/>
      </w:pPr>
      <w:r>
        <w:t xml:space="preserve">as versões de origem são desconhecidas;</w:t>
      </w:r>
    </w:p>
    <w:p>
      <w:pPr>
        <w:numPr>
          <w:ilvl w:val="0"/>
          <w:numId w:val="1041"/>
        </w:numPr>
        <w:pStyle w:val="Compact"/>
      </w:pPr>
      <w:r>
        <w:t xml:space="preserve">Omitir a confiança ou limitações;</w:t>
      </w:r>
    </w:p>
    <w:p>
      <w:pPr>
        <w:numPr>
          <w:ilvl w:val="0"/>
          <w:numId w:val="1041"/>
        </w:numPr>
        <w:pStyle w:val="Compact"/>
      </w:pPr>
      <w:r>
        <w:t xml:space="preserve">As verificações de integridade de saída falham.</w:t>
      </w:r>
    </w:p>
    <w:bookmarkEnd w:id="81"/>
    <w:bookmarkStart w:id="82" w:name="limites-de-revisão-humana"/>
    <w:p>
      <w:pPr>
        <w:pStyle w:val="Heading2"/>
      </w:pPr>
      <w:r>
        <w:t xml:space="preserve">10. Limites de revisão humana</w:t>
      </w:r>
    </w:p>
    <w:p>
      <w:pPr>
        <w:pStyle w:val="FirstParagraph"/>
      </w:pPr>
      <w:r>
        <w:t xml:space="preserve">A automação pode verificar contagens de campos, identificadores, datas, valores necessários, referências quebradas, integridade do checksum, estrutura do documento e algumas regras de consistência. Não pode determinar equivalência jurídica, interpretar normas proprietárias com autoridade, validar nuances de língua nativa, ou substituir julgamento qualificado de auditoria e controle.</w:t>
      </w:r>
    </w:p>
    <w:bookmarkEnd w:id="82"/>
    <w:bookmarkEnd w:id="83"/>
    <w:bookmarkStart w:id="86" w:name="registo-autoritativo-de-código"/>
    <w:p>
      <w:pPr>
        <w:pStyle w:val="Heading1"/>
      </w:pPr>
      <w:r>
        <w:t xml:space="preserve">Registo Autoritativo de Código</w:t>
      </w:r>
    </w:p>
    <w:p>
      <w:pPr>
        <w:pStyle w:val="FirstParagraph"/>
      </w:pPr>
      <w:r>
        <w:t xml:space="preserve">Verificado em 1 de agosto de 2026. Este registro registra a identidade e versão da fonte; não reproduz o texto de padrões proprietários.</w:t>
      </w:r>
    </w:p>
    <w:bookmarkStart w:id="84" w:name="fontes-primárias"/>
    <w:p>
      <w:pPr>
        <w:pStyle w:val="Heading2"/>
      </w:pPr>
      <w:r>
        <w:t xml:space="preserve">Fontes primárias</w:t>
      </w:r>
    </w:p>
    <w:p>
      <w:pPr>
        <w:numPr>
          <w:ilvl w:val="0"/>
          <w:numId w:val="1042"/>
        </w:numPr>
        <w:pStyle w:val="Compact"/>
      </w:pPr>
      <w:r>
        <w:rPr>
          <w:bCs/>
          <w:b/>
        </w:rPr>
        <w:t xml:space="preserve">NIST Quadro de Cibersegurança 2.0</w:t>
      </w:r>
      <w:r>
        <w:t xml:space="preserve"> </w:t>
      </w:r>
      <w:r>
        <w:t xml:space="preserve">— Instituto Nacional de Normas e Tecnologia, publicado em fevereiro de 2024. Quadro oficial e recursos de referência: https://www.nist.gov/cyberframework</w:t>
      </w:r>
    </w:p>
    <w:p>
      <w:pPr>
        <w:numPr>
          <w:ilvl w:val="0"/>
          <w:numId w:val="1042"/>
        </w:numPr>
        <w:pStyle w:val="Compact"/>
      </w:pPr>
      <w:r>
        <w:rPr>
          <w:bCs/>
          <w:b/>
        </w:rPr>
        <w:t xml:space="preserve">NIST SP 800-53 Rev. 5, Release 5.2.0</w:t>
      </w:r>
      <w:r>
        <w:t xml:space="preserve"> </w:t>
      </w:r>
      <w:r>
        <w:t xml:space="preserve">—</w:t>
      </w:r>
      <w:r>
        <w:t xml:space="preserve"> </w:t>
      </w:r>
      <w:r>
        <w:rPr>
          <w:iCs/>
          <w:i/>
        </w:rPr>
        <w:t xml:space="preserve">Controles de Segurança e Privacidade para Sistemas de Informação e Organizações</w:t>
      </w:r>
      <w:r>
        <w:t xml:space="preserve">. NIST Nota de planejamento datada de 27 de agosto de 2025 registros Lançamento 5.2.0: https://csrc.nist.gov/pubs/sp/800/53/r5/upd1/final</w:t>
      </w:r>
    </w:p>
    <w:p>
      <w:pPr>
        <w:numPr>
          <w:ilvl w:val="0"/>
          <w:numId w:val="1042"/>
        </w:numPr>
        <w:pStyle w:val="Compact"/>
      </w:pPr>
      <w:r>
        <w:rPr>
          <w:bCs/>
          <w:b/>
        </w:rPr>
        <w:t xml:space="preserve">CIS Controles de segurança críticos v8.1</w:t>
      </w:r>
      <w:r>
        <w:t xml:space="preserve"> </w:t>
      </w:r>
      <w:r>
        <w:t xml:space="preserve">— Centro de Segurança da Internet. Página oficial v8.1 e materiais para download: https://www.cisecurity.org/controls/v8-1</w:t>
      </w:r>
    </w:p>
    <w:p>
      <w:pPr>
        <w:numPr>
          <w:ilvl w:val="0"/>
          <w:numId w:val="1042"/>
        </w:numPr>
        <w:pStyle w:val="Compact"/>
      </w:pPr>
      <w:r>
        <w:rPr>
          <w:bCs/>
          <w:b/>
        </w:rPr>
        <w:t xml:space="preserve">CIS Navegador de Controles v8.1</w:t>
      </w:r>
      <w:r>
        <w:t xml:space="preserve"> </w:t>
      </w:r>
      <w:r>
        <w:t xml:space="preserve">— recurso oficial de mapeamento interativo: https://www.cisecurity.org/controls/cis-controls-navigator</w:t>
      </w:r>
    </w:p>
    <w:p>
      <w:pPr>
        <w:numPr>
          <w:ilvl w:val="0"/>
          <w:numId w:val="1042"/>
        </w:numPr>
        <w:pStyle w:val="Compact"/>
      </w:pPr>
      <w:r>
        <w:rPr>
          <w:bCs/>
          <w:b/>
        </w:rPr>
        <w:t xml:space="preserve">ISO/IEC 27001:2022</w:t>
      </w:r>
      <w:r>
        <w:t xml:space="preserve"> </w:t>
      </w:r>
      <w:r>
        <w:t xml:space="preserve">—</w:t>
      </w:r>
      <w:r>
        <w:t xml:space="preserve"> </w:t>
      </w:r>
      <w:r>
        <w:rPr>
          <w:iCs/>
          <w:i/>
        </w:rPr>
        <w:t xml:space="preserve">Sistemas de gestão da segurança da informação — Requisitos</w:t>
      </w:r>
      <w:r>
        <w:t xml:space="preserve">. Página oficial do ciclo de vida ISO: https://www.iso.org/standard/27001.html</w:t>
      </w:r>
    </w:p>
    <w:p>
      <w:pPr>
        <w:numPr>
          <w:ilvl w:val="0"/>
          <w:numId w:val="1042"/>
        </w:numPr>
        <w:pStyle w:val="Compact"/>
      </w:pPr>
      <w:r>
        <w:rPr>
          <w:bCs/>
          <w:b/>
        </w:rPr>
        <w:t xml:space="preserve">ISO/IEC 27001:2022/Amd 1:2024</w:t>
      </w:r>
      <w:r>
        <w:t xml:space="preserve"> </w:t>
      </w:r>
      <w:r>
        <w:t xml:space="preserve">— Alteração da acção climática, publicada em Fevereiro de 2024: https://www.iso.org/standard/88435.html</w:t>
      </w:r>
    </w:p>
    <w:p>
      <w:pPr>
        <w:numPr>
          <w:ilvl w:val="0"/>
          <w:numId w:val="1042"/>
        </w:numPr>
        <w:pStyle w:val="Compact"/>
      </w:pPr>
      <w:r>
        <w:rPr>
          <w:bCs/>
          <w:b/>
        </w:rPr>
        <w:t xml:space="preserve">PCI DSS v4.0.1</w:t>
      </w:r>
      <w:r>
        <w:t xml:space="preserve"> </w:t>
      </w:r>
      <w:r>
        <w:t xml:space="preserve">— Biblioteca de documentos PCI Security Standards Council, junho de 2024: https://www.pcisecuritystandards.org/document_library/?class=pcidss&amp;doc=pci_dss</w:t>
      </w:r>
    </w:p>
    <w:p>
      <w:pPr>
        <w:numPr>
          <w:ilvl w:val="0"/>
          <w:numId w:val="1042"/>
        </w:numPr>
        <w:pStyle w:val="Compact"/>
      </w:pPr>
      <w:r>
        <w:rPr>
          <w:bCs/>
          <w:b/>
        </w:rPr>
        <w:t xml:space="preserve">HIPAA Regra de Segurança</w:t>
      </w:r>
      <w:r>
        <w:t xml:space="preserve"> </w:t>
      </w:r>
      <w:r>
        <w:t xml:space="preserve">— Departamento de Saúde e Serviços Humanos dos EUA, regra atual em 45 CFR Parte 160 e Parte 164, subpartes A e C: https://www.hhs.gov/hipaa/for-professionals/security/index.html</w:t>
      </w:r>
    </w:p>
    <w:p>
      <w:pPr>
        <w:numPr>
          <w:ilvl w:val="0"/>
          <w:numId w:val="1042"/>
        </w:numPr>
        <w:pStyle w:val="Compact"/>
      </w:pPr>
      <w:r>
        <w:rPr>
          <w:bCs/>
          <w:b/>
        </w:rPr>
        <w:t xml:space="preserve">Regulamento (UE) 2016/679 (GDPR)</w:t>
      </w:r>
      <w:r>
        <w:t xml:space="preserve"> </w:t>
      </w:r>
      <w:r>
        <w:t xml:space="preserve">— texto oficial consolidado do regulamento: https://eur-lex.europa.eu/eli/reg/2016/679/oj</w:t>
      </w:r>
    </w:p>
    <w:bookmarkEnd w:id="84"/>
    <w:bookmarkStart w:id="85" w:name="controlos-de-utilização-da-fonte"/>
    <w:p>
      <w:pPr>
        <w:pStyle w:val="Heading2"/>
      </w:pPr>
      <w:r>
        <w:t xml:space="preserve">Controlos de utilização da fonte</w:t>
      </w:r>
    </w:p>
    <w:p>
      <w:pPr>
        <w:numPr>
          <w:ilvl w:val="0"/>
          <w:numId w:val="1043"/>
        </w:numPr>
        <w:pStyle w:val="Compact"/>
      </w:pPr>
      <w:r>
        <w:t xml:space="preserve">Verifique as versões de origem antes de criar ou aprovar um mapeamento.</w:t>
      </w:r>
    </w:p>
    <w:p>
      <w:pPr>
        <w:numPr>
          <w:ilvl w:val="0"/>
          <w:numId w:val="1043"/>
        </w:numPr>
        <w:pStyle w:val="Compact"/>
      </w:pPr>
      <w:r>
        <w:t xml:space="preserve">Mantenha o identificador de origem, título, editor, versão, data de publicação, data de recuperação e local autorizado.</w:t>
      </w:r>
    </w:p>
    <w:p>
      <w:pPr>
        <w:numPr>
          <w:ilvl w:val="0"/>
          <w:numId w:val="1043"/>
        </w:numPr>
        <w:pStyle w:val="Compact"/>
      </w:pPr>
      <w:r>
        <w:t xml:space="preserve">Use cópias licenciadas onde um padrão não é livremente reprodutível.</w:t>
      </w:r>
    </w:p>
    <w:p>
      <w:pPr>
        <w:numPr>
          <w:ilvl w:val="0"/>
          <w:numId w:val="1043"/>
        </w:numPr>
        <w:pStyle w:val="Compact"/>
      </w:pPr>
      <w:r>
        <w:t xml:space="preserve">Gravar resumos escritos pela organização separadamente do texto oficial de origem.</w:t>
      </w:r>
    </w:p>
    <w:p>
      <w:pPr>
        <w:numPr>
          <w:ilvl w:val="0"/>
          <w:numId w:val="1043"/>
        </w:numPr>
        <w:pStyle w:val="Compact"/>
      </w:pPr>
      <w:r>
        <w:t xml:space="preserve">Não infer equivalência apenas porque dois requisitos usam palavras semelhantes.</w:t>
      </w:r>
    </w:p>
    <w:p>
      <w:pPr>
        <w:numPr>
          <w:ilvl w:val="0"/>
          <w:numId w:val="1043"/>
        </w:numPr>
        <w:pStyle w:val="Compact"/>
      </w:pPr>
      <w:r>
        <w:t xml:space="preserve">Reveja mapeamentos quando a fonte mudar ou quando o escopo de implementação mudar.</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Prático de Mapeamento de Controles e Crosswalks</dc:title>
  <dc:creator>Alberto Al Leiva</dc:creator>
  <dc:language>pt-BR</dc:language>
  <dc:subject>GRC, mapeamento de controles, crosswalks, segurança cibernética, privacidade, auditoria e conformidade</dc:subject>
  <cp:keywords/>
  <dcterms:created xsi:type="dcterms:W3CDTF">2026-08-01T19:16:45Z</dcterms:created>
  <dcterms:modified xsi:type="dcterms:W3CDTF">2026-08-01T19:16:45Z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de agosto de 2026</vt:lpwstr>
  </property>
  <property fmtid="{D5CDD505-2E9C-101B-9397-08002B2CF9AE}" pid="3" name="rights">
    <vt:lpwstr>CC BY-NC-SA 4.0, salvo indicação em contrário no arquivo</vt:lpwstr>
  </property>
  <property fmtid="{D5CDD505-2E9C-101B-9397-08002B2CF9AE}" pid="4" name="status">
    <vt:lpwstr>Candidato de publicação assistido por máquina; não é apresentado como revisão linguística nativa, equivalência jurídica nem assessoria de auditoria.</vt:lpwstr>
  </property>
</Properties>
</file>