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16 — Implementação Controlada ISO/IEC 27001 / 27002</w:t>
      </w:r>
    </w:p>
    <w:p>
      <w:r>
        <w:rPr>
          <w:b/>
        </w:rPr>
        <w:t>Edição controlada pt-BR — candidata de desenvolvimento</w:t>
      </w:r>
    </w:p>
    <w:p>
      <w:pPr>
        <w:spacing w:after="120"/>
      </w:pPr>
      <w:r>
        <w:t>**Ordem da série:** 16</w:t>
      </w:r>
    </w:p>
    <w:p>
      <w:pPr>
        <w:spacing w:after="120"/>
      </w:pPr>
      <w:r>
        <w:t>**Fonte inglesa congelada:** `controlled/en/MANUAL_16_CONTROLLED_EN.md`</w:t>
      </w:r>
    </w:p>
    <w:p>
      <w:pPr>
        <w:spacing w:after="120"/>
      </w:pPr>
      <w:r>
        <w:t>**SHA do blob-fonte:** `0a4d1e84cf4844be1685287a441392b7a1fa6c25`</w:t>
      </w:r>
    </w:p>
    <w:p>
      <w:pPr>
        <w:spacing w:after="120"/>
      </w:pPr>
      <w:r>
        <w:t>**Linha de base autoritativa:** ISO/IEC 27001:2022; ISO/IEC 27001:2022/Amd 1:2024; ISO/IEC 27002:2022</w:t>
      </w:r>
    </w:p>
    <w:p>
      <w:pPr>
        <w:pStyle w:val="Heading2"/>
      </w:pPr>
      <w:r>
        <w:t>Limite de publicação e padrões</w:t>
      </w:r>
    </w:p>
    <w:p>
      <w:pPr>
        <w:spacing w:after="120"/>
      </w:pPr>
      <w:r>
        <w:t>Este é um manual independente de implementação. Não é uma publicação da ISO, não reproduz texto protegido de cláusulas ou controles ISO/IEC, não concede certificação e não substitui normas licenciadas. A ISO/IEC 27001 contém requisitos para um SGSI; a ISO/IEC 27002 fornece orientação para implementação de controles. Decisões sobre Declaração de Aplicabilidade, tratamento de riscos, auditoria, certificação e conformidade dependem do contexto e exigem evidência competente e julgamento profissional apropriado.</w:t>
      </w:r>
    </w:p>
    <w:p>
      <w:pPr>
        <w:pStyle w:val="Heading2"/>
      </w:pPr>
      <w:r>
        <w:t>Capítulo 1 — Propósito, governança e modelo operacional do SGSI</w:t>
      </w:r>
    </w:p>
    <w:p>
      <w:pPr>
        <w:spacing w:after="120"/>
      </w:pPr>
      <w:r>
        <w:t>Defina por que o SGSI existe, quais resultados de negócio protege e como a governança converte objetivos de segurança em decisões operacionais com responsáveis claros. Designe patrocinador executivo, proprietário do SGSI, proprietários de risco, proprietários de controles e custodiante de evidências.</w:t>
      </w:r>
    </w:p>
    <w:p>
      <w:pPr>
        <w:pStyle w:val="Heading2"/>
      </w:pPr>
      <w:r>
        <w:t>Capítulo 2 — Contexto organizacional e partes interessadas</w:t>
      </w:r>
    </w:p>
    <w:p>
      <w:pPr>
        <w:spacing w:after="120"/>
      </w:pPr>
      <w:r>
        <w:t>Identifique condições internas e externas que possam afetar os resultados de segurança da informação. Mantenha registro de contexto cobrindo estratégia, tecnologia, fornecedores, obrigações legais, ameaças e condições físicas materiais. Documente a análise de relevância climática sem presumir materialidade automática.</w:t>
      </w:r>
    </w:p>
    <w:p>
      <w:pPr>
        <w:pStyle w:val="Heading2"/>
      </w:pPr>
      <w:r>
        <w:t>Capítulo 3 — Escopo e limites do SGSI</w:t>
      </w:r>
    </w:p>
    <w:p>
      <w:pPr>
        <w:spacing w:after="120"/>
      </w:pPr>
      <w:r>
        <w:t>Defina escopo compreensível, defensável e operacionalmente real. Identifique entidades, serviços, locais, aplicações, nuvem, redes, pessoas, fornecedores e fluxos de informação incluídos. Registre interfaces, dependências e exclusões justificadas.</w:t>
      </w:r>
    </w:p>
    <w:p>
      <w:pPr>
        <w:pStyle w:val="Heading2"/>
      </w:pPr>
      <w:r>
        <w:t>Capítulo 4 — Liderança, política e responsabilização</w:t>
      </w:r>
    </w:p>
    <w:p>
      <w:pPr>
        <w:spacing w:after="120"/>
      </w:pPr>
      <w:r>
        <w:t>A alta administração deve estabelecer direção, aprovar a política de segurança, atribuir responsabilidades e assegurar autoridade e recursos suficientes. Converta compromissos em objetivos mensuráveis e decisões registradas.</w:t>
      </w:r>
    </w:p>
    <w:p>
      <w:pPr>
        <w:pStyle w:val="Heading2"/>
      </w:pPr>
      <w:r>
        <w:t>Capítulo 5 — Funções, responsabilidades e segregação</w:t>
      </w:r>
    </w:p>
    <w:p>
      <w:pPr>
        <w:spacing w:after="120"/>
      </w:pPr>
      <w:r>
        <w:t>Documente quem possui riscos, opera controles, revisa evidências, aprova exceções e executa garantia independente. Evite combinações incompatíveis de acesso, aprovação e revisão quando criarem risco inaceitável.</w:t>
      </w:r>
    </w:p>
    <w:p>
      <w:pPr>
        <w:pStyle w:val="Heading2"/>
      </w:pPr>
      <w:r>
        <w:t>Capítulo 6 — Metodologia de avaliação de riscos</w:t>
      </w:r>
    </w:p>
    <w:p>
      <w:pPr>
        <w:spacing w:after="120"/>
      </w:pPr>
      <w:r>
        <w:t>Defina critérios repetíveis para identificar, analisar e avaliar riscos. Especifique ativos ou serviços, ameaças e vulnerabilidades, escalas de probabilidade e impacto, risco inerente e residual, autoridade de aceitação e gatilhos de reavaliação.</w:t>
      </w:r>
    </w:p>
    <w:p>
      <w:pPr>
        <w:pStyle w:val="Heading2"/>
      </w:pPr>
      <w:r>
        <w:t>Capítulo 7 — Tratamento e aceitação de riscos</w:t>
      </w:r>
    </w:p>
    <w:p>
      <w:pPr>
        <w:spacing w:after="120"/>
      </w:pPr>
      <w:r>
        <w:t>Para cada risco material, selecione estratégia de tratamento, vincule ações a objetivos de controle, responsáveis, prazos e evidências e avalie explicitamente o risco residual. A aceitação deve ser feita por autoridade definida.</w:t>
      </w:r>
    </w:p>
    <w:p>
      <w:pPr>
        <w:pStyle w:val="Heading2"/>
      </w:pPr>
      <w:r>
        <w:t>Capítulo 8 — Governança da Declaração de Aplicabilidade</w:t>
      </w:r>
    </w:p>
    <w:p>
      <w:pPr>
        <w:spacing w:after="120"/>
      </w:pPr>
      <w:r>
        <w:t>Use a Declaração de Aplicabilidade como registro de governança que conecta riscos e obrigações aos controles necessários. Não trate o Anexo A como checklist universal obrigatório. Registre justificativas de inclusão ou exclusão, status e evidências.</w:t>
      </w:r>
    </w:p>
    <w:p>
      <w:pPr>
        <w:pStyle w:val="Heading2"/>
      </w:pPr>
      <w:r>
        <w:t>Capítulo 9 — Objetivos de segurança da informação e planejamento</w:t>
      </w:r>
    </w:p>
    <w:p>
      <w:pPr>
        <w:spacing w:after="120"/>
      </w:pPr>
      <w:r>
        <w:t>Defina objetivos mensuráveis alinhados à política e ao contexto. Cada objetivo deve ter proprietário, métrica, meta, frequência ou prazo e fonte de evidência.</w:t>
      </w:r>
    </w:p>
    <w:p>
      <w:pPr>
        <w:pStyle w:val="Heading2"/>
      </w:pPr>
      <w:r>
        <w:t>Capítulo 10 — Recursos, competência e conscientização</w:t>
      </w:r>
    </w:p>
    <w:p>
      <w:pPr>
        <w:spacing w:after="120"/>
      </w:pPr>
      <w:r>
        <w:t>Identifique pessoas, orçamento, ferramentas, infraestrutura e conhecimento necessários. Defina competência por função e preserve evidências adequadas. A conscientização deve cobrir políticas, comportamento esperado, incidentes e obrigações específicas.</w:t>
      </w:r>
    </w:p>
    <w:p>
      <w:pPr>
        <w:pStyle w:val="Heading2"/>
      </w:pPr>
      <w:r>
        <w:t>Capítulo 11 — Comunicações e informação documentada</w:t>
      </w:r>
    </w:p>
    <w:p>
      <w:pPr>
        <w:spacing w:after="120"/>
      </w:pPr>
      <w:r>
        <w:t>Defina o que deve ser comunicado, a quem, quando e por qual canal. Controle documentos e registros por propriedade, versão, aprovação, retenção e acesso. Diferencie registros autoritativos de notas de trabalho.</w:t>
      </w:r>
    </w:p>
    <w:p>
      <w:pPr>
        <w:pStyle w:val="Heading2"/>
      </w:pPr>
      <w:r>
        <w:t>Capítulo 12 — Planejamento e controle operacional</w:t>
      </w:r>
    </w:p>
    <w:p>
      <w:pPr>
        <w:spacing w:after="120"/>
      </w:pPr>
      <w:r>
        <w:t>Converta decisões de tratamento em procedimentos repetíveis com gatilhos, responsáveis, frequência, evidência, exceções e escalonamento. Integre controles com mudança, serviços, engenharia e operações normais.</w:t>
      </w:r>
    </w:p>
    <w:p>
      <w:pPr>
        <w:pStyle w:val="Heading2"/>
      </w:pPr>
      <w:r>
        <w:t>Capítulo 13 — Governança de ativos e classificação da informação</w:t>
      </w:r>
    </w:p>
    <w:p>
      <w:pPr>
        <w:spacing w:after="120"/>
      </w:pPr>
      <w:r>
        <w:t>Mantenha inventários atuais de informações, sistemas, serviços, dispositivos, repositórios e dependências críticas. Atribua propriedade e classificação conforme sensibilidade, obrigações e impacto.</w:t>
      </w:r>
    </w:p>
    <w:p>
      <w:pPr>
        <w:pStyle w:val="Heading2"/>
      </w:pPr>
      <w:r>
        <w:t>Capítulo 14 — Gestão de identidade e acesso</w:t>
      </w:r>
    </w:p>
    <w:p>
      <w:pPr>
        <w:spacing w:after="120"/>
      </w:pPr>
      <w:r>
        <w:t>Defina o ciclo de vida de identidades da admissão ao desligamento. Aplique menor privilégio, acesso compatível com função, revisões periódicas e revogação tempestiva. Preserve rastreabilidade das decisões.</w:t>
      </w:r>
    </w:p>
    <w:p>
      <w:pPr>
        <w:pStyle w:val="Heading2"/>
      </w:pPr>
      <w:r>
        <w:t>Capítulo 15 — Acesso privilegiado e autenticação</w:t>
      </w:r>
    </w:p>
    <w:p>
      <w:pPr>
        <w:spacing w:after="120"/>
      </w:pPr>
      <w:r>
        <w:t>Aplique governança reforçada a acessos administrativos e de alto impacto. Use autenticação apropriada, limite privilégios permanentes quando viável, monitore atividades e governe exceções.</w:t>
      </w:r>
    </w:p>
    <w:p>
      <w:pPr>
        <w:pStyle w:val="Heading2"/>
      </w:pPr>
      <w:r>
        <w:t>Capítulo 16 — Criptografia e gestão de chaves</w:t>
      </w:r>
    </w:p>
    <w:p>
      <w:pPr>
        <w:spacing w:after="120"/>
      </w:pPr>
      <w:r>
        <w:t>Defina quando proteção criptográfica é necessária segundo risco, obrigações e classificação. Governe algoritmos, protocolos, certificados e todo o ciclo de vida de chaves.</w:t>
      </w:r>
    </w:p>
    <w:p>
      <w:pPr>
        <w:pStyle w:val="Heading2"/>
      </w:pPr>
      <w:r>
        <w:t>Capítulo 17 — Segurança física e ambiental</w:t>
      </w:r>
    </w:p>
    <w:p>
      <w:pPr>
        <w:spacing w:after="120"/>
      </w:pPr>
      <w:r>
        <w:t>Proteja instalações, equipamentos e mídias segundo criticidade e risco. Defina acesso físico, visitantes, monitoramento, áreas seguras, controles ambientais e descarte seguro.</w:t>
      </w:r>
    </w:p>
    <w:p>
      <w:pPr>
        <w:pStyle w:val="Heading2"/>
      </w:pPr>
      <w:r>
        <w:t>Capítulo 18 — Operações, logs e monitoramento</w:t>
      </w:r>
    </w:p>
    <w:p>
      <w:pPr>
        <w:spacing w:after="120"/>
      </w:pPr>
      <w:r>
        <w:t>Estabeleça procedimentos operacionais controlados. Defina logging, sincronização de tempo, proteção de registros, casos de uso de monitoramento, responsáveis, retenção e escalonamento. Teste geração e revisão de eventos críticos.</w:t>
      </w:r>
    </w:p>
    <w:p>
      <w:pPr>
        <w:pStyle w:val="Heading2"/>
      </w:pPr>
      <w:r>
        <w:t>Capítulo 19 — Gestão de vulnerabilidades e configuração</w:t>
      </w:r>
    </w:p>
    <w:p>
      <w:pPr>
        <w:spacing w:after="120"/>
      </w:pPr>
      <w:r>
        <w:t>Mantenha baselines seguras e processo repetível para identificar, priorizar e remediar vulnerabilidades. Use risco, explorabilidade, exposição e criticidade para definir prioridade e governe exceções.</w:t>
      </w:r>
    </w:p>
    <w:p>
      <w:pPr>
        <w:pStyle w:val="Heading2"/>
      </w:pPr>
      <w:r>
        <w:t>Capítulo 20 — Desenvolvimento seguro e gestão de mudanças</w:t>
      </w:r>
    </w:p>
    <w:p>
      <w:pPr>
        <w:spacing w:after="120"/>
      </w:pPr>
      <w:r>
        <w:t>Integre segurança em aquisição, desenvolvimento e mudança. Defina revisão de arquitetura, código ou configuração, testes, dependências, segredos e aprovação de release conforme risco.</w:t>
      </w:r>
    </w:p>
    <w:p>
      <w:pPr>
        <w:pStyle w:val="Heading2"/>
      </w:pPr>
      <w:r>
        <w:t>Capítulo 21 — Segurança de fornecedores e terceiros</w:t>
      </w:r>
    </w:p>
    <w:p>
      <w:pPr>
        <w:spacing w:after="120"/>
      </w:pPr>
      <w:r>
        <w:t>Classifique fornecedores por acesso, criticidade, conectividade e concentração. Defina due diligence, requisitos contratuais, monitoramento, incidentes, subcontratação e término. Acompanhe achados até a remediação.</w:t>
      </w:r>
    </w:p>
    <w:p>
      <w:pPr>
        <w:pStyle w:val="Heading2"/>
      </w:pPr>
      <w:r>
        <w:t>Capítulo 22 — Nuvem e responsabilidade compartilhada</w:t>
      </w:r>
    </w:p>
    <w:p>
      <w:pPr>
        <w:spacing w:after="120"/>
      </w:pPr>
      <w:r>
        <w:t>Documente o modelo de responsabilidade compartilhada para cada serviço de nuvem. Governe identidades, configuração, criptografia, logs, redes, resiliência e backup. Não suponha que certificação do provedor elimine responsabilidades do cliente.</w:t>
      </w:r>
    </w:p>
    <w:p>
      <w:pPr>
        <w:pStyle w:val="Heading2"/>
      </w:pPr>
      <w:r>
        <w:t>Capítulo 23 — Gestão de incidentes e evidências</w:t>
      </w:r>
    </w:p>
    <w:p>
      <w:pPr>
        <w:spacing w:after="120"/>
      </w:pPr>
      <w:r>
        <w:t>Defina preparação, detecção, triagem, contenção, erradicação, recuperação, comunicação e lições aprendidas. Estabeleça severidade, funções, escalonamento e preservação de evidências.</w:t>
      </w:r>
    </w:p>
    <w:p>
      <w:pPr>
        <w:pStyle w:val="Heading2"/>
      </w:pPr>
      <w:r>
        <w:t>Capítulo 24 — Continuidade e resiliência</w:t>
      </w:r>
    </w:p>
    <w:p>
      <w:pPr>
        <w:spacing w:after="120"/>
      </w:pPr>
      <w:r>
        <w:t>Identifique dependências de segurança que suportam serviços críticos. Defina objetivos de recuperação, backup, alternativas, comunicações e requisitos de segurança durante interrupções. Teste cenários e remedie fraquezas.</w:t>
      </w:r>
    </w:p>
    <w:p>
      <w:pPr>
        <w:pStyle w:val="Heading2"/>
      </w:pPr>
      <w:r>
        <w:t>Capítulo 25 — Interfaces de privacidade e regulação</w:t>
      </w:r>
    </w:p>
    <w:p>
      <w:pPr>
        <w:spacing w:after="120"/>
      </w:pPr>
      <w:r>
        <w:t>Identifique onde privacidade, regulação setorial, compromissos contratuais ou leis locais afetam controles do SGSI. Mantenha registro de obrigações e vincule-as a políticas, riscos, controles, evidências e monitoramento.</w:t>
      </w:r>
    </w:p>
    <w:p>
      <w:pPr>
        <w:pStyle w:val="Heading2"/>
      </w:pPr>
      <w:r>
        <w:t>Capítulo 26 — Monitoramento, medição e efetividade de controles</w:t>
      </w:r>
    </w:p>
    <w:p>
      <w:pPr>
        <w:spacing w:after="120"/>
      </w:pPr>
      <w:r>
        <w:t>Defina métricas que mostrem se o SGSI e seus controles operam como esperado. Cada métrica deve ter proprietário, regra de cálculo, fonte, meta e limiar. Combine indicadores com testes de controle e tendências.</w:t>
      </w:r>
    </w:p>
    <w:p>
      <w:pPr>
        <w:pStyle w:val="Heading2"/>
      </w:pPr>
      <w:r>
        <w:t>Capítulo 27 — Preparação para auditoria interna</w:t>
      </w:r>
    </w:p>
    <w:p>
      <w:pPr>
        <w:spacing w:after="120"/>
      </w:pPr>
      <w:r>
        <w:t>Mantenha programa de auditoria baseado em escopo, risco, achados prévios e mudanças materiais. Assegure objetividade e competência. Defina critérios, população, amostragem, evidências, achados e acompanhamento.</w:t>
      </w:r>
    </w:p>
    <w:p>
      <w:pPr>
        <w:pStyle w:val="Heading2"/>
      </w:pPr>
      <w:r>
        <w:t>Capítulo 28 — Análise crítica pela direção</w:t>
      </w:r>
    </w:p>
    <w:p>
      <w:pPr>
        <w:spacing w:after="120"/>
      </w:pPr>
      <w:r>
        <w:t>Forneça à liderança revisão estruturada da adequação e eficácia do SGSI. Inclua auditorias, objetivos, riscos, incidentes, fornecedores, recursos, desempenho de controles, mudanças e oportunidades de melhoria.</w:t>
      </w:r>
    </w:p>
    <w:p>
      <w:pPr>
        <w:pStyle w:val="Heading2"/>
      </w:pPr>
      <w:r>
        <w:t>Capítulo 29 — Não conformidade, ação corretiva e remediação</w:t>
      </w:r>
    </w:p>
    <w:p>
      <w:pPr>
        <w:spacing w:after="120"/>
      </w:pPr>
      <w:r>
        <w:t>Quando requisitos ou processos não forem atendidos, registre o problema, contenha efeitos, identifique causa raiz, defina ação corretiva, atribua responsável e verifique eficácia. Não encerre achados apenas por existir plano.</w:t>
      </w:r>
    </w:p>
    <w:p>
      <w:pPr>
        <w:pStyle w:val="Heading2"/>
      </w:pPr>
      <w:r>
        <w:t>Capítulo 30 — Melhoria contínua e gatilhos de mudança</w:t>
      </w:r>
    </w:p>
    <w:p>
      <w:pPr>
        <w:spacing w:after="120"/>
      </w:pPr>
      <w:r>
        <w:t>Use incidentes, auditorias, métricas, mudanças tecnológicas, inteligência de ameaças, mudanças de negócio e lições aprendidas para melhorar o SGSI. Defina gatilhos formais de reavaliação.</w:t>
      </w:r>
    </w:p>
    <w:p>
      <w:pPr>
        <w:pStyle w:val="Heading2"/>
      </w:pPr>
      <w:r>
        <w:t>Capítulo 31 — Arquitetura de evidências, caminhos de implementação e maturidade</w:t>
      </w:r>
    </w:p>
    <w:p>
      <w:pPr>
        <w:spacing w:after="120"/>
      </w:pPr>
      <w:r>
        <w:t>Para cada objetivo material, mantenha cadeia rastreável: requisito ou risco, objetivo de controle, atividade, proprietário, frequência ou gatilho, fonte de evidência, revisor, exceção e gatilho de mudança. Diferencie evidência de desenho da evidência operacional.</w:t>
      </w:r>
    </w:p>
    <w:p>
      <w:pPr>
        <w:pStyle w:val="Heading2"/>
      </w:pPr>
      <w:r>
        <w:t>Capítulo 32 — Release, localização, proveniência e reavaliação</w:t>
      </w:r>
    </w:p>
    <w:p>
      <w:pPr>
        <w:spacing w:after="120"/>
      </w:pPr>
      <w:r>
        <w:t>A edição pt-BR deriva exclusivamente da fonte inglesa congelada identificada acima. Antes da publicação, verifique paridade estrutural e semântica, gere DOCX/PDF, execute QA de conteúdo, renderização, acessibilidade e visual, registre SHA-256, proveniência e resultados de workflows e coloque os binários exatos em `main` antes de promover catálogo ou registro de release.</w:t>
      </w:r>
    </w:p>
    <w:p>
      <w:pPr>
        <w:pStyle w:val="Heading2"/>
      </w:pPr>
      <w:r>
        <w:t>Modelo de evidência controlada</w:t>
      </w:r>
    </w:p>
    <w:p>
      <w:r>
        <w:rPr>
          <w:rFonts w:ascii="Liberation Mono" w:hAnsi="Liberation Mono"/>
        </w:rPr>
        <w:t>contexto/requisito → risco → objetivo de controle → atividade de implementação → proprietário → frequência/gatilho → população → evidência → teste/revisão → exceção/remediação → gatilho de reavaliação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