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34 — Implementação controlada de Gestão de Informações de Privacidade ISO/IEC 27701:2025</w:t>
      </w:r>
    </w:p>
    <w:p>
      <w:pPr>
        <w:spacing w:after="120"/>
      </w:pPr>
      <w:r>
        <w:t>**Idioma:** Português do Brasil (pt-BR) — tradução não oficial do projeto.</w:t>
      </w:r>
    </w:p>
    <w:p>
      <w:pPr>
        <w:spacing w:after="120"/>
      </w:pPr>
      <w:r>
        <w:t>**Baseline:** ISO/IEC 27701:2025, Edição 2. O texto normativo protegido da ISO não é reproduzido.</w:t>
      </w:r>
    </w:p>
    <w:p>
      <w:pPr>
        <w:spacing w:after="120"/>
      </w:pPr>
      <w:r>
        <w:t>**Limite:** esta orientação de implementação não estabelece, por si só, certificação ou conformidade legal.</w:t>
      </w:r>
    </w:p>
    <w:p>
      <w:pPr>
        <w:pStyle w:val="Heading2"/>
      </w:pPr>
      <w:r>
        <w:t>Chapter 01 — Propósito, escopo e hierarquia controlada de fontes</w:t>
      </w:r>
    </w:p>
    <w:p>
      <w:pPr>
        <w:spacing w:after="120"/>
      </w:pPr>
      <w:r>
        <w:t>Defina o objetivo do PIMS, limites organizacionais, classes de informação, produtos, serviços, entidades jurídicas, jurisdições e interfaces. Mantenha separados os conceitos da ISO/IEC 27701:2025, a integração com ISO/IEC 27001/27002, leis vinculantes, orientações regulatórias, contratos e procedimentos internos.</w:t>
      </w:r>
    </w:p>
    <w:p>
      <w:pPr>
        <w:spacing w:after="120"/>
      </w:pPr>
      <w:r>
        <w:t>**Controles de implementação:** aprovar escopo, exclusões, interfaces e responsáveis por fontes; datar cada reverificação.</w:t>
      </w:r>
    </w:p>
    <w:p>
      <w:pPr>
        <w:spacing w:after="120"/>
      </w:pPr>
      <w:r>
        <w:t>**Evidência:** escopo aprovado, registro de fontes, aplicabilidade e log de verificação.</w:t>
      </w:r>
    </w:p>
    <w:p>
      <w:pPr>
        <w:pStyle w:val="Heading2"/>
      </w:pPr>
      <w:r>
        <w:t>Chapter 02 — Contexto do PIMS e limites organizacionais</w:t>
      </w:r>
    </w:p>
    <w:p>
      <w:pPr>
        <w:spacing w:after="120"/>
      </w:pPr>
      <w:r>
        <w:t>Documente condições internas e externas que afetam a gestão de privacidade, incluindo modelo de negócio, escala de tratamento, sensibilidade, tecnologia, outsourcing, geografia e expectativas de stakeholders. Converta o contexto em premissas explícitas de projeto e gatilhos de revisão.</w:t>
      </w:r>
    </w:p>
    <w:p>
      <w:pPr>
        <w:spacing w:after="120"/>
      </w:pPr>
      <w:r>
        <w:t>**Controles:** revisão pelo menos anual e após mudanças materiais; vincular mudanças a risco e escopo.</w:t>
      </w:r>
    </w:p>
    <w:p>
      <w:pPr>
        <w:spacing w:after="120"/>
      </w:pPr>
      <w:r>
        <w:t>**Evidência:** avaliação de contexto, diagrama de limites, log de mudanças e aprovação.</w:t>
      </w:r>
    </w:p>
    <w:p>
      <w:pPr>
        <w:pStyle w:val="Heading2"/>
      </w:pPr>
      <w:r>
        <w:t>Chapter 03 — Partes interessadas e inventário de requisitos de privacidade</w:t>
      </w:r>
    </w:p>
    <w:p>
      <w:pPr>
        <w:spacing w:after="120"/>
      </w:pPr>
      <w:r>
        <w:t>Identifique titulares, clientes, reguladores, colaboradores, fornecedores, parceiros, auditores e outras partes relevantes. Traduza requisitos aplicáveis em obrigações controladas sem tratar toda expectativa como lei.</w:t>
      </w:r>
    </w:p>
    <w:p>
      <w:pPr>
        <w:spacing w:after="120"/>
      </w:pPr>
      <w:r>
        <w:t>**Controles:** manter responsável, fonte, aplicabilidade, status e evidência.</w:t>
      </w:r>
    </w:p>
    <w:p>
      <w:pPr>
        <w:spacing w:after="120"/>
      </w:pPr>
      <w:r>
        <w:t>**Evidência:** registro de partes interessadas, inventário de requisitos e matriz de rastreabilidade.</w:t>
      </w:r>
    </w:p>
    <w:p>
      <w:pPr>
        <w:pStyle w:val="Heading2"/>
      </w:pPr>
      <w:r>
        <w:t>Chapter 04 — Determinação do escopo do PIMS e registro de aplicabilidade</w:t>
      </w:r>
    </w:p>
    <w:p>
      <w:pPr>
        <w:spacing w:after="120"/>
      </w:pPr>
      <w:r>
        <w:t>Defina atividades de tratamento, sistemas, locais, entidades, serviços e terceiros cobertos pelo PIMS. Registre justificativas para exclusões e dependências para que declarações de readiness não excedam o escopo efetivamente gerenciado.</w:t>
      </w:r>
    </w:p>
    <w:p>
      <w:pPr>
        <w:spacing w:after="120"/>
      </w:pPr>
      <w:r>
        <w:t>**Controles:** aprovação da gestão, mapeamento de dependências e reconciliação com inventários.</w:t>
      </w:r>
    </w:p>
    <w:p>
      <w:pPr>
        <w:spacing w:after="120"/>
      </w:pPr>
      <w:r>
        <w:t>**Evidência:** escopo PIMS, registro de aplicabilidade e referências de inventário.</w:t>
      </w:r>
    </w:p>
    <w:p>
      <w:pPr>
        <w:pStyle w:val="Heading2"/>
      </w:pPr>
      <w:r>
        <w:t>Chapter 05 — Liderança, política e accountability</w:t>
      </w:r>
    </w:p>
    <w:p>
      <w:pPr>
        <w:spacing w:after="120"/>
      </w:pPr>
      <w:r>
        <w:t>A alta gestão deve estabelecer direção, aprovar política, atribuir accountability, fornecer recursos e revisar desempenho. Integre privacidade com enterprise risk e information security governance.</w:t>
      </w:r>
    </w:p>
    <w:p>
      <w:pPr>
        <w:spacing w:after="120"/>
      </w:pPr>
      <w:r>
        <w:t>**Controles:** política aprovada, executivo accountable, cadência de governança e rota de escalonamento.</w:t>
      </w:r>
    </w:p>
    <w:p>
      <w:pPr>
        <w:spacing w:after="120"/>
      </w:pPr>
      <w:r>
        <w:t>**Evidência:** política, charter, atas, decisões e aprovações de recursos.</w:t>
      </w:r>
    </w:p>
    <w:p>
      <w:pPr>
        <w:pStyle w:val="Heading2"/>
      </w:pPr>
      <w:r>
        <w:t>Chapter 06 — Papéis de governança de privacidade e segregação de funções</w:t>
      </w:r>
    </w:p>
    <w:p>
      <w:pPr>
        <w:spacing w:after="120"/>
      </w:pPr>
      <w:r>
        <w:t>Defina responsabilidades para risco, ownership do tratamento, sistemas, interpretação legal, segurança, procurement, resposta a incidentes, auditoria interna e management review. Separe operação e revisão independente quando viável.</w:t>
      </w:r>
    </w:p>
    <w:p>
      <w:pPr>
        <w:spacing w:after="120"/>
      </w:pPr>
      <w:r>
        <w:t>**Controles:** RACI, autoridades delegadas, revisão de conflitos e responsabilidades de backup.</w:t>
      </w:r>
    </w:p>
    <w:p>
      <w:pPr>
        <w:spacing w:after="120"/>
      </w:pPr>
      <w:r>
        <w:t>**Evidência:** matriz de papéis, descrições e registros de delegação.</w:t>
      </w:r>
    </w:p>
    <w:p>
      <w:pPr>
        <w:pStyle w:val="Heading2"/>
      </w:pPr>
      <w:r>
        <w:t>Chapter 07 — Gestão de riscos e oportunidades de privacidade</w:t>
      </w:r>
    </w:p>
    <w:p>
      <w:pPr>
        <w:spacing w:after="120"/>
      </w:pPr>
      <w:r>
        <w:t>Use método repetível para identificar riscos provenientes de tratamento, tecnologia, pessoas, fornecedores, jurisdições e mudanças de ciclo de vida. Avalie probabilidade e consequência usando critérios definidos e documente decisões de tratamento.</w:t>
      </w:r>
    </w:p>
    <w:p>
      <w:pPr>
        <w:spacing w:after="120"/>
      </w:pPr>
      <w:r>
        <w:t>**Controles:** metodologia aprovada, ownership, autoridade de aceitação e reavaliação periódica.</w:t>
      </w:r>
    </w:p>
    <w:p>
      <w:pPr>
        <w:spacing w:after="120"/>
      </w:pPr>
      <w:r>
        <w:t>**Evidência:** registro de riscos, planos, aceitações e histórico de revisão.</w:t>
      </w:r>
    </w:p>
    <w:p>
      <w:pPr>
        <w:pStyle w:val="Heading2"/>
      </w:pPr>
      <w:r>
        <w:t>Chapter 08 — Objetivos, métricas e planejamento de privacidade</w:t>
      </w:r>
    </w:p>
    <w:p>
      <w:pPr>
        <w:spacing w:after="120"/>
      </w:pPr>
      <w:r>
        <w:t>Defina objetivos mensuráveis ligados a risco, prioridades de negócio, obrigações e melhoria contínua. Especifique indicador, meta, responsável, frequência e limiar de remediação.</w:t>
      </w:r>
    </w:p>
    <w:p>
      <w:pPr>
        <w:spacing w:after="120"/>
      </w:pPr>
      <w:r>
        <w:t>**Controles:** objetivos aprovados e regras de qualidade de dados.</w:t>
      </w:r>
    </w:p>
    <w:p>
      <w:pPr>
        <w:spacing w:after="120"/>
      </w:pPr>
      <w:r>
        <w:t>**Evidência:** registro de objetivos, KPI/KRI, dashboards e ações.</w:t>
      </w:r>
    </w:p>
    <w:p>
      <w:pPr>
        <w:pStyle w:val="Heading2"/>
      </w:pPr>
      <w:r>
        <w:t>Chapter 09 — Recursos, competência, awareness e comunicações</w:t>
      </w:r>
    </w:p>
    <w:p>
      <w:pPr>
        <w:spacing w:after="120"/>
      </w:pPr>
      <w:r>
        <w:t>Identifique competências necessárias para governance, engineering, operations, procurement, incident response, audit e liderança. Forneça treinamento por papel e defina comunicações internas/externas.</w:t>
      </w:r>
    </w:p>
    <w:p>
      <w:pPr>
        <w:spacing w:after="120"/>
      </w:pPr>
      <w:r>
        <w:t>**Controles:** critérios de competência, planos de treinamento, acompanhamento e rotas aprovadas.</w:t>
      </w:r>
    </w:p>
    <w:p>
      <w:pPr>
        <w:spacing w:after="120"/>
      </w:pPr>
      <w:r>
        <w:t>**Evidência:** matriz de competência, registros de treinamento e plano de comunicação.</w:t>
      </w:r>
    </w:p>
    <w:p>
      <w:pPr>
        <w:pStyle w:val="Heading2"/>
      </w:pPr>
      <w:r>
        <w:t>Chapter 10 — Governança de informação documentada</w:t>
      </w:r>
    </w:p>
    <w:p>
      <w:pPr>
        <w:spacing w:after="120"/>
      </w:pPr>
      <w:r>
        <w:t>Controle políticas, procedimentos, registros, workpapers, templates e evidências do PIMS para garantir versão, aprovação, proteção, retenção, recuperação e mudanças autorizadas.</w:t>
      </w:r>
    </w:p>
    <w:p>
      <w:pPr>
        <w:spacing w:after="120"/>
      </w:pPr>
      <w:r>
        <w:t>**Controles:** ownership, versionamento, aprovação, retenção, acesso e descarte.</w:t>
      </w:r>
    </w:p>
    <w:p>
      <w:pPr>
        <w:spacing w:after="120"/>
      </w:pPr>
      <w:r>
        <w:t>**Evidência:** registro documental, histórico, cronograma de retenção e acessos.</w:t>
      </w:r>
    </w:p>
    <w:p>
      <w:pPr>
        <w:pStyle w:val="Heading2"/>
      </w:pPr>
      <w:r>
        <w:t>Chapter 11 — Planejamento e controle operacional</w:t>
      </w:r>
    </w:p>
    <w:p>
      <w:pPr>
        <w:spacing w:after="120"/>
      </w:pPr>
      <w:r>
        <w:t>Transforme requisitos e tratamentos de risco em procedimentos repetíveis para intake, uso, sharing, storage, change, retention, deletion, interação com fornecedores e exceções.</w:t>
      </w:r>
    </w:p>
    <w:p>
      <w:pPr>
        <w:spacing w:after="120"/>
      </w:pPr>
      <w:r>
        <w:t>**Controles:** procedimentos, responsáveis, aprovação de exceções e revisão de impacto de mudanças.</w:t>
      </w:r>
    </w:p>
    <w:p>
      <w:pPr>
        <w:spacing w:after="120"/>
      </w:pPr>
      <w:r>
        <w:t>**Evidência:** procedimentos, logs, registro de exceções e revisões.</w:t>
      </w:r>
    </w:p>
    <w:p>
      <w:pPr>
        <w:pStyle w:val="Heading2"/>
      </w:pPr>
      <w:r>
        <w:t>Chapter 12 — Responsabilidades do PII controller</w:t>
      </w:r>
    </w:p>
    <w:p>
      <w:pPr>
        <w:spacing w:after="120"/>
      </w:pPr>
      <w:r>
        <w:t>Quando a organização atuar como controller, governe finalidades, instruções de tratamento, transparência, suporte a direitos, sharing, retention, decisões de risco e oversight de processors. Mantenha obrigações legais por jurisdição como camada separada.</w:t>
      </w:r>
    </w:p>
    <w:p>
      <w:pPr>
        <w:spacing w:after="120"/>
      </w:pPr>
      <w:r>
        <w:t>**Controles:** determinação de papel, registros de finalidade, oversight e escalonamento legal.</w:t>
      </w:r>
    </w:p>
    <w:p>
      <w:pPr>
        <w:spacing w:after="120"/>
      </w:pPr>
      <w:r>
        <w:t>**Evidência:** avaliação de controller, processing records, notices e registros de oversight.</w:t>
      </w:r>
    </w:p>
    <w:p>
      <w:pPr>
        <w:pStyle w:val="Heading2"/>
      </w:pPr>
      <w:r>
        <w:t>Chapter 13 — Responsabilidades do PII processor</w:t>
      </w:r>
    </w:p>
    <w:p>
      <w:pPr>
        <w:spacing w:after="120"/>
      </w:pPr>
      <w:r>
        <w:t>Quando a organização atuar como processor, controle recebimento, validação, implementação e alteração de instruções do controller. Gerencie subprocessors, confidencialidade, segurança, devolução/exclusão, incident support e obrigações contratuais.</w:t>
      </w:r>
    </w:p>
    <w:p>
      <w:pPr>
        <w:spacing w:after="120"/>
      </w:pPr>
      <w:r>
        <w:t>**Controles:** registro de instruções, contratos, subprocessor governance e encerramento.</w:t>
      </w:r>
    </w:p>
    <w:p>
      <w:pPr>
        <w:spacing w:after="120"/>
      </w:pPr>
      <w:r>
        <w:t>**Evidência:** avaliação de processor, logs, contratos e prova de devolução/exclusão.</w:t>
      </w:r>
    </w:p>
    <w:p>
      <w:pPr>
        <w:pStyle w:val="Heading2"/>
      </w:pPr>
      <w:r>
        <w:t>Chapter 14 — Processos de suporte a direitos dos titulares</w:t>
      </w:r>
    </w:p>
    <w:p>
      <w:pPr>
        <w:spacing w:after="120"/>
      </w:pPr>
      <w:r>
        <w:t>Implemente intake, verificação de identidade, routing, fulfillment, exceções, aprovação e evidência para direitos aplicáveis. Não presuma um conjunto universal de direitos ou prazos.</w:t>
      </w:r>
    </w:p>
    <w:p>
      <w:pPr>
        <w:spacing w:after="120"/>
      </w:pPr>
      <w:r>
        <w:t>**Controles:** workflow por jurisdição, salvaguardas de identidade, tracking e revisão legal.</w:t>
      </w:r>
    </w:p>
    <w:p>
      <w:pPr>
        <w:spacing w:after="120"/>
      </w:pPr>
      <w:r>
        <w:t>**Evidência:** registro de solicitações, verificação, resposta e decisões de exceção.</w:t>
      </w:r>
    </w:p>
    <w:p>
      <w:pPr>
        <w:pStyle w:val="Heading2"/>
      </w:pPr>
      <w:r>
        <w:t>Chapter 15 — Suporte a finalidade legítima e registros de tratamento</w:t>
      </w:r>
    </w:p>
    <w:p>
      <w:pPr>
        <w:spacing w:after="120"/>
      </w:pPr>
      <w:r>
        <w:t>Mantenha registros que identifiquem finalidade, owner, categorias de dados, titulares, sistemas, destinatários, jurisdições, retenção e base legal/contratual quando aplicável. Determinações de base legal pertencem a funções autorizadas.</w:t>
      </w:r>
    </w:p>
    <w:p>
      <w:pPr>
        <w:spacing w:after="120"/>
      </w:pPr>
      <w:r>
        <w:t>**Controles:** inventário de tratamento, revisão de mudança de finalidade e owner certification.</w:t>
      </w:r>
    </w:p>
    <w:p>
      <w:pPr>
        <w:spacing w:after="120"/>
      </w:pPr>
      <w:r>
        <w:t>**Evidência:** processing records, aprovações, mapeamentos legais e histórico.</w:t>
      </w:r>
    </w:p>
    <w:p>
      <w:pPr>
        <w:pStyle w:val="Heading2"/>
      </w:pPr>
      <w:r>
        <w:t>Chapter 16 — Privacy by design e privacy by default</w:t>
      </w:r>
    </w:p>
    <w:p>
      <w:pPr>
        <w:spacing w:after="120"/>
      </w:pPr>
      <w:r>
        <w:t>Integre privacidade a produto, serviço, arquitetura, procurement, analytics e change management antes do deployment. Configurações padrão devem refletir objetivos e decisões de risco aprovadas.</w:t>
      </w:r>
    </w:p>
    <w:p>
      <w:pPr>
        <w:spacing w:after="120"/>
      </w:pPr>
      <w:r>
        <w:t>**Controles:** design gates, requisitos, architecture review e aprovação de desvios.</w:t>
      </w:r>
    </w:p>
    <w:p>
      <w:pPr>
        <w:spacing w:after="120"/>
      </w:pPr>
      <w:r>
        <w:t>**Evidência:** assessments, requisitos, decisões e exceções.</w:t>
      </w:r>
    </w:p>
    <w:p>
      <w:pPr>
        <w:pStyle w:val="Heading2"/>
      </w:pPr>
      <w:r>
        <w:t>Chapter 17 — Minimização, exatidão, retenção e descarte</w:t>
      </w:r>
    </w:p>
    <w:p>
      <w:pPr>
        <w:spacing w:after="120"/>
      </w:pPr>
      <w:r>
        <w:t>Limite coleta e uso à finalidade aprovada e necessidade operacional, mantenha exatidão adequada e implemente regras de retenção e exclusão, anonimização, devolução ou arquivamento verificáveis.</w:t>
      </w:r>
    </w:p>
    <w:p>
      <w:pPr>
        <w:spacing w:after="120"/>
      </w:pPr>
      <w:r>
        <w:t>**Controles:** justificativa de dados, retention schedule, deletion workflow e legal hold.</w:t>
      </w:r>
    </w:p>
    <w:p>
      <w:pPr>
        <w:spacing w:after="120"/>
      </w:pPr>
      <w:r>
        <w:t>**Evidência:** revisões de minimização, quality checks, regras e disposal logs.</w:t>
      </w:r>
    </w:p>
    <w:p>
      <w:pPr>
        <w:pStyle w:val="Heading2"/>
      </w:pPr>
      <w:r>
        <w:t>Chapter 18 — Transparência e suporte a notices</w:t>
      </w:r>
    </w:p>
    <w:p>
      <w:pPr>
        <w:spacing w:after="120"/>
      </w:pPr>
      <w:r>
        <w:t>Mantenha descrições claras e controladas do tratamento e revise notices quando houver mudanças materiais em processamento, destinatários, tecnologia, geografia ou requisitos.</w:t>
      </w:r>
    </w:p>
    <w:p>
      <w:pPr>
        <w:spacing w:after="120"/>
      </w:pPr>
      <w:r>
        <w:t>**Controles:** ownership, triggers, versionamento e revisão de acessibilidade.</w:t>
      </w:r>
    </w:p>
    <w:p>
      <w:pPr>
        <w:spacing w:after="120"/>
      </w:pPr>
      <w:r>
        <w:t>**Evidência:** inventário de notices, aprovações, histórico e assessments.</w:t>
      </w:r>
    </w:p>
    <w:p>
      <w:pPr>
        <w:pStyle w:val="Heading2"/>
      </w:pPr>
      <w:r>
        <w:t>Chapter 19 — Consentimento e gestão de preferências</w:t>
      </w:r>
    </w:p>
    <w:p>
      <w:pPr>
        <w:spacing w:after="120"/>
      </w:pPr>
      <w:r>
        <w:t>Quando consentimento ou preferências fizerem parte do modelo aplicável, registre decisão, contexto, versão, data/hora, escopo e retirada/alteração de forma auditável. Não use consentimento como substituto automático de análise jurídica.</w:t>
      </w:r>
    </w:p>
    <w:p>
      <w:pPr>
        <w:spacing w:after="120"/>
      </w:pPr>
      <w:r>
        <w:t>**Controles:** critérios, preference store, retirada e propagação downstream.</w:t>
      </w:r>
    </w:p>
    <w:p>
      <w:pPr>
        <w:spacing w:after="120"/>
      </w:pPr>
      <w:r>
        <w:t>**Evidência:** registros de consentimento, preferências, retiradas e testes de sincronização.</w:t>
      </w:r>
    </w:p>
    <w:p>
      <w:pPr>
        <w:pStyle w:val="Heading2"/>
      </w:pPr>
      <w:r>
        <w:t>Chapter 20 — Governança de fornecedores, subprocessors e terceiros</w:t>
      </w:r>
    </w:p>
    <w:p>
      <w:pPr>
        <w:spacing w:after="120"/>
      </w:pPr>
      <w:r>
        <w:t>Aplique privacy due diligence baseado em risco antes do onboarding e durante o ciclo de vida. Defina papéis, fluxos, jurisdições, contratos, expectativas, incident duties, audit rights, mudanças e exit.</w:t>
      </w:r>
    </w:p>
    <w:p>
      <w:pPr>
        <w:spacing w:after="120"/>
      </w:pPr>
      <w:r>
        <w:t>**Controles:** tiering, due diligence, contract review, monitoring e exit controls.</w:t>
      </w:r>
    </w:p>
    <w:p>
      <w:pPr>
        <w:spacing w:after="120"/>
      </w:pPr>
      <w:r>
        <w:t>**Evidência:** assessments, contratos, monitoring, remediation e encerramento.</w:t>
      </w:r>
    </w:p>
    <w:p>
      <w:pPr>
        <w:pStyle w:val="Heading2"/>
      </w:pPr>
      <w:r>
        <w:t>Chapter 21 — Transferências internacionais e mapeamento jurisdicional</w:t>
      </w:r>
    </w:p>
    <w:p>
      <w:pPr>
        <w:spacing w:after="120"/>
      </w:pPr>
      <w:r>
        <w:t>Mapeie onde PII é coletada, acessada, armazenada, suportada e transferida. Encaminhe decisões sobre mecanismos e adequação a funções jurídicas/privacy qualificadas porque variam por jurisdição.</w:t>
      </w:r>
    </w:p>
    <w:p>
      <w:pPr>
        <w:spacing w:after="120"/>
      </w:pPr>
      <w:r>
        <w:t>**Controles:** inventário de localização, transfer review, mecanismo aprovado e change control.</w:t>
      </w:r>
    </w:p>
    <w:p>
      <w:pPr>
        <w:spacing w:after="120"/>
      </w:pPr>
      <w:r>
        <w:t>**Evidência:** transfer map, determinação legal, contratos e reavaliações.</w:t>
      </w:r>
    </w:p>
    <w:p>
      <w:pPr>
        <w:pStyle w:val="Heading2"/>
      </w:pPr>
      <w:r>
        <w:t>Chapter 22 — Integração de controles de segurança com ISO/IEC 27001 e 27002</w:t>
      </w:r>
    </w:p>
    <w:p>
      <w:pPr>
        <w:spacing w:after="120"/>
      </w:pPr>
      <w:r>
        <w:t>Coordene controles de privacidade com o sistema de gestão de segurança e salvaguardas técnicas. Riscos de privacidade podem exigir controles adicionais; controles de segurança isoladamente não demonstram privacy compliance.</w:t>
      </w:r>
    </w:p>
    <w:p>
      <w:pPr>
        <w:spacing w:after="120"/>
      </w:pPr>
      <w:r>
        <w:t>**Controles:** mapping privacy-security, ownership compartilhado, gaps e exceções.</w:t>
      </w:r>
    </w:p>
    <w:p>
      <w:pPr>
        <w:spacing w:after="120"/>
      </w:pPr>
      <w:r>
        <w:t>**Evidência:** crosswalk, vínculos risk/control, testes e remediation.</w:t>
      </w:r>
    </w:p>
    <w:p>
      <w:pPr>
        <w:pStyle w:val="Heading2"/>
      </w:pPr>
      <w:r>
        <w:t>Chapter 23 — Suporte a incidentes de privacidade e breach response</w:t>
      </w:r>
    </w:p>
    <w:p>
      <w:pPr>
        <w:spacing w:after="120"/>
      </w:pPr>
      <w:r>
        <w:t>Integre avaliação de privacidade à resposta a incidentes para determinar dados, pessoas, jurisdições, obrigações contratuais, possíveis notificações, containment, remediation e preservação de evidências. Decisões de notificação são jurisdicionais.</w:t>
      </w:r>
    </w:p>
    <w:p>
      <w:pPr>
        <w:spacing w:after="120"/>
      </w:pPr>
      <w:r>
        <w:t>**Controles:** privacy triage, rota legal/regulatória, evidence preservation e lessons learned.</w:t>
      </w:r>
    </w:p>
    <w:p>
      <w:pPr>
        <w:spacing w:after="120"/>
      </w:pPr>
      <w:r>
        <w:t>**Evidência:** incident record, impact assessment, notification decision e remediation.</w:t>
      </w:r>
    </w:p>
    <w:p>
      <w:pPr>
        <w:pStyle w:val="Heading2"/>
      </w:pPr>
      <w:r>
        <w:t>Chapter 24 — Arquitetura de registros, evidências e rastreabilidade</w:t>
      </w:r>
    </w:p>
    <w:p>
      <w:pPr>
        <w:spacing w:after="120"/>
      </w:pPr>
      <w:r>
        <w:t>Defina objetos de evidência para provar decisões, operação de controles, reviews, exceções e corrective actions. Vincule evidência a requisito, risco, controle, owner, sistema/processo, período e aprovação.</w:t>
      </w:r>
    </w:p>
    <w:p>
      <w:pPr>
        <w:spacing w:after="120"/>
      </w:pPr>
      <w:r>
        <w:t>**Controles:** taxonomia, naming/retention, acesso e integrity checks.</w:t>
      </w:r>
    </w:p>
    <w:p>
      <w:pPr>
        <w:spacing w:after="120"/>
      </w:pPr>
      <w:r>
        <w:t>**Evidência:** evidence index, traceability matrix, retention e integrity metadata.</w:t>
      </w:r>
    </w:p>
    <w:p>
      <w:pPr>
        <w:pStyle w:val="Heading2"/>
      </w:pPr>
      <w:r>
        <w:t>Chapter 25 — Monitoring, measurement, analysis e evaluation</w:t>
      </w:r>
    </w:p>
    <w:p>
      <w:pPr>
        <w:spacing w:after="120"/>
      </w:pPr>
      <w:r>
        <w:t>Meça desempenho do PIMS e avalie se os controles operam conforme esperado. Diferencie métricas operacionais de conclusões de assurance.</w:t>
      </w:r>
    </w:p>
    <w:p>
      <w:pPr>
        <w:spacing w:after="120"/>
      </w:pPr>
      <w:r>
        <w:t>**Controles:** data owners, regras de cálculo, thresholds, cadence e triggers de corrective action.</w:t>
      </w:r>
    </w:p>
    <w:p>
      <w:pPr>
        <w:spacing w:after="120"/>
      </w:pPr>
      <w:r>
        <w:t>**Evidência:** dashboards, source records, trend analysis e ações.</w:t>
      </w:r>
    </w:p>
    <w:p>
      <w:pPr>
        <w:pStyle w:val="Heading2"/>
      </w:pPr>
      <w:r>
        <w:t>Chapter 26 — Internal audit do PIMS</w:t>
      </w:r>
    </w:p>
    <w:p>
      <w:pPr>
        <w:spacing w:after="120"/>
      </w:pPr>
      <w:r>
        <w:t>Planeje auditorias baseadas em risco com independência suficiente. Defina escopo, critérios, evidência, sampling, findings, reporting, remediation e follow-up.</w:t>
      </w:r>
    </w:p>
    <w:p>
      <w:pPr>
        <w:spacing w:after="120"/>
      </w:pPr>
      <w:r>
        <w:t>**Controles:** audit program, competência/independência, classificação de findings e closure validation.</w:t>
      </w:r>
    </w:p>
    <w:p>
      <w:pPr>
        <w:spacing w:after="120"/>
      </w:pPr>
      <w:r>
        <w:t>**Evidência:** plano, workpapers, findings, respostas e encerramento.</w:t>
      </w:r>
    </w:p>
    <w:p>
      <w:pPr>
        <w:pStyle w:val="Heading2"/>
      </w:pPr>
      <w:r>
        <w:t>Chapter 27 — Management review</w:t>
      </w:r>
    </w:p>
    <w:p>
      <w:pPr>
        <w:spacing w:after="120"/>
      </w:pPr>
      <w:r>
        <w:t>A gestão deve avaliar suitability, adequacy, effectiveness, riscos significativos, auditorias, incidentes, objetivos, recursos, mudanças de stakeholders e prioridades de melhoria.</w:t>
      </w:r>
    </w:p>
    <w:p>
      <w:pPr>
        <w:spacing w:after="120"/>
      </w:pPr>
      <w:r>
        <w:t>**Controles:** agenda definida, inputs, tracking de decisões e accountability.</w:t>
      </w:r>
    </w:p>
    <w:p>
      <w:pPr>
        <w:spacing w:after="120"/>
      </w:pPr>
      <w:r>
        <w:t>**Evidência:** review pack, minutes, decisões, ações e encerramento.</w:t>
      </w:r>
    </w:p>
    <w:p>
      <w:pPr>
        <w:pStyle w:val="Heading2"/>
      </w:pPr>
      <w:r>
        <w:t>Chapter 28 — Nonconformity e corrective action</w:t>
      </w:r>
    </w:p>
    <w:p>
      <w:pPr>
        <w:spacing w:after="120"/>
      </w:pPr>
      <w:r>
        <w:t>Quando requisito ou controle falhar, contenha, avalie impacto, identifique causa, revise implicações sistêmicas, corrija e verifique eficácia antes de encerrar.</w:t>
      </w:r>
    </w:p>
    <w:p>
      <w:pPr>
        <w:spacing w:after="120"/>
      </w:pPr>
      <w:r>
        <w:t>**Controles:** intake, root-cause method, ownership, prazos e effectiveness review.</w:t>
      </w:r>
    </w:p>
    <w:p>
      <w:pPr>
        <w:spacing w:after="120"/>
      </w:pPr>
      <w:r>
        <w:t>**Evidência:** nonconformity record, root cause, remediation e validation result.</w:t>
      </w:r>
    </w:p>
    <w:p>
      <w:pPr>
        <w:pStyle w:val="Heading2"/>
      </w:pPr>
      <w:r>
        <w:t>Chapter 29 — Melhoria contínua</w:t>
      </w:r>
    </w:p>
    <w:p>
      <w:pPr>
        <w:spacing w:after="120"/>
      </w:pPr>
      <w:r>
        <w:t>Use tendências de risco, auditorias, incidentes, métricas, feedback, mudanças regulatórias/tecnológicas e lessons learned para priorizar melhorias.</w:t>
      </w:r>
    </w:p>
    <w:p>
      <w:pPr>
        <w:spacing w:after="120"/>
      </w:pPr>
      <w:r>
        <w:t>**Controles:** backlog, critérios de prioridade, benefit/risk assessment e governance review.</w:t>
      </w:r>
    </w:p>
    <w:p>
      <w:pPr>
        <w:spacing w:after="120"/>
      </w:pPr>
      <w:r>
        <w:t>**Evidência:** backlog, roadmap, implementation records e outcome measures.</w:t>
      </w:r>
    </w:p>
    <w:p>
      <w:pPr>
        <w:pStyle w:val="Heading2"/>
      </w:pPr>
      <w:r>
        <w:t>Chapter 30 — Limite de mapeamento regulatório e contratual</w:t>
      </w:r>
    </w:p>
    <w:p>
      <w:pPr>
        <w:spacing w:after="120"/>
      </w:pPr>
      <w:r>
        <w:t>Mapeie controles/evidências do PIMS para leis, regulamentos, orientações, requisitos de clientes e contratos sem afirmar equivalência. Um crosswalk é auxílio de rastreabilidade, não prova de conformidade automática.</w:t>
      </w:r>
    </w:p>
    <w:p>
      <w:pPr>
        <w:spacing w:after="120"/>
      </w:pPr>
      <w:r>
        <w:t>**Controles:** fonte/data/versão, rationale, legal review quando aplicável e non-equivalence statement.</w:t>
      </w:r>
    </w:p>
    <w:p>
      <w:pPr>
        <w:spacing w:after="120"/>
      </w:pPr>
      <w:r>
        <w:t>**Evidência:** crosswalk register, rationale, approvals e histórico.</w:t>
      </w:r>
    </w:p>
    <w:p>
      <w:pPr>
        <w:pStyle w:val="Heading2"/>
      </w:pPr>
      <w:r>
        <w:t>Chapter 31 — Certification readiness, assurance e evidence package</w:t>
      </w:r>
    </w:p>
    <w:p>
      <w:pPr>
        <w:spacing w:after="120"/>
      </w:pPr>
      <w:r>
        <w:t>Prepare evidência controlada para readiness interno e assurance externo, preservando o limite com certificação acreditada. Declarações de certificação só podem se basear em evidência externa válida.</w:t>
      </w:r>
    </w:p>
    <w:p>
      <w:pPr>
        <w:spacing w:after="120"/>
      </w:pPr>
      <w:r>
        <w:t>**Controles:** evidence index, readiness review, gap closure e claim approval.</w:t>
      </w:r>
    </w:p>
    <w:p>
      <w:pPr>
        <w:spacing w:after="120"/>
      </w:pPr>
      <w:r>
        <w:t>**Evidência:** readiness report, evidence pack, gap register e certificados válidos quando existirem.</w:t>
      </w:r>
    </w:p>
    <w:p>
      <w:pPr>
        <w:pStyle w:val="Heading2"/>
      </w:pPr>
      <w:r>
        <w:t>Chapter 32 — Reverificação de fontes e roadmap de implementação</w:t>
      </w:r>
    </w:p>
    <w:p>
      <w:pPr>
        <w:spacing w:after="120"/>
      </w:pPr>
      <w:r>
        <w:t>Antes de cada release, confirme edição/status atual da ISO/IEC 27701, amendments/corrigenda relevantes, dependências e overlays materiais. Congele identidades de fonte antes da geração do candidato e reinicie o ciclo após mudança material.</w:t>
      </w:r>
    </w:p>
    <w:p>
      <w:pPr>
        <w:spacing w:after="120"/>
      </w:pPr>
      <w:r>
        <w:t>**Controles:** source verification, release checklist, source freeze, change triggers e predecessor check.</w:t>
      </w:r>
    </w:p>
    <w:p>
      <w:pPr>
        <w:spacing w:after="120"/>
      </w:pPr>
      <w:r>
        <w:t>**Evidência:** source-state record, checklist, provenance manifest, QA results e publication approval.</w:t>
      </w:r>
    </w:p>
    <w:p>
      <w:pPr>
        <w:pStyle w:val="Heading2"/>
      </w:pPr>
      <w:r>
        <w:t>Declaração controlada de release</w:t>
      </w:r>
    </w:p>
    <w:p>
      <w:pPr>
        <w:spacing w:after="120"/>
      </w:pPr>
      <w:r>
        <w:t>Este manual é orientação original de implementação. Não é publicação da ISO, não é tradução autorizada pela ISO e não confere, por si só, certificação ou conformidade legal. Conclusões jurídicas devem ser feitas por profissionais autorizados conforme os fatos e a legislação vigente.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