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5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p>
      <w:pPr>
        <w:pStyle w:val="FirstParagraph"/>
      </w:pPr>
    </w:p>
    <w:p>
      <w:pPr>
        <w:pStyle w:val="BodyText"/>
      </w:pPr>
      <w:r>
        <w:t xml:space="preserve">Figura 1. As seis funções NIST CSF 2.0</w:t>
      </w:r>
    </w:p>
    <w:bookmarkStart w:id="24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4"/>
    <w:bookmarkEnd w:id="25"/>
    <w:bookmarkStart w:id="26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6"/>
    <w:bookmarkStart w:id="27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27"/>
    <w:bookmarkStart w:id="31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p>
      <w:pPr>
        <w:pStyle w:val="FirstParagraph"/>
      </w:pPr>
    </w:p>
    <w:p>
      <w:pPr>
        <w:pStyle w:val="BodyText"/>
      </w:pPr>
      <w:r>
        <w:t xml:space="preserve">Figura 2. CSF Hierarquia do núcleo</w:t>
      </w:r>
    </w:p>
    <w:bookmarkStart w:id="28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28"/>
    <w:bookmarkStart w:id="29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29"/>
    <w:bookmarkStart w:id="30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0"/>
    <w:bookmarkEnd w:id="31"/>
    <w:bookmarkStart w:id="35" w:name="contexto-organizacional-gv.oc"/>
    <w:p>
      <w:pPr>
        <w:pStyle w:val="Heading1"/>
      </w:pPr>
      <w:r>
        <w:t xml:space="preserve"># Contexto organizacional (GV.OC)</w:t>
      </w:r>
    </w:p>
    <w:bookmarkStart w:id="32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2"/>
    <w:bookmarkStart w:id="33" w:name="estratégia-de-gestão-de-risco-gv.rm"/>
    <w:p>
      <w:pPr>
        <w:pStyle w:val="Heading2"/>
      </w:pPr>
      <w:r>
        <w:t xml:space="preserve">Estratégia de Gestão de Risco (GV.RM)</w:t>
      </w:r>
    </w:p>
    <w:bookmarkEnd w:id="33"/>
    <w:bookmarkStart w:id="34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4"/>
    <w:bookmarkEnd w:id="35"/>
    <w:bookmarkStart w:id="37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36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6"/>
    <w:bookmarkEnd w:id="37"/>
    <w:bookmarkStart w:id="39" w:name="política-gv.po"/>
    <w:p>
      <w:pPr>
        <w:pStyle w:val="Heading1"/>
      </w:pPr>
      <w:r>
        <w:t xml:space="preserve"># Política (GV.PO)</w:t>
      </w:r>
    </w:p>
    <w:bookmarkStart w:id="38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End w:id="39"/>
    <w:bookmarkStart w:id="41" w:name="supervisão-gv.ov"/>
    <w:p>
      <w:pPr>
        <w:pStyle w:val="Heading1"/>
      </w:pPr>
      <w:r>
        <w:t xml:space="preserve"># Supervisão (GV.OV)</w:t>
      </w:r>
    </w:p>
    <w:bookmarkStart w:id="40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2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4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44"/>
    <w:bookmarkStart w:id="46" w:name="gerenciamento-de-ativos-id.am"/>
    <w:p>
      <w:pPr>
        <w:pStyle w:val="Heading1"/>
      </w:pPr>
      <w:r>
        <w:t xml:space="preserve"># Gerenciamento de ativos (ID.AM)</w:t>
      </w:r>
    </w:p>
    <w:bookmarkStart w:id="45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5"/>
    <w:bookmarkEnd w:id="46"/>
    <w:bookmarkStart w:id="48" w:name="avaliação-de-risco-id.ra"/>
    <w:p>
      <w:pPr>
        <w:pStyle w:val="Heading1"/>
      </w:pPr>
      <w:r>
        <w:t xml:space="preserve"># Avaliação de risco (ID.RA)</w:t>
      </w:r>
    </w:p>
    <w:bookmarkStart w:id="47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7"/>
    <w:bookmarkEnd w:id="48"/>
    <w:bookmarkStart w:id="50" w:name="melhoria-id.im"/>
    <w:p>
      <w:pPr>
        <w:pStyle w:val="Heading1"/>
      </w:pPr>
      <w:r>
        <w:t xml:space="preserve"># Melhoria (ID.IM)</w:t>
      </w:r>
    </w:p>
    <w:bookmarkStart w:id="49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9"/>
    <w:bookmarkEnd w:id="50"/>
    <w:bookmarkStart w:id="51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1"/>
    <w:bookmarkStart w:id="53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2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2"/>
    <w:bookmarkEnd w:id="53"/>
    <w:bookmarkStart w:id="55" w:name="conscientização-e-treino-pr.at"/>
    <w:p>
      <w:pPr>
        <w:pStyle w:val="Heading1"/>
      </w:pPr>
      <w:r>
        <w:t xml:space="preserve"># Conscientização e treino (PR.AT)</w:t>
      </w:r>
    </w:p>
    <w:bookmarkStart w:id="54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4"/>
    <w:bookmarkEnd w:id="55"/>
    <w:bookmarkStart w:id="57" w:name="segurança-de-dados-pr.ds"/>
    <w:p>
      <w:pPr>
        <w:pStyle w:val="Heading1"/>
      </w:pPr>
      <w:r>
        <w:t xml:space="preserve"># Segurança de dados (PR.DS)</w:t>
      </w:r>
    </w:p>
    <w:bookmarkStart w:id="56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6"/>
    <w:bookmarkEnd w:id="57"/>
    <w:bookmarkStart w:id="59" w:name="segurança-da-plataforma-pr.ps"/>
    <w:p>
      <w:pPr>
        <w:pStyle w:val="Heading1"/>
      </w:pPr>
      <w:r>
        <w:t xml:space="preserve"># Segurança da plataforma (PR.PS)</w:t>
      </w:r>
    </w:p>
    <w:bookmarkStart w:id="58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0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2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2"/>
    <w:bookmarkStart w:id="64" w:name="monitorização-contínua-de.cm"/>
    <w:p>
      <w:pPr>
        <w:pStyle w:val="Heading1"/>
      </w:pPr>
      <w:r>
        <w:t xml:space="preserve"># Monitorização contínua (DE.CM)</w:t>
      </w:r>
    </w:p>
    <w:bookmarkStart w:id="63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3"/>
    <w:bookmarkEnd w:id="64"/>
    <w:bookmarkStart w:id="66" w:name="análise-de-eventos-adversos-de.ae"/>
    <w:p>
      <w:pPr>
        <w:pStyle w:val="Heading1"/>
      </w:pPr>
      <w:r>
        <w:t xml:space="preserve"># Análise de eventos adversos (DE.AE)</w:t>
      </w:r>
    </w:p>
    <w:bookmarkStart w:id="65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5"/>
    <w:bookmarkEnd w:id="66"/>
    <w:bookmarkStart w:id="67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67"/>
    <w:bookmarkStart w:id="69" w:name="gestão-de-incidentes-rs.ma"/>
    <w:p>
      <w:pPr>
        <w:pStyle w:val="Heading1"/>
      </w:pPr>
      <w:r>
        <w:t xml:space="preserve"># Gestão de incidentes (RS.MA)</w:t>
      </w:r>
    </w:p>
    <w:bookmarkStart w:id="68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8"/>
    <w:bookmarkEnd w:id="69"/>
    <w:bookmarkStart w:id="71" w:name="análise-de-incidentes-rs.an"/>
    <w:p>
      <w:pPr>
        <w:pStyle w:val="Heading1"/>
      </w:pPr>
      <w:r>
        <w:t xml:space="preserve"># Análise de incidentes (RS.AN)</w:t>
      </w:r>
    </w:p>
    <w:bookmarkStart w:id="70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0"/>
    <w:bookmarkEnd w:id="71"/>
    <w:bookmarkStart w:id="73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2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2"/>
    <w:bookmarkEnd w:id="73"/>
    <w:bookmarkStart w:id="75" w:name="mitigação-de-incidentes-rs.mi"/>
    <w:p>
      <w:pPr>
        <w:pStyle w:val="Heading1"/>
      </w:pPr>
      <w:r>
        <w:t xml:space="preserve"># Mitigação de incidentes (RS.MI)</w:t>
      </w:r>
    </w:p>
    <w:bookmarkStart w:id="74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76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76"/>
    <w:bookmarkEnd w:id="77"/>
    <w:bookmarkStart w:id="79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78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0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6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p>
      <w:pPr>
        <w:pStyle w:val="FirstParagraph"/>
      </w:pPr>
    </w:p>
    <w:p>
      <w:pPr>
        <w:pStyle w:val="BodyText"/>
      </w:pPr>
      <w:r>
        <w:t xml:space="preserve">Figura 3. Perfil atual do plano de ação</w:t>
      </w:r>
    </w:p>
    <w:bookmarkStart w:id="82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82"/>
    <w:bookmarkStart w:id="83" w:name="situação-dos-resultados"/>
    <w:p>
      <w:pPr>
        <w:pStyle w:val="Heading2"/>
      </w:pPr>
      <w:r>
        <w:t xml:space="preserve">10.2 Situação dos resultados</w:t>
      </w:r>
    </w:p>
    <w:bookmarkEnd w:id="83"/>
    <w:bookmarkStart w:id="84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84"/>
    <w:bookmarkStart w:id="85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85"/>
    <w:bookmarkEnd w:id="86"/>
    <w:bookmarkStart w:id="88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p>
      <w:pPr>
        <w:pStyle w:val="BodyText"/>
      </w:pPr>
    </w:p>
    <w:p>
      <w:pPr>
        <w:pStyle w:val="BodyText"/>
      </w:pPr>
      <w:r>
        <w:t xml:space="preserve">Figura 4. CSF Níveis</w:t>
      </w:r>
    </w:p>
    <w:bookmarkStart w:id="87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87"/>
    <w:bookmarkEnd w:id="88"/>
    <w:bookmarkStart w:id="91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89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9"/>
    <w:bookmarkStart w:id="90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90"/>
    <w:bookmarkEnd w:id="91"/>
    <w:bookmarkStart w:id="92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p>
      <w:pPr>
        <w:pStyle w:val="FirstParagraph"/>
      </w:pP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2"/>
    <w:bookmarkStart w:id="94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93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p>
      <w:pPr>
        <w:pStyle w:val="BodyText"/>
      </w:pPr>
    </w:p>
    <w:p>
      <w:pPr>
        <w:pStyle w:val="BodyText"/>
      </w:pPr>
      <w:r>
        <w:t xml:space="preserve">Figura 6. Cadeia de resultado à evidência</w:t>
      </w:r>
    </w:p>
    <w:bookmarkEnd w:id="93"/>
    <w:bookmarkEnd w:id="94"/>
    <w:bookmarkStart w:id="96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95" w:name="qualidade-exemplo-resposta-do-analista"/>
      <w:r>
        <w:t xml:space="preserve">Qualidade** * Exemplo** ** ** Resposta do analista**</w:t>
      </w:r>
      <w:bookmarkEnd w:id="95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96"/>
    <w:bookmarkStart w:id="99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98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97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97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98"/>
    <w:bookmarkEnd w:id="99"/>
    <w:bookmarkStart w:id="100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0"/>
    <w:bookmarkStart w:id="103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p>
      <w:pPr>
        <w:pStyle w:val="FirstParagraph"/>
      </w:pPr>
    </w:p>
    <w:p>
      <w:pPr>
        <w:pStyle w:val="BodyText"/>
      </w:pPr>
      <w:r>
        <w:t xml:space="preserve">Figura 7. Da saída da ferramenta à evidência</w:t>
      </w:r>
    </w:p>
    <w:bookmarkStart w:id="101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01"/>
    <w:bookmarkStart w:id="102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02"/>
    <w:bookmarkEnd w:id="103"/>
    <w:bookmarkStart w:id="104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04"/>
    <w:bookmarkStart w:id="105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5"/>
    <w:bookmarkStart w:id="107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07"/>
    <w:bookmarkStart w:id="108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8"/>
    <w:bookmarkStart w:id="110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9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10"/>
    <w:bookmarkStart w:id="111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1"/>
    <w:bookmarkStart w:id="113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2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13"/>
    <w:bookmarkStart w:id="114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4"/>
    <w:bookmarkStart w:id="116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15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16"/>
    <w:bookmarkStart w:id="117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7"/>
    <w:bookmarkStart w:id="119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19"/>
    <w:bookmarkStart w:id="120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0"/>
    <w:bookmarkStart w:id="122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22"/>
    <w:bookmarkStart w:id="123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3"/>
    <w:bookmarkStart w:id="125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4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25"/>
    <w:bookmarkStart w:id="126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6"/>
    <w:bookmarkStart w:id="128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27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28"/>
    <w:bookmarkStart w:id="129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9"/>
    <w:bookmarkStart w:id="131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0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31"/>
    <w:bookmarkStart w:id="132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2"/>
    <w:bookmarkStart w:id="134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3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34"/>
    <w:bookmarkStart w:id="135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5"/>
    <w:bookmarkStart w:id="137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6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37"/>
    <w:bookmarkStart w:id="138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8"/>
    <w:bookmarkStart w:id="141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39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40">
        <w:r>
          <w:rPr>
            <w:rStyle w:val="Hyperlink"/>
          </w:rPr>
          <w:t xml:space="preserve">Abrir NIST Guia de perfil e modelos</w:t>
        </w:r>
      </w:hyperlink>
    </w:p>
    <w:bookmarkEnd w:id="141"/>
    <w:bookmarkStart w:id="142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42"/>
    <w:bookmarkStart w:id="143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43"/>
    <w:bookmarkStart w:id="145" w:name="painel"/>
    <w:p>
      <w:pPr>
        <w:pStyle w:val="Heading1"/>
      </w:pPr>
      <w:r>
        <w:t xml:space="preserve"># 17.2 Painel</w:t>
      </w:r>
    </w:p>
    <w:bookmarkStart w:id="144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44"/>
    <w:bookmarkEnd w:id="145"/>
    <w:bookmarkStart w:id="146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46"/>
    <w:bookmarkStart w:id="147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p>
      <w:pPr>
        <w:pStyle w:val="FirstParagraph"/>
      </w:pPr>
    </w:p>
    <w:p>
      <w:pPr>
        <w:pStyle w:val="BodyText"/>
      </w:pPr>
      <w:r>
        <w:t xml:space="preserve">Figura 8. Caminho do analista júnior</w:t>
      </w:r>
    </w:p>
    <w:bookmarkEnd w:id="147"/>
    <w:bookmarkStart w:id="148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48"/>
    <w:bookmarkStart w:id="149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49"/>
    <w:bookmarkStart w:id="151" w:name="prova-de-carteira"/>
    <w:p>
      <w:pPr>
        <w:pStyle w:val="Heading1"/>
      </w:pPr>
      <w:r>
        <w:t xml:space="preserve"># 18.3 Prova de carteira</w:t>
      </w:r>
    </w:p>
    <w:bookmarkStart w:id="150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50"/>
    <w:bookmarkEnd w:id="151"/>
    <w:bookmarkStart w:id="152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52"/>
    <w:bookmarkStart w:id="153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53"/>
    <w:bookmarkStart w:id="154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54"/>
    <w:bookmarkStart w:id="155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55"/>
    <w:bookmarkStart w:id="156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56"/>
    <w:bookmarkStart w:id="157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57"/>
    <w:bookmarkStart w:id="158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58"/>
    <w:bookmarkStart w:id="159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59"/>
    <w:bookmarkStart w:id="160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60"/>
    <w:bookmarkStart w:id="162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61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61"/>
    <w:bookmarkEnd w:id="162"/>
    <w:bookmarkStart w:id="163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63"/>
    <w:bookmarkStart w:id="164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64"/>
    <w:bookmarkStart w:id="165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65"/>
    <w:bookmarkStart w:id="166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66"/>
    <w:bookmarkStart w:id="167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67"/>
    <w:bookmarkStart w:id="168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68"/>
    <w:bookmarkStart w:id="169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69"/>
    <w:bookmarkStart w:id="170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70"/>
    <w:bookmarkStart w:id="171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71"/>
    <w:bookmarkStart w:id="172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72"/>
    <w:bookmarkStart w:id="173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73"/>
    <w:bookmarkStart w:id="174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74"/>
    <w:bookmarkStart w:id="175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75"/>
    <w:bookmarkStart w:id="176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76"/>
    <w:bookmarkStart w:id="177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77"/>
    <w:bookmarkStart w:id="178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178"/>
    <w:bookmarkStart w:id="180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179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179"/>
    <w:bookmarkEnd w:id="180"/>
    <w:bookmarkStart w:id="181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181"/>
    <w:bookmarkStart w:id="183" w:name="índice-de-assunto"/>
    <w:p>
      <w:pPr>
        <w:pStyle w:val="Heading1"/>
      </w:pPr>
      <w:r>
        <w:t xml:space="preserve"># 23.1 Índice de assunto</w:t>
      </w:r>
    </w:p>
    <w:bookmarkStart w:id="182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182"/>
    <w:bookmarkEnd w:id="183"/>
    <w:bookmarkStart w:id="198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184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185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186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187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188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189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190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191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192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193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194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195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196">
        <w:r>
          <w:rPr>
            <w:rStyle w:val="Hyperlink"/>
          </w:rPr>
          <w:t xml:space="preserve">NIST NICE Workforce Framework</w:t>
        </w:r>
      </w:hyperlink>
    </w:p>
    <w:bookmarkStart w:id="197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197"/>
    <w:bookmarkEnd w:id="1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2026-07-28T01:26:01Z</dcterms:created>
  <dcterms:modified xsi:type="dcterms:W3CDTF">2026-07-28T01:26:01Z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