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1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Playbook de resiliência do gestor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Start w:id="20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0"/>
    <w:bookmarkEnd w:id="21"/>
    <w:bookmarkStart w:id="23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FirstParagraph"/>
      </w:pPr>
    </w:p>
    <w:p>
      <w:pPr>
        <w:pStyle w:val="BodyText"/>
      </w:pPr>
      <w:r>
        <w:t xml:space="preserve">Figura 1. Ciclo integrado de resiliência cibernética</w:t>
      </w:r>
    </w:p>
    <w:bookmarkStart w:id="22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2"/>
    <w:bookmarkEnd w:id="23"/>
    <w:bookmarkStart w:id="26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5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4" w:name="decisões-chave"/>
      <w:r>
        <w:t xml:space="preserve">** ** ** ** ** ** Decisões-chave**</w:t>
      </w:r>
      <w:bookmarkEnd w:id="24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5"/>
    <w:bookmarkEnd w:id="26"/>
    <w:bookmarkStart w:id="30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BodyText"/>
      </w:pPr>
    </w:p>
    <w:p>
      <w:pPr>
        <w:pStyle w:val="BodyText"/>
      </w:pPr>
      <w:r>
        <w:t xml:space="preserve">Figura 2. Cadeia de raciocínio BIA</w:t>
      </w:r>
    </w:p>
    <w:bookmarkStart w:id="28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27" w:name="exemplo"/>
      <w:r>
        <w:t xml:space="preserve">** ** ** ** ** ** ** ** Exemplo **</w:t>
      </w:r>
      <w:bookmarkEnd w:id="27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28"/>
    <w:bookmarkStart w:id="29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29"/>
    <w:bookmarkEnd w:id="30"/>
    <w:bookmarkStart w:id="34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1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1"/>
    <w:bookmarkStart w:id="32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2"/>
    <w:bookmarkStart w:id="33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3"/>
    <w:bookmarkEnd w:id="34"/>
    <w:bookmarkStart w:id="36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35" w:name="campo-conteúdo"/>
      <w:r>
        <w:t xml:space="preserve">Campo** * Conteúdo**</w:t>
      </w:r>
      <w:bookmarkEnd w:id="35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36"/>
    <w:bookmarkStart w:id="39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BodyText"/>
      </w:pP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37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37"/>
    <w:bookmarkStart w:id="38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38"/>
    <w:bookmarkEnd w:id="39"/>
    <w:bookmarkStart w:id="44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0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0"/>
    <w:bookmarkStart w:id="41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BodyText"/>
      </w:pPr>
    </w:p>
    <w:p>
      <w:pPr>
        <w:pStyle w:val="BodyText"/>
      </w:pPr>
      <w:r>
        <w:t xml:space="preserve">Figura 4. Decisão de contenção</w:t>
      </w:r>
    </w:p>
    <w:bookmarkEnd w:id="41"/>
    <w:bookmarkStart w:id="42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42"/>
    <w:bookmarkStart w:id="43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43"/>
    <w:bookmarkEnd w:id="44"/>
    <w:bookmarkStart w:id="46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45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45"/>
    <w:bookmarkEnd w:id="46"/>
    <w:bookmarkStart w:id="47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FirstParagraph"/>
      </w:pPr>
    </w:p>
    <w:p>
      <w:pPr>
        <w:pStyle w:val="BodyText"/>
      </w:pPr>
      <w:r>
        <w:t xml:space="preserve">Figura 5. Retorno confiável ao serviço</w:t>
      </w:r>
    </w:p>
    <w:bookmarkEnd w:id="47"/>
    <w:bookmarkStart w:id="48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48"/>
    <w:bookmarkStart w:id="51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49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49"/>
    <w:bookmarkStart w:id="50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50"/>
    <w:bookmarkEnd w:id="51"/>
    <w:bookmarkStart w:id="52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52"/>
    <w:bookmarkStart w:id="55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53" w:name="audiência-necessidades"/>
      <w:r>
        <w:t xml:space="preserve">Audiência** * Necessidades**</w:t>
      </w:r>
      <w:bookmarkEnd w:id="53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54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54"/>
    <w:bookmarkEnd w:id="55"/>
    <w:bookmarkStart w:id="56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FirstParagraph"/>
      </w:pPr>
    </w:p>
    <w:p>
      <w:pPr>
        <w:pStyle w:val="BodyText"/>
      </w:pPr>
      <w:r>
        <w:t xml:space="preserve">Figura 6. Integridade e custódia das provas</w:t>
      </w:r>
    </w:p>
    <w:bookmarkEnd w:id="56"/>
    <w:bookmarkStart w:id="58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57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57"/>
    <w:bookmarkEnd w:id="58"/>
    <w:bookmarkStart w:id="60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59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59"/>
    <w:bookmarkEnd w:id="60"/>
    <w:bookmarkStart w:id="61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61"/>
    <w:bookmarkStart w:id="62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62"/>
    <w:bookmarkStart w:id="63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63"/>
    <w:bookmarkStart w:id="65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64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64"/>
    <w:bookmarkEnd w:id="65"/>
    <w:bookmarkStart w:id="66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66"/>
    <w:bookmarkStart w:id="67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67"/>
    <w:bookmarkStart w:id="68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68"/>
    <w:bookmarkStart w:id="71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BodyText"/>
      </w:pPr>
    </w:p>
    <w:p>
      <w:pPr>
        <w:pStyle w:val="BodyText"/>
      </w:pPr>
      <w:r>
        <w:t xml:space="preserve">Figura 7. Sistema de gestão da continuidade empresarial</w:t>
      </w:r>
    </w:p>
    <w:bookmarkStart w:id="69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69"/>
    <w:bookmarkStart w:id="70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70"/>
    <w:bookmarkEnd w:id="71"/>
    <w:bookmarkStart w:id="74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72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72"/>
    <w:bookmarkStart w:id="73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73"/>
    <w:bookmarkEnd w:id="74"/>
    <w:bookmarkStart w:id="75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75"/>
    <w:bookmarkStart w:id="76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76"/>
    <w:bookmarkStart w:id="77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77"/>
    <w:bookmarkStart w:id="78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FirstParagraph"/>
      </w:pPr>
    </w:p>
    <w:p>
      <w:pPr>
        <w:pStyle w:val="BodyText"/>
      </w:pPr>
      <w:r>
        <w:t xml:space="preserve">Figura 8. Garantia de backup para recuperação</w:t>
      </w:r>
    </w:p>
    <w:bookmarkEnd w:id="78"/>
    <w:bookmarkStart w:id="79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79"/>
    <w:bookmarkStart w:id="80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80"/>
    <w:bookmarkStart w:id="83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81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81"/>
    <w:bookmarkStart w:id="82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82"/>
    <w:bookmarkEnd w:id="83"/>
    <w:bookmarkStart w:id="85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FirstParagraph"/>
      </w:pPr>
    </w:p>
    <w:p>
      <w:pPr>
        <w:pStyle w:val="BodyText"/>
      </w:pPr>
      <w:r>
        <w:t xml:space="preserve">Figura 9. Ciclo de exercício e melhoria</w:t>
      </w:r>
    </w:p>
    <w:bookmarkStart w:id="84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84"/>
    <w:bookmarkEnd w:id="85"/>
    <w:bookmarkStart w:id="86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86"/>
    <w:bookmarkStart w:id="88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87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87"/>
    <w:bookmarkEnd w:id="88"/>
    <w:bookmarkStart w:id="90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89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89"/>
    <w:bookmarkEnd w:id="90"/>
    <w:bookmarkStart w:id="92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91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91"/>
    <w:bookmarkEnd w:id="92"/>
    <w:bookmarkStart w:id="94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93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4"/>
    <w:bookmarkStart w:id="96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95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6"/>
    <w:bookmarkStart w:id="98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97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8"/>
    <w:bookmarkStart w:id="100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0"/>
    <w:bookmarkStart w:id="102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01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2"/>
    <w:bookmarkStart w:id="104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03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4"/>
    <w:bookmarkStart w:id="106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05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6"/>
    <w:bookmarkStart w:id="108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07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8"/>
    <w:bookmarkStart w:id="110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09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0"/>
    <w:bookmarkStart w:id="112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1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2"/>
    <w:bookmarkStart w:id="114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13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4"/>
    <w:bookmarkStart w:id="116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15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6"/>
    <w:bookmarkStart w:id="118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17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8"/>
    <w:bookmarkStart w:id="120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19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0"/>
    <w:bookmarkStart w:id="122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21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2"/>
    <w:bookmarkStart w:id="124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23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4"/>
    <w:bookmarkStart w:id="126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25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6"/>
    <w:bookmarkStart w:id="128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27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8"/>
    <w:bookmarkStart w:id="130" w:name="jogo-de-resiliência-do-gerente"/>
    <w:p>
      <w:pPr>
        <w:pStyle w:val="Heading1"/>
      </w:pPr>
      <w:r>
        <w:t xml:space="preserve">27. Jogo de Resiliência do Gerente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29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29"/>
    <w:bookmarkEnd w:id="130"/>
    <w:bookmarkStart w:id="131" w:name="perguntas-executivas"/>
    <w:p>
      <w:pPr>
        <w:pStyle w:val="Heading1"/>
      </w:pPr>
      <w:r>
        <w:t xml:space="preserve"># 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31"/>
    <w:bookmarkStart w:id="13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BodyText"/>
      </w:pPr>
    </w:p>
    <w:p>
      <w:pPr>
        <w:pStyle w:val="BodyText"/>
      </w:pPr>
      <w:r>
        <w:t xml:space="preserve">Figura 10. Caminho do analista de resiliência júnior</w:t>
      </w:r>
    </w:p>
    <w:bookmarkEnd w:id="132"/>
    <w:bookmarkStart w:id="13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33"/>
    <w:bookmarkStart w:id="13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34"/>
    <w:bookmarkStart w:id="13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35"/>
    <w:bookmarkStart w:id="13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36" w:name="dias-foco-entrega"/>
      <w:r>
        <w:t xml:space="preserve">Dias** * Foco** * Entrega**</w:t>
      </w:r>
      <w:bookmarkEnd w:id="13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37"/>
    <w:bookmarkStart w:id="13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38"/>
    <w:bookmarkStart w:id="14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3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39"/>
    <w:bookmarkStart w:id="14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40"/>
    <w:bookmarkStart w:id="14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41"/>
    <w:bookmarkStart w:id="14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42"/>
    <w:bookmarkStart w:id="14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43"/>
    <w:bookmarkStart w:id="14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44"/>
    <w:bookmarkEnd w:id="145"/>
    <w:bookmarkStart w:id="14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46"/>
    <w:bookmarkStart w:id="14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47"/>
    <w:bookmarkStart w:id="14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48"/>
    <w:bookmarkStart w:id="15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5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49" w:name="campo-entrada"/>
      <w:r>
        <w:t xml:space="preserve">Campo** * Entrada**</w:t>
      </w:r>
      <w:bookmarkEnd w:id="14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50"/>
    <w:bookmarkStart w:id="15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51" w:name="campo-entrada-1"/>
      <w:r>
        <w:t xml:space="preserve">Campo** * Entrada**</w:t>
      </w:r>
      <w:bookmarkEnd w:id="15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52"/>
    <w:bookmarkEnd w:id="153"/>
    <w:bookmarkStart w:id="155" w:name="glossário"/>
    <w:p>
      <w:pPr>
        <w:pStyle w:val="Heading1"/>
      </w:pPr>
      <w:r>
        <w:t xml:space="preserve"># 30.5 Glossário</w:t>
      </w:r>
    </w:p>
    <w:bookmarkStart w:id="15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54"/>
    <w:bookmarkEnd w:id="155"/>
    <w:bookmarkStart w:id="170" w:name="índice-de-assunto"/>
    <w:p>
      <w:pPr>
        <w:pStyle w:val="Heading1"/>
      </w:pPr>
      <w:r>
        <w:t xml:space="preserve"># 30.6 Índice de assunto</w:t>
      </w:r>
    </w:p>
    <w:bookmarkStart w:id="15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56"/>
    <w:bookmarkStart w:id="16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5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5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5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6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61">
        <w:r>
          <w:rPr>
            <w:rStyle w:val="Hyperlink"/>
          </w:rPr>
          <w:t xml:space="preserve">CISA Cybersecurity Incident and Vulnerability Response Playbooks</w:t>
        </w:r>
      </w:hyperlink>
    </w:p>
    <w:p>
      <w:pPr>
        <w:numPr>
          <w:ilvl w:val="0"/>
          <w:numId w:val="1069"/>
        </w:numPr>
      </w:pPr>
      <w:hyperlink r:id="rId16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6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6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6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6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67">
        <w:r>
          <w:rPr>
            <w:rStyle w:val="Hyperlink"/>
          </w:rPr>
          <w:t xml:space="preserve">NIST Computer Security Incident Handident Handling Guide resources</w:t>
        </w:r>
      </w:hyperlink>
    </w:p>
    <w:bookmarkEnd w:id="168"/>
    <w:bookmarkStart w:id="16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69"/>
    <w:bookmarkEnd w:id="1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2026-07-28T01:26:04Z</dcterms:created>
  <dcterms:modified xsi:type="dcterms:W3CDTF">2026-07-28T01:26:04Z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