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32 — Implementação controlada FFIEC</w:t>
      </w:r>
    </w:p>
    <w:p>
      <w:pPr>
        <w:spacing w:after="120"/>
      </w:pPr>
      <w:r>
        <w:t>**Idioma:** Português do Brasil (pt-BR)</w:t>
      </w:r>
    </w:p>
    <w:p>
      <w:pPr>
        <w:spacing w:after="120"/>
      </w:pPr>
      <w:r>
        <w:t>**Linha de base controlada:** materiais ativos do FFIEC Information Technology Examination Handbook e overlays aplicáveis das agências membros, reverificados em 31 de agosto de 2026.</w:t>
      </w:r>
    </w:p>
    <w:p>
      <w:pPr>
        <w:spacing w:after="120"/>
      </w:pPr>
      <w:r>
        <w:t>**Limite:** o Handbook FFIEC é orientação interagencial de exame. Não é uma lei federal autônoma e não substitui leis, regulamentos ou ordens vinculantes, achados supervisórios específicos de uma instituição ou análise jurídica/regulatória qualificada. O FFIEC Cybersecurity Assessment Tool (CAT) foi descontinuado em 31 de agosto de 2025 e não é usado como linha de base atual.</w:t>
      </w:r>
    </w:p>
    <w:p>
      <w:pPr>
        <w:pStyle w:val="Heading2"/>
      </w:pPr>
      <w:r>
        <w:t>Chapter 01 — Propósito, escopo e hierarquia controlada de fontes</w:t>
      </w:r>
    </w:p>
    <w:p>
      <w:pPr>
        <w:spacing w:after="120"/>
      </w:pPr>
      <w:r>
        <w:t>Use os booklets vigentes do FFIEC IT Handbook como fontes de orientação de exame e mantenha referências separadas para leis, regulamentos, regras/ordens de agências, declarações supervisórias e compromissos específicos. Exemplos internos não são desenhos aprovados por reguladores.</w:t>
      </w:r>
    </w:p>
    <w:p>
      <w:pPr>
        <w:pStyle w:val="Heading2"/>
      </w:pPr>
      <w:r>
        <w:t>Chapter 02 — Tipo de instituição, charter, regulador e aplicabilidade</w:t>
      </w:r>
    </w:p>
    <w:p>
      <w:pPr>
        <w:spacing w:after="120"/>
      </w:pPr>
      <w:r>
        <w:t>Mantenha matriz com tipo de instituição, charter, regulador federal primário, regulador estadual quando aplicável, entidades, serviços, papéis como technology service provider e overlays relevantes. Não infira requisitos de exame a partir de rótulo genérico.</w:t>
      </w:r>
    </w:p>
    <w:p>
      <w:pPr>
        <w:pStyle w:val="Heading2"/>
      </w:pPr>
      <w:r>
        <w:t>Chapter 03 — Modelo de governança FFIEC e supervisão do board</w:t>
      </w:r>
    </w:p>
    <w:p>
      <w:pPr>
        <w:spacing w:after="120"/>
      </w:pPr>
      <w:r>
        <w:t>Converta conceitos de governança FFIEC em responsabilidades definidas do board/alta gestão, reporting, escalonamento, recursos, aprovação de políticas e challenge. Preserve evidência de supervisão informada de risco IT/cibernético.</w:t>
      </w:r>
    </w:p>
    <w:p>
      <w:pPr>
        <w:pStyle w:val="Heading2"/>
      </w:pPr>
      <w:r>
        <w:t>Chapter 04 — Integração com enterprise risk management</w:t>
      </w:r>
    </w:p>
    <w:p>
      <w:pPr>
        <w:spacing w:after="120"/>
      </w:pPr>
      <w:r>
        <w:t>Integre risco IT e cibernético com ERM por taxonomia, apetite/tolerância, proprietários, escalonamento, concentração, risco emergente e gatilhos de mudança. Preserve diferenças entre orientação supervisória e requisitos vinculantes.</w:t>
      </w:r>
    </w:p>
    <w:p>
      <w:pPr>
        <w:pStyle w:val="Heading2"/>
      </w:pPr>
      <w:r>
        <w:t>Chapter 05 — Governança do information-security program</w:t>
      </w:r>
    </w:p>
    <w:p>
      <w:pPr>
        <w:spacing w:after="120"/>
      </w:pPr>
      <w:r>
        <w:t>Mantenha programa de segurança da informação ligado a risk assessment, governança, controles, operações, incident response, testes e melhoria. Mapeie separadamente Interagency Information Security Standards e requisitos específicos de agências.</w:t>
      </w:r>
    </w:p>
    <w:p>
      <w:pPr>
        <w:pStyle w:val="Heading2"/>
      </w:pPr>
      <w:r>
        <w:t>Chapter 06 — Governança de arquitetura e infraestrutura IT</w:t>
      </w:r>
    </w:p>
    <w:p>
      <w:pPr>
        <w:spacing w:after="120"/>
      </w:pPr>
      <w:r>
        <w:t>Mantenha arquitetura atual de sistemas, plataformas, redes, cloud, data flows, dependências, resiliência, trust boundaries e terceiros. Decisões devem ser avaliadas por risco, aprovadas, rastreáveis e disponíveis para exame no nível apropriado.</w:t>
      </w:r>
    </w:p>
    <w:p>
      <w:pPr>
        <w:pStyle w:val="Heading2"/>
      </w:pPr>
      <w:r>
        <w:t>Chapter 07 — Operações de tecnologia e service management</w:t>
      </w:r>
    </w:p>
    <w:p>
      <w:pPr>
        <w:spacing w:after="120"/>
      </w:pPr>
      <w:r>
        <w:t>Governe produção por proprietários, monitoramento, processos, capacidade, disponibilidade, eventos, problemas, service levels, backup, operações privilegiadas e registros. A evidência deve demonstrar operação sustentada, não apenas intenção de política.</w:t>
      </w:r>
    </w:p>
    <w:p>
      <w:pPr>
        <w:pStyle w:val="Heading2"/>
      </w:pPr>
      <w:r>
        <w:t>Chapter 08 — Governança de desenvolvimento, aquisição e manutenção</w:t>
      </w:r>
    </w:p>
    <w:p>
      <w:pPr>
        <w:spacing w:after="120"/>
      </w:pPr>
      <w:r>
        <w:t>Aplique o booklet FFIEC Development, Acquisition, and Maintenance de 2024 a planejamento, aquisição, SDLC, projeto, manutenção, supply-chain risk, segurança, resiliência e ciclo de vida. Separe responsabilidades internas e de fornecedores.</w:t>
      </w:r>
    </w:p>
    <w:p>
      <w:pPr>
        <w:pStyle w:val="Heading2"/>
      </w:pPr>
      <w:r>
        <w:t>Chapter 09 — Change e configuration management</w:t>
      </w:r>
    </w:p>
    <w:p>
      <w:pPr>
        <w:spacing w:after="120"/>
      </w:pPr>
      <w:r>
        <w:t>Controle mudanças por autorização, risco, testes, segregação de funções, emergency changes, baselines, evidência de deployment, rollback e post-implementation review. Vincule mudanças falhas/não autorizadas a issue management.</w:t>
      </w:r>
    </w:p>
    <w:p>
      <w:pPr>
        <w:pStyle w:val="Heading2"/>
      </w:pPr>
      <w:r>
        <w:t>Chapter 10 — Inventário de ativos e ciclo de vida tecnológico</w:t>
      </w:r>
    </w:p>
    <w:p>
      <w:pPr>
        <w:spacing w:after="120"/>
      </w:pPr>
      <w:r>
        <w:t>Mantenha inventários de hardware, software, aplicações, infraestrutura, cloud, dados, dependências, proprietários, criticidade, suporte e ciclo de vida. Identifique tecnologia unsupported/end-of-life e documente tratamento, migração ou exceção aprovada.</w:t>
      </w:r>
    </w:p>
    <w:p>
      <w:pPr>
        <w:pStyle w:val="Heading2"/>
      </w:pPr>
      <w:r>
        <w:t>Chapter 11 — Identity governance e administração de acesso</w:t>
      </w:r>
    </w:p>
    <w:p>
      <w:pPr>
        <w:spacing w:after="120"/>
      </w:pPr>
      <w:r>
        <w:t>Defina ciclo de identidade, provisioning, papéis, aprovação, least privilege, recertificação, transferência/desligamento, service accounts, usuários externos e exceções. Reconcilie diretórios e entitlements com fontes autoritativas.</w:t>
      </w:r>
    </w:p>
    <w:p>
      <w:pPr>
        <w:pStyle w:val="Heading2"/>
      </w:pPr>
      <w:r>
        <w:t>Chapter 12 — Authentication e privileged access</w:t>
      </w:r>
    </w:p>
    <w:p>
      <w:pPr>
        <w:spacing w:after="120"/>
      </w:pPr>
      <w:r>
        <w:t>Use autenticação baseada em risco e controles reforçados para acesso privilegiado, remoto, de alto risco ou sensível. Documente MFA/equivalentes, PAM, proteção de credenciais, monitoramento, emergência e compensating controls.</w:t>
      </w:r>
    </w:p>
    <w:p>
      <w:pPr>
        <w:pStyle w:val="Heading2"/>
      </w:pPr>
      <w:r>
        <w:t>Chapter 13 — Classificação de dados, proteção e criptografia</w:t>
      </w:r>
    </w:p>
    <w:p>
      <w:pPr>
        <w:spacing w:after="120"/>
      </w:pPr>
      <w:r>
        <w:t>Classifique informação por sensibilidade, requisitos legais, impacto, obrigações ao cliente e retenção. Aplique acesso, criptografia, key management, transferência, masking, descarte, backup e monitoramento conforme risco e obrigações.</w:t>
      </w:r>
    </w:p>
    <w:p>
      <w:pPr>
        <w:pStyle w:val="Heading2"/>
      </w:pPr>
      <w:r>
        <w:t>Chapter 14 — Segurança de rede, endpoint e infraestrutura</w:t>
      </w:r>
    </w:p>
    <w:p>
      <w:pPr>
        <w:spacing w:after="120"/>
      </w:pPr>
      <w:r>
        <w:t>Implemente controles em segmentação, firewalls, remote access, endpoint protection, hardening, wireless, e-mail/web, interfaces administrativas, cloud networking e infraestrutura. Mantenha diagramas, baselines, exceções e monitoramento.</w:t>
      </w:r>
    </w:p>
    <w:p>
      <w:pPr>
        <w:pStyle w:val="Heading2"/>
      </w:pPr>
      <w:r>
        <w:t>Chapter 15 — Logging, monitoring, detecção e security analytics</w:t>
      </w:r>
    </w:p>
    <w:p>
      <w:pPr>
        <w:spacing w:after="120"/>
      </w:pPr>
      <w:r>
        <w:t>Defina fontes de eventos, centralização, retenção, alertas, tuning, escalonamento, responsabilidades, investigações e validação de cobertura. O desenho deve refletir ativos críticos, ameaças, obrigações e perfil de risco.</w:t>
      </w:r>
    </w:p>
    <w:p>
      <w:pPr>
        <w:pStyle w:val="Heading2"/>
      </w:pPr>
      <w:r>
        <w:t>Chapter 16 — Vulnerability, patch e exposure management</w:t>
      </w:r>
    </w:p>
    <w:p>
      <w:pPr>
        <w:spacing w:after="120"/>
      </w:pPr>
      <w:r>
        <w:t>Opere descoberta, avaliação, priorização, patching, remediação de configuração, exposição externa, exceções e verificação. Gerencie exposições vencidas por aceitação documentada e controles compensatórios.</w:t>
      </w:r>
    </w:p>
    <w:p>
      <w:pPr>
        <w:pStyle w:val="Heading2"/>
      </w:pPr>
      <w:r>
        <w:t>Chapter 17 — Software seguro e controles de aplicações</w:t>
      </w:r>
    </w:p>
    <w:p>
      <w:pPr>
        <w:spacing w:after="120"/>
      </w:pPr>
      <w:r>
        <w:t>Aplique desenho seguro, requisitos, coding, code review, testing, dependência/SBOM ou controles equivalentes quando apropriados, secrets management, release, manutenção e remediação. Separe controles da instituição de responsabilidades do fornecedor.</w:t>
      </w:r>
    </w:p>
    <w:p>
      <w:pPr>
        <w:pStyle w:val="Heading2"/>
      </w:pPr>
      <w:r>
        <w:t>Chapter 18 — Cloud, virtualização e tecnologia emergente</w:t>
      </w:r>
    </w:p>
    <w:p>
      <w:pPr>
        <w:spacing w:after="120"/>
      </w:pPr>
      <w:r>
        <w:t>Avalie cloud, SaaS, containers, virtualização, IA, automação, APIs e outras tecnologias por arquitetura, dados, identidade, resiliência, terceiros, concentração, exit, segurança e compliance. A assurance do fornecedor não elimina accountability institucional.</w:t>
      </w:r>
    </w:p>
    <w:p>
      <w:pPr>
        <w:pStyle w:val="Heading2"/>
      </w:pPr>
      <w:r>
        <w:t>Chapter 19 — Supervisão de terceiros e technology service providers</w:t>
      </w:r>
    </w:p>
    <w:p>
      <w:pPr>
        <w:spacing w:after="120"/>
      </w:pPr>
      <w:r>
        <w:t>Mantenha due diligence, contratos, requisitos de segurança, revisão de desempenho/assurance, acesso, incidentes, resiliência, subcontratados, encerramento e exit. Aplique separadamente requisitos legais ou de agência para TSP.</w:t>
      </w:r>
    </w:p>
    <w:p>
      <w:pPr>
        <w:pStyle w:val="Heading2"/>
      </w:pPr>
      <w:r>
        <w:t>Chapter 20 — Outsourcing e risco de concentração</w:t>
      </w:r>
    </w:p>
    <w:p>
      <w:pPr>
        <w:spacing w:after="120"/>
      </w:pPr>
      <w:r>
        <w:t>Avalie concentração operacional, geográfica, sistêmica, cloud, fornecedor, plataforma, habilidades, dados e recuperação. Defina tolerância, contingência, alternativas, viabilidade de exit, escalonamento e monitoramento.</w:t>
      </w:r>
    </w:p>
    <w:p>
      <w:pPr>
        <w:pStyle w:val="Heading2"/>
      </w:pPr>
      <w:r>
        <w:t>Chapter 21 — Cybersecurity incident response e escalonamento</w:t>
      </w:r>
    </w:p>
    <w:p>
      <w:pPr>
        <w:spacing w:after="120"/>
      </w:pPr>
      <w:r>
        <w:t>Mantenha governança de incidentes para detecção, triage, severidade, contenção, erradicação, recuperação, evidência, comunicações, análise legal/regulatória, impacto, terceiros, lições e remediação. Teste decisões e dependências.</w:t>
      </w:r>
    </w:p>
    <w:p>
      <w:pPr>
        <w:pStyle w:val="Heading2"/>
      </w:pPr>
      <w:r>
        <w:t>Chapter 22 — Notificação regulatória e decisões de overlays de agência</w:t>
      </w:r>
    </w:p>
    <w:p>
      <w:pPr>
        <w:spacing w:after="120"/>
      </w:pPr>
      <w:r>
        <w:t>Mantenha matriz de obrigações por regulador, norma, tipo de evento, limiar, prazo, método e proprietário. Preserve fatos, timestamps, análise, autoridade, filing e suplementos; severidade interna não substitui trigger legal.</w:t>
      </w:r>
    </w:p>
    <w:p>
      <w:pPr>
        <w:pStyle w:val="Heading2"/>
      </w:pPr>
      <w:r>
        <w:t>Chapter 23 — Business continuity e disaster recovery</w:t>
      </w:r>
    </w:p>
    <w:p>
      <w:pPr>
        <w:spacing w:after="120"/>
      </w:pPr>
      <w:r>
        <w:t>Use o FFIEC Business Continuity Management vigente para continuidade empresarial, recovery tecnológico, comunicações, dependências, crise e testes. Vincule BIA, objetivos, planos, testes, achados e remediação a serviços críticos.</w:t>
      </w:r>
    </w:p>
    <w:p>
      <w:pPr>
        <w:pStyle w:val="Heading2"/>
      </w:pPr>
      <w:r>
        <w:t>Chapter 24 — Operational resilience e scenario testing</w:t>
      </w:r>
    </w:p>
    <w:p>
      <w:pPr>
        <w:spacing w:after="120"/>
      </w:pPr>
      <w:r>
        <w:t>Teste cenários severos, porém plausíveis, envolvendo cyber, tecnologia, terceiros, instalações, pessoas, dados e dependências externas. Defina objetivos, premissas, decisões, targets, lições, proprietários e melhorias.</w:t>
      </w:r>
    </w:p>
    <w:p>
      <w:pPr>
        <w:pStyle w:val="Heading2"/>
      </w:pPr>
      <w:r>
        <w:t>Chapter 25 — Backup, recovery e restoration assurance</w:t>
      </w:r>
    </w:p>
    <w:p>
      <w:pPr>
        <w:spacing w:after="120"/>
      </w:pPr>
      <w:r>
        <w:t>Governe escopo, frequência, proteção immutable/offline quando apropriada, acesso, criptografia, retenção, monitoramento, restauração, dependências e testes. Demonstre recoverability por restores bem-sucedidos e remediação de falhas.</w:t>
      </w:r>
    </w:p>
    <w:p>
      <w:pPr>
        <w:pStyle w:val="Heading2"/>
      </w:pPr>
      <w:r>
        <w:t>Chapter 26 — Interfaces de segurança física e ambiental</w:t>
      </w:r>
    </w:p>
    <w:p>
      <w:pPr>
        <w:spacing w:after="120"/>
      </w:pPr>
      <w:r>
        <w:t>Coordene IT/cyber com instalações, energia, cooling, incêndio, physical access, vigilância, data centers, monitoramento ambiental e sites alternativos. Identifique responsabilidades compartilhadas e evidência de instalações próprias/terceirizadas.</w:t>
      </w:r>
    </w:p>
    <w:p>
      <w:pPr>
        <w:pStyle w:val="Heading2"/>
      </w:pPr>
      <w:r>
        <w:t>Chapter 27 — Awareness e treinamento baseado em papel</w:t>
      </w:r>
    </w:p>
    <w:p>
      <w:pPr>
        <w:spacing w:after="120"/>
      </w:pPr>
      <w:r>
        <w:t>Forneça awareness básico e treinamento para usuários privilegiados, developers, admins, incident responders, executivos, board, third-party managers e papéis relevantes. Mantenha conteúdo, população, conclusão, exceções, efetividade e mudanças por risco.</w:t>
      </w:r>
    </w:p>
    <w:p>
      <w:pPr>
        <w:pStyle w:val="Heading2"/>
      </w:pPr>
      <w:r>
        <w:t>Chapter 28 — Testes independentes, auditoria e assurance</w:t>
      </w:r>
    </w:p>
    <w:p>
      <w:pPr>
        <w:spacing w:after="120"/>
      </w:pPr>
      <w:r>
        <w:t>Defina assurance independente conforme risco, lei e expectativas supervisórias. Preserve escopo, independência, método, população/amostra, achados, ratings, resposta, validação de remediação e limites de confiança em relatórios de terceiros.</w:t>
      </w:r>
    </w:p>
    <w:p>
      <w:pPr>
        <w:pStyle w:val="Heading2"/>
      </w:pPr>
      <w:r>
        <w:t>Chapter 29 — Examination readiness e gestão de evidência</w:t>
      </w:r>
    </w:p>
    <w:p>
      <w:pPr>
        <w:spacing w:after="120"/>
      </w:pPr>
      <w:r>
        <w:t>Mantenha índice de evidência ligando solicitações a políticas, procedimentos, inventários, assessments, governança, controles, testes, issues e proprietários. Forneça evidência atual e reconciliada e explique gaps ou artefatos superados.</w:t>
      </w:r>
    </w:p>
    <w:p>
      <w:pPr>
        <w:pStyle w:val="Heading2"/>
      </w:pPr>
      <w:r>
        <w:t>Chapter 30 — Issue management, remediação e aceitação de risco</w:t>
      </w:r>
    </w:p>
    <w:p>
      <w:pPr>
        <w:spacing w:after="120"/>
      </w:pPr>
      <w:r>
        <w:t>Gerencie issues de exame, auditoria, controle, risco, incidentes e testing com fonte, severidade, causa, proprietário, data, controles interinos, validação e encerramento. Aceitação de risco não pode anular obrigações vinculantes ou compromissos supervisórios.</w:t>
      </w:r>
    </w:p>
    <w:p>
      <w:pPr>
        <w:pStyle w:val="Heading2"/>
      </w:pPr>
      <w:r>
        <w:t>Chapter 31 — Métricas, reporting, rastreabilidade supervisória e melhoria</w:t>
      </w:r>
    </w:p>
    <w:p>
      <w:pPr>
        <w:spacing w:after="120"/>
      </w:pPr>
      <w:r>
        <w:t>Defina métricas com fórmula, fonte, população, frequência, proprietário, threshold, exclusões e ação. O reporting deve conectar riscos/issues a decisões e remediação; maturity scores ou contagens não comprovam compliance.</w:t>
      </w:r>
    </w:p>
    <w:p>
      <w:pPr>
        <w:pStyle w:val="Heading2"/>
      </w:pPr>
      <w:r>
        <w:t>Chapter 32 — Reverificação de fontes e roadmap de implementação</w:t>
      </w:r>
    </w:p>
    <w:p>
      <w:pPr>
        <w:spacing w:after="120"/>
      </w:pPr>
      <w:r>
        <w:t>Antes de cada release, revalide FFIEC IT Handbook, orientações/regras das agências, requisitos legais e desenvolvimentos de exame. Confirme explicitamente que o CAT descontinuado permanece não vigente e avalie sucessores, revisões de booklets e mudanças regulatórias.</w:t>
      </w:r>
    </w:p>
    <w:p>
      <w:pPr>
        <w:pStyle w:val="Heading2"/>
      </w:pPr>
      <w:r>
        <w:t>Conjunto mínimo de evidência</w:t>
      </w:r>
    </w:p>
    <w:p>
      <w:pPr>
        <w:spacing w:after="120"/>
      </w:pPr>
      <w:r>
        <w:t>Mantenha, conforme aplicável: matriz regulador/aplicabilidade; supervisão board/gestão; security program; risk assessment; arquitetura/inventário; acessos; authentication/PAM; dados; rede/endpoint; logging; vulnerabilidades/patch; desenvolvimento/mudança; cloud/emerging tech; TSP/outsourcing/concentration; incidentes/notificações; BCM/DR/restores; instalações; training; assurance independente; índice de exame; issues/risk acceptance; métricas/reporting; e verificação de fontes.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