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50 — Mapa cruzado global de gobernanza de IA</w:t>
      </w:r>
    </w:p>
    <w:p>
      <w:pPr>
        <w:spacing w:after="120"/>
      </w:pPr>
      <w:r>
        <w:t>Fuente de publicación: edición controlada es-419</w:t>
      </w:r>
    </w:p>
    <w:p>
      <w:pPr>
        <w:spacing w:after="120"/>
      </w:pPr>
      <w:r>
        <w:t>Línea base de vigencia: 1 de septiembre de 2026</w:t>
      </w:r>
    </w:p>
    <w:p>
      <w:pPr>
        <w:pStyle w:val="Heading2"/>
      </w:pPr>
      <w:r>
        <w:t>Propósito</w:t>
      </w:r>
    </w:p>
    <w:p>
      <w:pPr>
        <w:spacing w:after="120"/>
      </w:pPr>
      <w:r>
        <w:t>Este manual ofrece un mapa práctico entre la Ley de IA de la UE, ISO/IEC 42001, NIST AI RMF 1.0 y AI 600-1, los marcos de gobernanza de IA de Singapur y AI Verify, los Principios de IA de la OCDE y la Fundación Universal de Gobernanza de IA del repositorio. Está diseñado para implementación, preparación de auditorías, reutilización de evidencia, capacitación y gobierno ejecutivo. No afirma que los distintos regímenes sean legal o técnicamente equivalentes.</w:t>
      </w:r>
    </w:p>
    <w:p>
      <w:pPr>
        <w:pStyle w:val="Heading2"/>
      </w:pPr>
      <w:r>
        <w:t>Regla principal: armonizar controles sin borrar las diferencias</w:t>
      </w:r>
    </w:p>
    <w:p>
      <w:pPr>
        <w:spacing w:after="120"/>
      </w:pPr>
      <w:r>
        <w:t>Un control empresarial común puede respaldar varios regímenes, pero cada fuente conserva su propio alcance, estado normativo, definiciones de actores, umbrales, método de aseguramiento, expectativas documentales y requisitos de evidencia. La ley vinculante controla el mapeo jurídico. Los estándares y marcos voluntarios siguen siendo voluntarios salvo incorporación por ley, contrato o compromiso interno. La certificación ISO, la evaluación de conformidad de la UE, las pruebas AI Verify, el TEVV alineado con NIST y la auditoría interna son mecanismos distintos.</w:t>
      </w:r>
    </w:p>
    <w:p>
      <w:pPr>
        <w:pStyle w:val="Heading2"/>
      </w:pPr>
      <w:r>
        <w:t>Taxonomía de relaciones</w:t>
      </w:r>
    </w:p>
    <w:p>
      <w:pPr>
        <w:pStyle w:val="ListBullet"/>
      </w:pPr>
      <w:r>
        <w:t>**Directa:** aborda materialmente el mismo objetivo de control al nivel pertinente.</w:t>
      </w:r>
    </w:p>
    <w:p>
      <w:pPr>
        <w:pStyle w:val="ListBullet"/>
      </w:pPr>
      <w:r>
        <w:t>**Parcial:** cubre solo parte del objetivo; requiere evidencia adicional.</w:t>
      </w:r>
    </w:p>
    <w:p>
      <w:pPr>
        <w:pStyle w:val="ListBullet"/>
      </w:pPr>
      <w:r>
        <w:t>**De apoyo:** habilita el objetivo, pero no es suficiente por sí sola.</w:t>
      </w:r>
    </w:p>
    <w:p>
      <w:pPr>
        <w:pStyle w:val="ListBullet"/>
      </w:pPr>
      <w:r>
        <w:t>**Contextual:** informa la intención de gobierno o principios sin crear el mismo requisito.</w:t>
      </w:r>
    </w:p>
    <w:p>
      <w:pPr>
        <w:pStyle w:val="ListBullet"/>
      </w:pPr>
      <w:r>
        <w:t>**Ninguna / N/A:** no existe una relación defendible para el alcance evaluado.</w:t>
      </w:r>
    </w:p>
    <w:p>
      <w:pPr>
        <w:spacing w:after="120"/>
      </w:pPr>
      <w:r>
        <w:t>Es preferible un mapeo en blanco o calificado antes que una equivalencia sin sustento.</w:t>
      </w:r>
    </w:p>
    <w:p>
      <w:pPr>
        <w:pStyle w:val="Heading2"/>
      </w:pPr>
      <w:r>
        <w:t>Veinte objetivos de control comunes</w:t>
      </w:r>
    </w:p>
    <w:p>
      <w:pPr>
        <w:pStyle w:val="Heading3"/>
      </w:pPr>
      <w:r>
        <w:t>GC-01 Gobierno y rendición de cuentas</w:t>
      </w:r>
    </w:p>
    <w:p>
      <w:pPr>
        <w:spacing w:after="120"/>
      </w:pPr>
      <w:r>
        <w:t>Establecer responsables, derechos de decisión, políticas, escalamiento, excepciones y supervisión de la dirección. Evidencia típica: estatuto de gobierno, RACI, aprobaciones de política, decisiones de comité e informes de gestión.</w:t>
      </w:r>
    </w:p>
    <w:p>
      <w:pPr>
        <w:pStyle w:val="Heading3"/>
      </w:pPr>
      <w:r>
        <w:t>GC-02 Inventario y propiedad de IA</w:t>
      </w:r>
    </w:p>
    <w:p>
      <w:pPr>
        <w:spacing w:after="120"/>
      </w:pPr>
      <w:r>
        <w:t>Mantener un inventario vigente de sistemas y casos de uso de IA con propietario, propósito, modelo/proveedor, estado de ciclo de vida, geografía, sensibilidad de datos, dependencias y nivel de riesgo.</w:t>
      </w:r>
    </w:p>
    <w:p>
      <w:pPr>
        <w:pStyle w:val="Heading3"/>
      </w:pPr>
      <w:r>
        <w:t>GC-03 Responsabilidad por rol y cadena de valor</w:t>
      </w:r>
    </w:p>
    <w:p>
      <w:pPr>
        <w:spacing w:after="120"/>
      </w:pPr>
      <w:r>
        <w:t>Determinar quién diseña, provee, despliega, importa, distribuye, integra, opera o modifica materialmente la IA. Conservar las definiciones legales de actores de la Ley de IA de la UE.</w:t>
      </w:r>
    </w:p>
    <w:p>
      <w:pPr>
        <w:pStyle w:val="Heading3"/>
      </w:pPr>
      <w:r>
        <w:t>GC-04 Clasificación y nivel de riesgo</w:t>
      </w:r>
    </w:p>
    <w:p>
      <w:pPr>
        <w:spacing w:after="120"/>
      </w:pPr>
      <w:r>
        <w:t>Aplicar la clasificación exigida por la fuente pertinente y mantener un nivel interno de riesgo para determinar la profundidad del gobierno. No confundir clasificación legal de la UE, niveles internos, evaluación contextual NIST y evaluación de Singapur.</w:t>
      </w:r>
    </w:p>
    <w:p>
      <w:pPr>
        <w:pStyle w:val="Heading3"/>
      </w:pPr>
      <w:r>
        <w:t>GC-05 Evaluación de riesgo e impacto</w:t>
      </w:r>
    </w:p>
    <w:p>
      <w:pPr>
        <w:spacing w:after="120"/>
      </w:pPr>
      <w:r>
        <w:t>Identificar propósito, contexto, personas afectadas, beneficios, daños, uso indebido previsible, dependencias, controles, riesgo residual y decisión responsable antes del despliegue y después de cambios materiales.</w:t>
      </w:r>
    </w:p>
    <w:p>
      <w:pPr>
        <w:pStyle w:val="Heading3"/>
      </w:pPr>
      <w:r>
        <w:t>GC-06 Gobierno de datos y privacidad</w:t>
      </w:r>
    </w:p>
    <w:p>
      <w:pPr>
        <w:spacing w:after="120"/>
      </w:pPr>
      <w:r>
        <w:t>Gobernar procedencia, calidad, derechos, acceso, minimización, linaje, retención, datos sensibles, fuentes RAG y riesgos de datos. Las bases legales y derechos de privacidad siguen siendo específicos de cada jurisdicción.</w:t>
      </w:r>
    </w:p>
    <w:p>
      <w:pPr>
        <w:pStyle w:val="Heading3"/>
      </w:pPr>
      <w:r>
        <w:t>GC-07 Seguridad, robustez y resiliencia</w:t>
      </w:r>
    </w:p>
    <w:p>
      <w:pPr>
        <w:spacing w:after="120"/>
      </w:pPr>
      <w:r>
        <w:t>Proteger modelos, aplicaciones, infraestructura, agentes, datos, herramientas y dependencias frente a amenazas, fallas, abuso y compromiso de la cadena de suministro. Definir recuperación y contención proporcionales al riesgo.</w:t>
      </w:r>
    </w:p>
    <w:p>
      <w:pPr>
        <w:pStyle w:val="Heading3"/>
      </w:pPr>
      <w:r>
        <w:t>GC-08 Transparencia y comunicación</w:t>
      </w:r>
    </w:p>
    <w:p>
      <w:pPr>
        <w:spacing w:after="120"/>
      </w:pPr>
      <w:r>
        <w:t>Proporcionar información precisa sobre uso de IA, capacidades, limitaciones, resultados materiales y responsabilidades al público pertinente. Las obligaciones legales de divulgación siguen siendo específicas de la fuente.</w:t>
      </w:r>
    </w:p>
    <w:p>
      <w:pPr>
        <w:pStyle w:val="Heading3"/>
      </w:pPr>
      <w:r>
        <w:t>GC-09 Supervisión e intervención humana</w:t>
      </w:r>
    </w:p>
    <w:p>
      <w:pPr>
        <w:spacing w:after="120"/>
      </w:pPr>
      <w:r>
        <w:t>Asegurar que las personas tengan competencia, autoridad, información y medios prácticos para intervenir en puntos significativos de decisión o acción. Conservar evidencia de aprobación, anulación, rechazo y escalamiento.</w:t>
      </w:r>
    </w:p>
    <w:p>
      <w:pPr>
        <w:pStyle w:val="Heading3"/>
      </w:pPr>
      <w:r>
        <w:t>GC-10 Pruebas, evaluación, verificación y validación</w:t>
      </w:r>
    </w:p>
    <w:p>
      <w:pPr>
        <w:spacing w:after="120"/>
      </w:pPr>
      <w:r>
        <w:t>Definir afirmaciones y criterios de aceptación; probar desempeño, seguridad, privacidad, robustez y efectividad de controles con evidencia reproducible proporcional al riesgo.</w:t>
      </w:r>
    </w:p>
    <w:p>
      <w:pPr>
        <w:pStyle w:val="Heading3"/>
      </w:pPr>
      <w:r>
        <w:t>GC-11 Documentación y registros</w:t>
      </w:r>
    </w:p>
    <w:p>
      <w:pPr>
        <w:spacing w:after="120"/>
      </w:pPr>
      <w:r>
        <w:t>Mantener registros técnicos y de gobierno vigentes sobre diseño, versiones, decisiones, controles, evaluaciones, aprobaciones, incidentes y cambios materiales.</w:t>
      </w:r>
    </w:p>
    <w:p>
      <w:pPr>
        <w:pStyle w:val="Heading3"/>
      </w:pPr>
      <w:r>
        <w:t>GC-12 Puertas de despliegue y aprobación</w:t>
      </w:r>
    </w:p>
    <w:p>
      <w:pPr>
        <w:spacing w:after="120"/>
      </w:pPr>
      <w:r>
        <w:t>Exigir una decisión responsable antes de producción o expansión material: aprobar, aprobar con condiciones, restringir, remediar, suspender o rechazar.</w:t>
      </w:r>
    </w:p>
    <w:p>
      <w:pPr>
        <w:pStyle w:val="Heading3"/>
      </w:pPr>
      <w:r>
        <w:t>GC-13 Gobierno de terceros y cadena de suministro</w:t>
      </w:r>
    </w:p>
    <w:p>
      <w:pPr>
        <w:spacing w:after="120"/>
      </w:pPr>
      <w:r>
        <w:t>Evaluar proveedores, modelos, herramientas, APIs, procesadores, hosting y dependencias de agentes. Cubrir datos, seguridad, cambios, incidentes, continuidad, concentración y salida.</w:t>
      </w:r>
    </w:p>
    <w:p>
      <w:pPr>
        <w:pStyle w:val="Heading3"/>
      </w:pPr>
      <w:r>
        <w:t>GC-14 Monitoreo y aseguramiento continuo</w:t>
      </w:r>
    </w:p>
    <w:p>
      <w:pPr>
        <w:spacing w:after="120"/>
      </w:pPr>
      <w:r>
        <w:t>Monitorear desempeño, deriva, indicadores de riesgo, denegaciones de política, quejas, incidentes, cambios de proveedor/modelo, hallazgos abiertos y efectividad de controles.</w:t>
      </w:r>
    </w:p>
    <w:p>
      <w:pPr>
        <w:pStyle w:val="Heading3"/>
      </w:pPr>
      <w:r>
        <w:t>GC-15 Gestión de incidentes</w:t>
      </w:r>
    </w:p>
    <w:p>
      <w:pPr>
        <w:spacing w:after="120"/>
      </w:pPr>
      <w:r>
        <w:t>Detectar, contener, investigar, preservar evidencia, remediar y escalar incidentes de IA. Umbrales y plazos de notificación externa siguen siendo jurisdiccionales.</w:t>
      </w:r>
    </w:p>
    <w:p>
      <w:pPr>
        <w:pStyle w:val="Heading3"/>
      </w:pPr>
      <w:r>
        <w:t>GC-16 Gestión de cambios y revalidación</w:t>
      </w:r>
    </w:p>
    <w:p>
      <w:pPr>
        <w:spacing w:after="120"/>
      </w:pPr>
      <w:r>
        <w:t>Tratar cambios de modelo/proveedor, datos/RAG, propósito, población afectada, herramientas/APIs, autonomía, permisos, geografía o controles como posibles disparadores de revalidación.</w:t>
      </w:r>
    </w:p>
    <w:p>
      <w:pPr>
        <w:pStyle w:val="Heading3"/>
      </w:pPr>
      <w:r>
        <w:t>GC-17 Auditoría y aseguramiento independiente</w:t>
      </w:r>
    </w:p>
    <w:p>
      <w:pPr>
        <w:spacing w:after="120"/>
      </w:pPr>
      <w:r>
        <w:t>Aplicar desafío independiente proporcional a la materialidad y conservar hallazgos, respuestas de gestión, evidencia de remediación y cierre.</w:t>
      </w:r>
    </w:p>
    <w:p>
      <w:pPr>
        <w:pStyle w:val="Heading3"/>
      </w:pPr>
      <w:r>
        <w:t>GC-18 Alfabetización y competencia en IA</w:t>
      </w:r>
    </w:p>
    <w:p>
      <w:pPr>
        <w:spacing w:after="120"/>
      </w:pPr>
      <w:r>
        <w:t>Asegurar competencias apropiadas para personal de gobierno, desarrollo, despliegue, supervisión, seguridad, compras, legal, auditoría y operaciones.</w:t>
      </w:r>
    </w:p>
    <w:p>
      <w:pPr>
        <w:pStyle w:val="Heading3"/>
      </w:pPr>
      <w:r>
        <w:t>GC-19 Mejora continua</w:t>
      </w:r>
    </w:p>
    <w:p>
      <w:pPr>
        <w:spacing w:after="120"/>
      </w:pPr>
      <w:r>
        <w:t>Usar monitoreo, incidentes, pruebas, auditoría, retroalimentación, cambios regulatorios y del proveedor para mejorar controles y gobierno.</w:t>
      </w:r>
    </w:p>
    <w:p>
      <w:pPr>
        <w:pStyle w:val="Heading3"/>
      </w:pPr>
      <w:r>
        <w:t>GC-20 Identidad del agente, autonomía, permisos y procedencia de acciones</w:t>
      </w:r>
    </w:p>
    <w:p>
      <w:pPr>
        <w:spacing w:after="120"/>
      </w:pPr>
      <w:r>
        <w:t>Asignar identidades atribuibles, limitar autonomía, aplicar mínimo privilegio, restringir herramientas y datos, exigir puntos humanos significativos cuando corresponda, conservar procedencia de acciones, monitorear y contener.</w:t>
      </w:r>
    </w:p>
    <w:p>
      <w:pPr>
        <w:pStyle w:val="Heading2"/>
      </w:pPr>
      <w:r>
        <w:t>Guía por familia de fuentes</w:t>
      </w:r>
    </w:p>
    <w:p>
      <w:pPr>
        <w:pStyle w:val="Heading3"/>
      </w:pPr>
      <w:r>
        <w:t>Ley de IA de la UE</w:t>
      </w:r>
    </w:p>
    <w:p>
      <w:pPr>
        <w:spacing w:after="120"/>
      </w:pPr>
      <w:r>
        <w:t>Tratarla como ley vinculante dentro de su alcance. Mantener explícitos roles legales, categorías de sistemas, prácticas prohibidas, fechas de aplicación, transparencia, obligaciones de alto riesgo y GPAI, conformidad, registro, monitoreo posterior al mercado, incidentes y aplicación cuando correspondan. Un control empresarial genérico es evidencia de apoyo salvo que también se demuestre el requisito legal exacto.</w:t>
      </w:r>
    </w:p>
    <w:p>
      <w:pPr>
        <w:pStyle w:val="Heading3"/>
      </w:pPr>
      <w:r>
        <w:t>ISO/IEC 42001</w:t>
      </w:r>
    </w:p>
    <w:p>
      <w:pPr>
        <w:spacing w:after="120"/>
      </w:pPr>
      <w:r>
        <w:t>Tratarla como estándar de sistema de gestión de IA. Mapear a alto nivel mediante objetivos de gestión y control redactados de forma independiente; no reproducir texto protegido. Alineación no equivale a certificación y certificación no sustituye cumplimiento legal.</w:t>
      </w:r>
    </w:p>
    <w:p>
      <w:pPr>
        <w:pStyle w:val="Heading3"/>
      </w:pPr>
      <w:r>
        <w:t>NIST AI RMF 1.0 y AI 600-1</w:t>
      </w:r>
    </w:p>
    <w:p>
      <w:pPr>
        <w:spacing w:after="120"/>
      </w:pPr>
      <w:r>
        <w:t>Relacionar controles con GOVERN, MAP, MEASURE y MANAGE, y con acciones específicas para GenAI cuando corresponda. NIST sigue siendo guía voluntaria y no debe presentarse como ley o certificación.</w:t>
      </w:r>
    </w:p>
    <w:p>
      <w:pPr>
        <w:pStyle w:val="Heading3"/>
      </w:pPr>
      <w:r>
        <w:t>Singapur y AI Verify</w:t>
      </w:r>
    </w:p>
    <w:p>
      <w:pPr>
        <w:spacing w:after="120"/>
      </w:pPr>
      <w:r>
        <w:t>Usar la familia Model AI Governance Framework, orientación GenAI, AI Verify y gobernanza de IA agéntica como referencias prácticas de gobierno y aseguramiento. Las pruebas AI Verify no son certificación automática ni prueba de cumplimiento en otra jurisdicción.</w:t>
      </w:r>
    </w:p>
    <w:p>
      <w:pPr>
        <w:pStyle w:val="Heading3"/>
      </w:pPr>
      <w:r>
        <w:t>Principios de IA de la OCDE</w:t>
      </w:r>
    </w:p>
    <w:p>
      <w:pPr>
        <w:spacing w:after="120"/>
      </w:pPr>
      <w:r>
        <w:t>Usarlos como línea base intergubernamental para crecimiento inclusivo y bienestar, derechos humanos y valores democráticos, transparencia y explicabilidad, robustez/seguridad y rendición de cuentas. No sustituyen la ley jurisdiccional.</w:t>
      </w:r>
    </w:p>
    <w:p>
      <w:pPr>
        <w:pStyle w:val="Heading2"/>
      </w:pPr>
      <w:r>
        <w:t>Registro de evidencia armonizada</w:t>
      </w:r>
    </w:p>
    <w:p>
      <w:pPr>
        <w:spacing w:after="120"/>
      </w:pPr>
      <w:r>
        <w:t>El conjunto mínimo reutilizable incluye: inventario de IA; estatuto y RACI; evaluación de riesgo/impacto; linaje de datos/RAG; arquitectura de seguridad; artefactos de transparencia; diseño de supervisión humana; paquete TEVV; aprobación de despliegue; evaluación de terceros; monitoreo; incidente; cambio/revalidación; auditoría independiente; capacitación; backlog de mejora; y procedencia de acciones de agentes.</w:t>
      </w:r>
    </w:p>
    <w:p>
      <w:pPr>
        <w:spacing w:after="120"/>
      </w:pPr>
      <w:r>
        <w:t>Para cada evidencia reutilizada registrar: evidencia → control de origen → relación con la fuente destino → suficiencia y limitaciones → evidencia adicional específica → responsable → fecha/versión.</w:t>
      </w:r>
    </w:p>
    <w:p>
      <w:pPr>
        <w:pStyle w:val="Heading2"/>
      </w:pPr>
      <w:r>
        <w:t>Escenarios prácticos</w:t>
      </w:r>
    </w:p>
    <w:p>
      <w:pPr>
        <w:pStyle w:val="Heading3"/>
      </w:pPr>
      <w:r>
        <w:t>Asistente GenAI empresarial</w:t>
      </w:r>
    </w:p>
    <w:p>
      <w:pPr>
        <w:spacing w:after="120"/>
      </w:pPr>
      <w:r>
        <w:t>Exige inventario, evaluación de proveedor, linaje RAG, riesgo, arquitectura de seguridad, pruebas, transparencia, aprobación, monitoreo e incidentes. El análisis UE determina además rol legal y obligaciones aplicables; NIST AI 600-1 profundiza riesgos GenAI; Singapur apoya gobierno y pruebas; ISO/IEC 42001 aporta sistema de gestión; OCDE aporta objetivos de rendición de cuentas, transparencia y robustez.</w:t>
      </w:r>
    </w:p>
    <w:p>
      <w:pPr>
        <w:pStyle w:val="Heading3"/>
      </w:pPr>
      <w:r>
        <w:t>IA para contratación</w:t>
      </w:r>
    </w:p>
    <w:p>
      <w:pPr>
        <w:spacing w:after="120"/>
      </w:pPr>
      <w:r>
        <w:t>Combinar análisis jurídico y de derechos, sesgo/equidad, supervisión humana, documentación, monitoreo, apelación/escalamiento y cambio. La evaluación común puede reutilizarse, pero la clasificación UE y obligaciones locales requieren análisis separado.</w:t>
      </w:r>
    </w:p>
    <w:p>
      <w:pPr>
        <w:pStyle w:val="Heading3"/>
      </w:pPr>
      <w:r>
        <w:t>Flujo agéntico con acceso a herramientas</w:t>
      </w:r>
    </w:p>
    <w:p>
      <w:pPr>
        <w:spacing w:after="120"/>
      </w:pPr>
      <w:r>
        <w:t>Añadir identidad del agente, mínimo privilegio, listas permitidas, límites de acción, aprobaciones, registros de procedencia, contención y pruebas de abuso.</w:t>
      </w:r>
    </w:p>
    <w:p>
      <w:pPr>
        <w:pStyle w:val="Heading3"/>
      </w:pPr>
      <w:r>
        <w:t>Cambio de modelo del proveedor</w:t>
      </w:r>
    </w:p>
    <w:p>
      <w:pPr>
        <w:spacing w:after="120"/>
      </w:pPr>
      <w:r>
        <w:t>Detectar el cambio, evaluar materialidad, repetir pruebas pertinentes, actualizar riesgo/transparencia y emitir nueva decisión de despliegue cuando corresponda.</w:t>
      </w:r>
    </w:p>
    <w:p>
      <w:pPr>
        <w:pStyle w:val="Heading3"/>
      </w:pPr>
      <w:r>
        <w:t>Aseguramiento multirrégimen</w:t>
      </w:r>
    </w:p>
    <w:p>
      <w:pPr>
        <w:spacing w:after="120"/>
      </w:pPr>
      <w:r>
        <w:t>Un paquete TEVV puede respaldar varias fuentes solo si se documentan relación, alcance, suficiencia, limitaciones y evidencia adicional. No convertirlo en porcentaje universal de cumplimiento.</w:t>
      </w:r>
    </w:p>
    <w:p>
      <w:pPr>
        <w:pStyle w:val="Heading2"/>
      </w:pPr>
      <w:r>
        <w:t>Método de análisis de brechas</w:t>
      </w:r>
    </w:p>
    <w:p>
      <w:pPr>
        <w:spacing w:after="120"/>
      </w:pPr>
      <w:r>
        <w:t>Para cada control: identificar control implementado; determinar fuentes aplicables; asignar tipo de relación; identificar faltantes específicos; clasificar la brecha como control, evidencia, interpretación legal, proceso, aseguramiento o competencia; priorizar P1/P2/P3; asignar responsable y fecha; volver a probar y actualizar la justificación.</w:t>
      </w:r>
    </w:p>
    <w:p>
      <w:pPr>
        <w:pStyle w:val="Heading2"/>
      </w:pPr>
      <w:r>
        <w:t>Reglas contra falsa equivalencia</w:t>
      </w:r>
    </w:p>
    <w:p>
      <w:pPr>
        <w:spacing w:after="120"/>
      </w:pPr>
      <w:r>
        <w:t>No publicar porcentajes universales de cumplimiento entre regímenes distintos. No afirmar que certificación ISO prueba cumplimiento de la Ley de IA de la UE, que adoptar NIST equivale a cumplimiento legal o que AI Verify equivale a certificación en otra jurisdicción. Conservar la incertidumbre y obtener interpretación jurídica calificada cuando se requiera una conclusión legal.</w:t>
      </w:r>
    </w:p>
    <w:p>
      <w:pPr>
        <w:pStyle w:val="Heading2"/>
      </w:pPr>
      <w:r>
        <w:t>Control de vigencia</w:t>
      </w:r>
    </w:p>
    <w:p>
      <w:pPr>
        <w:spacing w:after="120"/>
      </w:pPr>
      <w:r>
        <w:t>Antes de cada versión controlada, revalidar la línea legal de la Ley de IA de la UE, edición/estado de ISO/IEC 42001, estado de NIST AI RMF y AI 600-1, versiones vigentes de Singapur y estado de los Principios de IA de la OCDE.</w:t>
      </w:r>
    </w:p>
    <w:p>
      <w:pPr>
        <w:pStyle w:val="Heading2"/>
      </w:pPr>
      <w:r>
        <w:t>Criterio de finalización</w:t>
      </w:r>
    </w:p>
    <w:p>
      <w:pPr>
        <w:spacing w:after="120"/>
      </w:pPr>
      <w:r>
        <w:t>El manual está completo cuando cada conclusión del mapa es trazable a una familia de fuente, tipo de relación, objetivo común, clase de evidencia reutilizable, nota de diferencia y brecha específica. El objetivo es reutilización defendible de gobierno, no equivalencia artificial.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