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50 — Matriz global de governança de IA</w:t>
      </w:r>
    </w:p>
    <w:p>
      <w:pPr>
        <w:spacing w:after="120"/>
      </w:pPr>
      <w:r>
        <w:t>Fonte de publicação: edição controlada pt-BR</w:t>
      </w:r>
    </w:p>
    <w:p>
      <w:pPr>
        <w:spacing w:after="120"/>
      </w:pPr>
      <w:r>
        <w:t>Linha de base de atualidade: 1 de setembro de 2026</w:t>
      </w:r>
    </w:p>
    <w:p>
      <w:pPr>
        <w:pStyle w:val="Heading2"/>
      </w:pPr>
      <w:r>
        <w:t>Objetivo</w:t>
      </w:r>
    </w:p>
    <w:p>
      <w:pPr>
        <w:spacing w:after="120"/>
      </w:pPr>
      <w:r>
        <w:t>Este manual fornece uma matriz prática entre o EU AI Act, ISO/IEC 42001, NIST AI RMF 1.0 e AI 600-1, os frameworks de governança de IA de Singapura e AI Verify, os Princípios de IA da OCDE e a Fundação Universal de Governança de IA do repositório. Destina-se à implementação, preparação para auditoria, reutilização de evidências, treinamento e governança executiva. Não afirma que regimes diferentes sejam jurídica ou tecnicamente equivalentes.</w:t>
      </w:r>
    </w:p>
    <w:p>
      <w:pPr>
        <w:pStyle w:val="Heading2"/>
      </w:pPr>
      <w:r>
        <w:t>Regra central: harmonizar controles sem apagar diferenças</w:t>
      </w:r>
    </w:p>
    <w:p>
      <w:pPr>
        <w:spacing w:after="120"/>
      </w:pPr>
      <w:r>
        <w:t>Um controle empresarial comum pode apoiar vários regimes, mas cada fonte mantém seu próprio escopo, status normativo, definições de atores, limiares, método de assurance, expectativas documentais e requisitos de evidência. Lei vinculante governa o mapeamento jurídico. Normas e frameworks voluntários continuam voluntários salvo incorporação por lei, contrato ou compromisso interno. Certificação ISO, avaliação de conformidade da UE, testes AI Verify, TEVV alinhado ao NIST e auditoria interna são mecanismos distintos.</w:t>
      </w:r>
    </w:p>
    <w:p>
      <w:pPr>
        <w:pStyle w:val="Heading2"/>
      </w:pPr>
      <w:r>
        <w:t>Taxonomia de relacionamento</w:t>
      </w:r>
    </w:p>
    <w:p>
      <w:pPr>
        <w:pStyle w:val="ListBullet"/>
      </w:pPr>
      <w:r>
        <w:t>**Direto:** trata materialmente o mesmo objetivo de controle no nível relevante.</w:t>
      </w:r>
    </w:p>
    <w:p>
      <w:pPr>
        <w:pStyle w:val="ListBullet"/>
      </w:pPr>
      <w:r>
        <w:t>**Parcial:** cobre apenas parte do objetivo e exige evidência adicional.</w:t>
      </w:r>
    </w:p>
    <w:p>
      <w:pPr>
        <w:pStyle w:val="ListBullet"/>
      </w:pPr>
      <w:r>
        <w:t>**De suporte:** ajuda a habilitar o objetivo, mas não é suficiente sozinho.</w:t>
      </w:r>
    </w:p>
    <w:p>
      <w:pPr>
        <w:pStyle w:val="ListBullet"/>
      </w:pPr>
      <w:r>
        <w:t>**Contextual:** informa intenção de governança ou princípios sem criar o mesmo requisito.</w:t>
      </w:r>
    </w:p>
    <w:p>
      <w:pPr>
        <w:pStyle w:val="ListBullet"/>
      </w:pPr>
      <w:r>
        <w:t>**Nenhum / N/A:** não existe relação defensável para o escopo avaliado.</w:t>
      </w:r>
    </w:p>
    <w:p>
      <w:pPr>
        <w:spacing w:after="120"/>
      </w:pPr>
      <w:r>
        <w:t>Um mapeamento em branco ou qualificado é preferível a uma equivalência sem suporte.</w:t>
      </w:r>
    </w:p>
    <w:p>
      <w:pPr>
        <w:pStyle w:val="Heading2"/>
      </w:pPr>
      <w:r>
        <w:t>Vinte objetivos comuns de controle</w:t>
      </w:r>
    </w:p>
    <w:p>
      <w:pPr>
        <w:pStyle w:val="Heading3"/>
      </w:pPr>
      <w:r>
        <w:t>GC-01 Governança e accountability</w:t>
      </w:r>
    </w:p>
    <w:p>
      <w:pPr>
        <w:spacing w:after="120"/>
      </w:pPr>
      <w:r>
        <w:t>Estabelecer responsáveis, direitos decisórios, políticas, escalonamento, exceções e supervisão gerencial. Evidências típicas incluem charter de governança, RACI, aprovações de políticas, decisões de comitê e relatórios gerenciais.</w:t>
      </w:r>
    </w:p>
    <w:p>
      <w:pPr>
        <w:pStyle w:val="Heading3"/>
      </w:pPr>
      <w:r>
        <w:t>GC-02 Inventário e propriedade de IA</w:t>
      </w:r>
    </w:p>
    <w:p>
      <w:pPr>
        <w:spacing w:after="120"/>
      </w:pPr>
      <w:r>
        <w:t>Manter inventário atualizado de sistemas e casos de uso de IA com proprietário, finalidade, modelo/provedor, estágio do ciclo de vida, geografia, sensibilidade dos dados, dependências e nível de risco.</w:t>
      </w:r>
    </w:p>
    <w:p>
      <w:pPr>
        <w:pStyle w:val="Heading3"/>
      </w:pPr>
      <w:r>
        <w:t>GC-03 Responsabilidade por papel e cadeia de valor</w:t>
      </w:r>
    </w:p>
    <w:p>
      <w:pPr>
        <w:spacing w:after="120"/>
      </w:pPr>
      <w:r>
        <w:t>Determinar quem projeta, fornece, implanta, importa, distribui, integra, opera ou modifica materialmente a IA. Preservar as definições jurídicas de atores do EU AI Act.</w:t>
      </w:r>
    </w:p>
    <w:p>
      <w:pPr>
        <w:pStyle w:val="Heading3"/>
      </w:pPr>
      <w:r>
        <w:t>GC-04 Classificação e nível de risco</w:t>
      </w:r>
    </w:p>
    <w:p>
      <w:pPr>
        <w:spacing w:after="120"/>
      </w:pPr>
      <w:r>
        <w:t>Aplicar a classificação exigida pela fonte relevante e manter uma classificação interna para definir profundidade de governança. Não confundir classificação jurídica da UE, tier interno, avaliação contextual NIST e avaliação de Singapura.</w:t>
      </w:r>
    </w:p>
    <w:p>
      <w:pPr>
        <w:pStyle w:val="Heading3"/>
      </w:pPr>
      <w:r>
        <w:t>GC-05 Avaliação de risco e impacto</w:t>
      </w:r>
    </w:p>
    <w:p>
      <w:pPr>
        <w:spacing w:after="120"/>
      </w:pPr>
      <w:r>
        <w:t>Identificar finalidade, contexto, partes afetadas, benefícios, danos, uso indevido previsível, dependências, controles, risco residual e decisão responsável antes da implantação e após mudanças materiais.</w:t>
      </w:r>
    </w:p>
    <w:p>
      <w:pPr>
        <w:pStyle w:val="Heading3"/>
      </w:pPr>
      <w:r>
        <w:t>GC-06 Governança de dados e privacidade</w:t>
      </w:r>
    </w:p>
    <w:p>
      <w:pPr>
        <w:spacing w:after="120"/>
      </w:pPr>
      <w:r>
        <w:t>Governar proveniência, qualidade, direitos, acesso, minimização, linhagem, retenção, dados sensíveis, fontes RAG e riscos relacionados a dados. Bases legais e direitos de privacidade permanecem específicos por jurisdição.</w:t>
      </w:r>
    </w:p>
    <w:p>
      <w:pPr>
        <w:pStyle w:val="Heading3"/>
      </w:pPr>
      <w:r>
        <w:t>GC-07 Segurança, robustez e resiliência</w:t>
      </w:r>
    </w:p>
    <w:p>
      <w:pPr>
        <w:spacing w:after="120"/>
      </w:pPr>
      <w:r>
        <w:t>Proteger modelos, aplicações, infraestrutura, agentes, dados, ferramentas e dependências contra ameaças, falhas, abuso e comprometimento da cadeia de suprimentos. Definir recuperação e contenção proporcionais ao risco.</w:t>
      </w:r>
    </w:p>
    <w:p>
      <w:pPr>
        <w:pStyle w:val="Heading3"/>
      </w:pPr>
      <w:r>
        <w:t>GC-08 Transparência e comunicação</w:t>
      </w:r>
    </w:p>
    <w:p>
      <w:pPr>
        <w:spacing w:after="120"/>
      </w:pPr>
      <w:r>
        <w:t>Fornecer informações precisas sobre uso de IA, capacidades, limitações, resultados materiais e responsabilidades ao público apropriado. Deveres legais de transparência permanecem específicos da fonte.</w:t>
      </w:r>
    </w:p>
    <w:p>
      <w:pPr>
        <w:pStyle w:val="Heading3"/>
      </w:pPr>
      <w:r>
        <w:t>GC-09 Supervisão e intervenção humana</w:t>
      </w:r>
    </w:p>
    <w:p>
      <w:pPr>
        <w:spacing w:after="120"/>
      </w:pPr>
      <w:r>
        <w:t>Garantir que pessoas tenham competência, autoridade, informação e meios práticos para intervir em pontos significativos de decisão ou ação. Preservar evidências de aprovação, override, rejeição e escalonamento.</w:t>
      </w:r>
    </w:p>
    <w:p>
      <w:pPr>
        <w:pStyle w:val="Heading3"/>
      </w:pPr>
      <w:r>
        <w:t>GC-10 Teste, avaliação, verificação e validação</w:t>
      </w:r>
    </w:p>
    <w:p>
      <w:pPr>
        <w:spacing w:after="120"/>
      </w:pPr>
      <w:r>
        <w:t>Definir alegações e critérios de aceitação; testar desempenho, segurança, privacidade, robustez e eficácia de controles com evidência reproduzível proporcional ao risco.</w:t>
      </w:r>
    </w:p>
    <w:p>
      <w:pPr>
        <w:pStyle w:val="Heading3"/>
      </w:pPr>
      <w:r>
        <w:t>GC-11 Documentação e registros</w:t>
      </w:r>
    </w:p>
    <w:p>
      <w:pPr>
        <w:spacing w:after="120"/>
      </w:pPr>
      <w:r>
        <w:t>Manter registros técnicos e de governança atualizados sobre desenho, versões, decisões, controles, avaliações, aprovações, incidentes e mudanças materiais.</w:t>
      </w:r>
    </w:p>
    <w:p>
      <w:pPr>
        <w:pStyle w:val="Heading3"/>
      </w:pPr>
      <w:r>
        <w:t>GC-12 Gates de implantação e aprovação</w:t>
      </w:r>
    </w:p>
    <w:p>
      <w:pPr>
        <w:spacing w:after="120"/>
      </w:pPr>
      <w:r>
        <w:t>Exigir uma decisão responsável antes da produção ou expansão material: aprovar, aprovar com condições, restringir, remediar, suspender ou rejeitar.</w:t>
      </w:r>
    </w:p>
    <w:p>
      <w:pPr>
        <w:pStyle w:val="Heading3"/>
      </w:pPr>
      <w:r>
        <w:t>GC-13 Governança de terceiros e cadeia de suprimentos</w:t>
      </w:r>
    </w:p>
    <w:p>
      <w:pPr>
        <w:spacing w:after="120"/>
      </w:pPr>
      <w:r>
        <w:t>Avaliar provedores, modelos, ferramentas, APIs, processadores, hospedagem e dependências de agentes. Cobrir dados, segurança, notificações de mudança, incidentes, continuidade, concentração e saída.</w:t>
      </w:r>
    </w:p>
    <w:p>
      <w:pPr>
        <w:pStyle w:val="Heading3"/>
      </w:pPr>
      <w:r>
        <w:t>GC-14 Monitoramento e assurance contínuo</w:t>
      </w:r>
    </w:p>
    <w:p>
      <w:pPr>
        <w:spacing w:after="120"/>
      </w:pPr>
      <w:r>
        <w:t>Monitorar desempenho, drift, indicadores de risco, negações de política, reclamações, incidentes, mudanças de provedor/modelo, findings abertos e eficácia dos controles.</w:t>
      </w:r>
    </w:p>
    <w:p>
      <w:pPr>
        <w:pStyle w:val="Heading3"/>
      </w:pPr>
      <w:r>
        <w:t>GC-15 Gestão de incidentes</w:t>
      </w:r>
    </w:p>
    <w:p>
      <w:pPr>
        <w:spacing w:after="120"/>
      </w:pPr>
      <w:r>
        <w:t>Detectar, conter, investigar, preservar evidências, remediar e escalar incidentes de IA. Limiares e prazos de notificação externa permanecem específicos por jurisdição.</w:t>
      </w:r>
    </w:p>
    <w:p>
      <w:pPr>
        <w:pStyle w:val="Heading3"/>
      </w:pPr>
      <w:r>
        <w:t>GC-16 Gestão de mudanças e revalidação</w:t>
      </w:r>
    </w:p>
    <w:p>
      <w:pPr>
        <w:spacing w:after="120"/>
      </w:pPr>
      <w:r>
        <w:t>Tratar mudanças em modelo/provedor, dados/RAG, finalidade, população afetada, ferramentas/APIs, autonomia, permissões, geografia ou controles como possíveis gatilhos de revalidação.</w:t>
      </w:r>
    </w:p>
    <w:p>
      <w:pPr>
        <w:pStyle w:val="Heading3"/>
      </w:pPr>
      <w:r>
        <w:t>GC-17 Auditoria e assurance independente</w:t>
      </w:r>
    </w:p>
    <w:p>
      <w:pPr>
        <w:spacing w:after="120"/>
      </w:pPr>
      <w:r>
        <w:t>Aplicar challenge independente proporcional à materialidade e preservar findings, respostas da gestão, evidências de remediação e fechamento.</w:t>
      </w:r>
    </w:p>
    <w:p>
      <w:pPr>
        <w:pStyle w:val="Heading3"/>
      </w:pPr>
      <w:r>
        <w:t>GC-18 Alfabetização e competência em IA</w:t>
      </w:r>
    </w:p>
    <w:p>
      <w:pPr>
        <w:spacing w:after="120"/>
      </w:pPr>
      <w:r>
        <w:t>Garantir competências adequadas para governança, desenvolvimento, implantação, supervisão, segurança, compras, jurídico, auditoria e operações.</w:t>
      </w:r>
    </w:p>
    <w:p>
      <w:pPr>
        <w:pStyle w:val="Heading3"/>
      </w:pPr>
      <w:r>
        <w:t>GC-19 Melhoria contínua</w:t>
      </w:r>
    </w:p>
    <w:p>
      <w:pPr>
        <w:spacing w:after="120"/>
      </w:pPr>
      <w:r>
        <w:t>Usar monitoramento, incidentes, testes, auditoria, feedback, mudanças regulatórias e mudanças do provedor para melhorar controles e governança.</w:t>
      </w:r>
    </w:p>
    <w:p>
      <w:pPr>
        <w:pStyle w:val="Heading3"/>
      </w:pPr>
      <w:r>
        <w:t>GC-20 Identidade do agente, autonomia, permissões e proveniência das ações</w:t>
      </w:r>
    </w:p>
    <w:p>
      <w:pPr>
        <w:spacing w:after="120"/>
      </w:pPr>
      <w:r>
        <w:t>Atribuir identidades rastreáveis, limitar autonomia, aplicar menor privilégio, restringir ferramentas e dados, exigir checkpoints humanos relevantes quando apropriado, preservar proveniência das ações, monitorar e conter.</w:t>
      </w:r>
    </w:p>
    <w:p>
      <w:pPr>
        <w:pStyle w:val="Heading2"/>
      </w:pPr>
      <w:r>
        <w:t>Guia por família de fontes</w:t>
      </w:r>
    </w:p>
    <w:p>
      <w:pPr>
        <w:pStyle w:val="Heading3"/>
      </w:pPr>
      <w:r>
        <w:t>EU AI Act</w:t>
      </w:r>
    </w:p>
    <w:p>
      <w:pPr>
        <w:spacing w:after="120"/>
      </w:pPr>
      <w:r>
        <w:t>Tratar como lei vinculante dentro de seu escopo. Preservar papéis jurídicos, categorias de sistemas, práticas proibidas, datas de aplicação, transparência, obrigações de alto risco e GPAI, conformidade, registro, monitoramento pós-mercado, incidentes e enforcement quando aplicável. Um controle empresarial genérico é evidência de suporte até que o requisito jurídico exato e o escopo sejam demonstrados.</w:t>
      </w:r>
    </w:p>
    <w:p>
      <w:pPr>
        <w:pStyle w:val="Heading3"/>
      </w:pPr>
      <w:r>
        <w:t>ISO/IEC 42001</w:t>
      </w:r>
    </w:p>
    <w:p>
      <w:pPr>
        <w:spacing w:after="120"/>
      </w:pPr>
      <w:r>
        <w:t>Tratar como norma de sistema de gestão de IA. Mapear em alto nível por objetivos de gestão e controle redigidos de forma independente; não reproduzir texto protegido. Alinhamento não é certificação, e certificação não substitui conformidade legal.</w:t>
      </w:r>
    </w:p>
    <w:p>
      <w:pPr>
        <w:pStyle w:val="Heading3"/>
      </w:pPr>
      <w:r>
        <w:t>NIST AI RMF 1.0 e AI 600-1</w:t>
      </w:r>
    </w:p>
    <w:p>
      <w:pPr>
        <w:spacing w:after="120"/>
      </w:pPr>
      <w:r>
        <w:t>Relacionar controles a GOVERN, MAP, MEASURE e MANAGE e, quando apropriado, às ações específicas de risco de GenAI. NIST continua sendo orientação voluntária e não deve ser apresentado como lei ou certificação.</w:t>
      </w:r>
    </w:p>
    <w:p>
      <w:pPr>
        <w:pStyle w:val="Heading3"/>
      </w:pPr>
      <w:r>
        <w:t>Singapura e AI Verify</w:t>
      </w:r>
    </w:p>
    <w:p>
      <w:pPr>
        <w:spacing w:after="120"/>
      </w:pPr>
      <w:r>
        <w:t>Usar a família Model AI Governance Framework, orientações para GenAI, AI Verify e governança de IA agêntica como referências práticas de governança e assurance. Testes AI Verify não constituem certificação automática nem prova de conformidade em outra jurisdição.</w:t>
      </w:r>
    </w:p>
    <w:p>
      <w:pPr>
        <w:pStyle w:val="Heading3"/>
      </w:pPr>
      <w:r>
        <w:t>Princípios de IA da OCDE</w:t>
      </w:r>
    </w:p>
    <w:p>
      <w:pPr>
        <w:spacing w:after="120"/>
      </w:pPr>
      <w:r>
        <w:t>Usá-los como baseline intergovernamental para crescimento inclusivo e bem-estar, direitos humanos e valores democráticos, transparência e explicabilidade, robustez/segurança e accountability. Não substituem leis jurisdicionais.</w:t>
      </w:r>
    </w:p>
    <w:p>
      <w:pPr>
        <w:pStyle w:val="Heading2"/>
      </w:pPr>
      <w:r>
        <w:t>Registro de evidências harmonizadas</w:t>
      </w:r>
    </w:p>
    <w:p>
      <w:pPr>
        <w:spacing w:after="120"/>
      </w:pPr>
      <w:r>
        <w:t>O conjunto mínimo reutilizável inclui: inventário de IA; charter e RACI; avaliação de risco/impacto; linhagem de dados/RAG; arquitetura de segurança; artefato de transparência; desenho de supervisão humana; pacote TEVV; aprovação de implantação; avaliação de terceiros; monitoramento; registro de incidente; mudança/revalidação; auditoria independente; treinamento; backlog de melhoria; e proveniência de ações de agentes.</w:t>
      </w:r>
    </w:p>
    <w:p>
      <w:pPr>
        <w:spacing w:after="120"/>
      </w:pPr>
      <w:r>
        <w:t>Para cada evidência reutilizada registrar: evidência → controle de origem → relação com a fonte alvo → suficiência e limitações → evidência adicional específica → responsável → data/versão.</w:t>
      </w:r>
    </w:p>
    <w:p>
      <w:pPr>
        <w:pStyle w:val="Heading2"/>
      </w:pPr>
      <w:r>
        <w:t>Cenários práticos</w:t>
      </w:r>
    </w:p>
    <w:p>
      <w:pPr>
        <w:pStyle w:val="Heading3"/>
      </w:pPr>
      <w:r>
        <w:t>Assistente GenAI empresarial</w:t>
      </w:r>
    </w:p>
    <w:p>
      <w:pPr>
        <w:spacing w:after="120"/>
      </w:pPr>
      <w:r>
        <w:t>Exige inventário, avaliação de provedor, linhagem RAG, risco, arquitetura de segurança, testes, transparência, aprovação, monitoramento e incidentes. A análise da UE também determina papel jurídico e obrigações aplicáveis; NIST AI 600-1 aprofunda riscos de GenAI; Singapura apoia governança e testes; ISO/IEC 42001 fornece a camada de sistema de gestão; OCDE informa accountability, transparência e robustez.</w:t>
      </w:r>
    </w:p>
    <w:p>
      <w:pPr>
        <w:pStyle w:val="Heading3"/>
      </w:pPr>
      <w:r>
        <w:t>IA em contratação</w:t>
      </w:r>
    </w:p>
    <w:p>
      <w:pPr>
        <w:spacing w:after="120"/>
      </w:pPr>
      <w:r>
        <w:t>Combinar análise jurídica e de direitos, viés/equidade, supervisão humana, documentação, monitoramento, recurso/escalonamento e gestão de mudanças. Uma avaliação comum pode ser reutilizada, mas classificação da UE e obrigações locais exigem análise separada.</w:t>
      </w:r>
    </w:p>
    <w:p>
      <w:pPr>
        <w:pStyle w:val="Heading3"/>
      </w:pPr>
      <w:r>
        <w:t>Fluxo agêntico com acesso a ferramentas</w:t>
      </w:r>
    </w:p>
    <w:p>
      <w:pPr>
        <w:spacing w:after="120"/>
      </w:pPr>
      <w:r>
        <w:t>Adicionar identidade do agente, menor privilégio, allowlists, limites de ação, checkpoints de aprovação, logs de proveniência, mecanismos de contenção e testes de abuso.</w:t>
      </w:r>
    </w:p>
    <w:p>
      <w:pPr>
        <w:pStyle w:val="Heading3"/>
      </w:pPr>
      <w:r>
        <w:t>Mudança de modelo do provedor</w:t>
      </w:r>
    </w:p>
    <w:p>
      <w:pPr>
        <w:spacing w:after="120"/>
      </w:pPr>
      <w:r>
        <w:t>Detectar a mudança, avaliar materialidade, repetir testes relevantes, atualizar risco/transparência e emitir nova decisão de implantação quando necessário.</w:t>
      </w:r>
    </w:p>
    <w:p>
      <w:pPr>
        <w:pStyle w:val="Heading3"/>
      </w:pPr>
      <w:r>
        <w:t>Assurance multirregime</w:t>
      </w:r>
    </w:p>
    <w:p>
      <w:pPr>
        <w:spacing w:after="120"/>
      </w:pPr>
      <w:r>
        <w:t>Um pacote TEVV pode apoiar várias fontes somente quando tipo de relação, escopo, suficiência, limitações e evidências adicionais forem documentados. Nunca converter isso em percentual universal de conformidade.</w:t>
      </w:r>
    </w:p>
    <w:p>
      <w:pPr>
        <w:pStyle w:val="Heading2"/>
      </w:pPr>
      <w:r>
        <w:t>Método de análise de gaps</w:t>
      </w:r>
    </w:p>
    <w:p>
      <w:pPr>
        <w:spacing w:after="120"/>
      </w:pPr>
      <w:r>
        <w:t>Para cada controle: identificar o controle implementado; determinar fontes aplicáveis; atribuir tipo de relação; identificar requisitos específicos ausentes; classificar o gap como controle, evidência, interpretação jurídica, processo, assurance ou competência; priorizar P1/P2/P3; atribuir responsável e data; retestar e atualizar a justificativa.</w:t>
      </w:r>
    </w:p>
    <w:p>
      <w:pPr>
        <w:pStyle w:val="Heading2"/>
      </w:pPr>
      <w:r>
        <w:t>Regras contra falsa equivalência</w:t>
      </w:r>
    </w:p>
    <w:p>
      <w:pPr>
        <w:spacing w:after="120"/>
      </w:pPr>
      <w:r>
        <w:t>Não publicar percentuais universais de conformidade entre regimes diferentes. Não afirmar que certificação ISO comprova conformidade com o EU AI Act, que adoção do NIST equivale a conformidade legal ou que AI Verify equivale a certificação em outra jurisdição. Preservar incerteza explicitamente e obter interpretação jurídica qualificada quando necessária.</w:t>
      </w:r>
    </w:p>
    <w:p>
      <w:pPr>
        <w:pStyle w:val="Heading2"/>
      </w:pPr>
      <w:r>
        <w:t>Controle de atualidade</w:t>
      </w:r>
    </w:p>
    <w:p>
      <w:pPr>
        <w:spacing w:after="120"/>
      </w:pPr>
      <w:r>
        <w:t>Antes de cada release controlado, revalidar a baseline jurídica do EU AI Act, edição/status da ISO/IEC 42001, status do NIST AI RMF e AI 600-1, versões atuais dos frameworks de Singapura e status dos Princípios de IA da OCDE.</w:t>
      </w:r>
    </w:p>
    <w:p>
      <w:pPr>
        <w:pStyle w:val="Heading2"/>
      </w:pPr>
      <w:r>
        <w:t>Critério de conclusão</w:t>
      </w:r>
    </w:p>
    <w:p>
      <w:pPr>
        <w:spacing w:after="120"/>
      </w:pPr>
      <w:r>
        <w:t>O manual está completo quando cada conclusão da matriz é rastreável a uma família de fonte, tipo de relação, objetivo comum, classe de evidência reutilizável, nota de diferença e delta específico da fonte. O objetivo é reutilização defensável de governança — não equivalência artificial.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