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tbl>
      <w:tblPr>
        <w:tblStyle w:val="FigureTable"/>
        <w:tblW w:type="auto" w:w="0"/>
        <w:tblLook w:firstRow="0" w:lastRow="0" w:firstColumn="0" w:lastColumn="0"/>
        <w:jc w:val="center"/>
      </w:tblPr>
      <w:tblGrid>
        <w:gridCol w:w="7920"/>
      </w:tblGrid>
      <w:tr>
        <w:tc>
          <w:tcPr/>
          <w:p>
            <w:pPr>
              <w:pStyle w:val="Compact"/>
              <w:jc w:val="center"/>
            </w:pPr>
            <w:r>
              <w:t xml:space="preserve">Govern, Identificar, Proteger, Detectar, Responder y Recuperar el trabajo como un sistema conectado.</w:t>
            </w:r>
          </w:p>
        </w:tc>
      </w:tr>
    </w:tbl>
    <w:p>
      <w:pPr>
        <w:pStyle w:val="ImageCaption"/>
      </w:pPr>
      <w:r>
        <w:t xml:space="preserve">Govern, Identificar, Proteger, Detectar, Responder y Recuperar el trabajo como un sistema conectado.</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tbl>
      <w:tblPr>
        <w:tblStyle w:val="FigureTable"/>
        <w:tblW w:type="auto" w:w="0"/>
        <w:tblLook w:firstRow="0" w:lastRow="0" w:firstColumn="0" w:lastColumn="0"/>
        <w:jc w:val="center"/>
      </w:tblPr>
      <w:tblGrid>
        <w:gridCol w:w="7920"/>
      </w:tblGrid>
      <w:tr>
        <w:tc>
          <w:tcPr/>
          <w:p>
            <w:pPr>
              <w:pStyle w:val="Compact"/>
              <w:jc w:val="center"/>
            </w:pPr>
            <w:r>
              <w:t xml:space="preserve">Las fusiones contienen Categorías, que contienen Subcategorías específicas centradas en el resultado.</w:t>
            </w:r>
          </w:p>
        </w:tc>
      </w:tr>
    </w:tbl>
    <w:p>
      <w:pPr>
        <w:pStyle w:val="ImageCaption"/>
      </w:pPr>
      <w:r>
        <w:t xml:space="preserve">Las fusiones contienen Categorías, que contienen Subcategorías específicas centradas en el resultado.</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A Target Profile es útil cuando sus brechas se convierten en acción de propiedad, financiada y basada en el riesgo.</w:t>
            </w:r>
          </w:p>
        </w:tc>
      </w:tr>
    </w:tbl>
    <w:p>
      <w:pPr>
        <w:pStyle w:val="ImageCaption"/>
      </w:pPr>
      <w:r>
        <w:t xml:space="preserve">A Target Profile es útil cuando sus brechas se convierten en acción de propiedad, financiada y basada en el riesgo.</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 select, contract, monitor, y salida con responsabilidades de seguridad definidas</w:t>
            </w:r>
          </w:p>
        </w:tc>
      </w:tr>
    </w:tbl>
    <w:p>
      <w:pPr>
        <w:pStyle w:val="ImageCaption"/>
      </w:pPr>
      <w:r>
        <w:t xml:space="preserve">Plan, select, contract, monitor, y salida con responsabilidades de seguridad definidas</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Autorización, validación, acción correctiva, y retesting convierten la producción técnica en evidencia útil.</w:t>
            </w:r>
          </w:p>
        </w:tc>
      </w:tr>
    </w:tbl>
    <w:p>
      <w:pPr>
        <w:pStyle w:val="ImageCaption"/>
      </w:pPr>
      <w:r>
        <w:t xml:space="preserve">Autorización, validación, acción correctiva, y retesting convierten la producción técnica en evidencia útil.</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tbl>
      <w:tblPr>
        <w:tblStyle w:val="FigureTable"/>
        <w:tblW w:type="auto" w:w="0"/>
        <w:tblLook w:firstRow="0" w:lastRow="0" w:firstColumn="0" w:lastColumn="0"/>
        <w:jc w:val="center"/>
      </w:tblPr>
      <w:tblGrid>
        <w:gridCol w:w="7920"/>
      </w:tblGrid>
      <w:tr>
        <w:tc>
          <w:tcPr/>
          <w:p>
            <w:pPr>
              <w:pStyle w:val="Compact"/>
              <w:jc w:val="center"/>
            </w:pPr>
            <w:r>
              <w:t xml:space="preserve">Aprender, mapa, test, reportar y aplicar con evidencia de cartera honesta.</w:t>
            </w:r>
          </w:p>
        </w:tc>
      </w:tr>
    </w:tbl>
    <w:p>
      <w:pPr>
        <w:pStyle w:val="ImageCaption"/>
      </w:pPr>
      <w:r>
        <w:t xml:space="preserve">Aprender, mapa, test, reportar y aplicar con evidencia de cartera honesta.</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2026-07-28T17:47:18Z</dcterms:created>
  <dcterms:modified xsi:type="dcterms:W3CDTF">2026-07-28T17:47:18Z</dcterms:modified>
</cp:coreProperties>
</file>

<file path=docProps/custom.xml><?xml version="1.0" encoding="utf-8"?>
<Properties xmlns="http://schemas.openxmlformats.org/officeDocument/2006/custom-properties" xmlns:vt="http://schemas.openxmlformats.org/officeDocument/2006/docPropsVTypes"/>
</file>